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481680.xml.htm"/>
      <w:bookmarkStart w:id="1" w:name="kswkform4_17794816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Colucci Marlene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GXO LOGISTICS,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GXO Logistics, Inc.</w:t>
              </w:r>
            </w:hyperlink>
            <w:r>
              <w:rPr/>
              <w:t xml:space="preserve"> [ </w:t>
            </w:r>
            <w:r>
              <w:rPr>
                <w:rFonts w:ascii="Times;serif" w:hAnsi="Times;serif"/>
                <w:color w:val="0000FF"/>
                <w:sz w:val="24"/>
                <w:shd w:fill="FFFFFF" w:val="clear"/>
              </w:rPr>
              <w:t>GXO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either (i) one share of GXO Logistics, Inc. ("GXO") common stock, par value $0.01 per share ("GXO Common Stock"), or (ii) a cash payment equal to the fair market value of one share of GXO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shall vest on the earlier of (i) May 20, 2027 and (ii) the date of the next annual meeting of stockholders (the "Vesting Date"), provided that the Reporting Person continues to serve as a member of the Board of Directors of GXO through and until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Karlis P. Kirsis,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492" TargetMode="External"/><Relationship Id="rId5" Type="http://schemas.openxmlformats.org/officeDocument/2006/relationships/hyperlink" Target="http://www.sec.gov/cgi-bin/browse-edgar?action=getcompany&amp;CIK=00018522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3542</Characters>
  <CharactersWithSpaces>4146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