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4"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May 5, 2026</w:t>
      </w:r>
    </w:p>
    <w:p>
      <w:pPr>
        <w:spacing w:after="0" w:line="168"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13335</wp:posOffset>
            </wp:positionV>
            <wp:extent cx="571500" cy="228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500" cy="22860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GXO LOGISTICS, INC.</w:t>
      </w:r>
    </w:p>
    <w:p>
      <w:pPr>
        <w:spacing w:after="0" w:line="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6"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_____________________________________________________________________________________________</w:t>
      </w:r>
    </w:p>
    <w:p>
      <w:pPr>
        <w:spacing w:after="0" w:line="189" w:lineRule="exact"/>
        <w:rPr>
          <w:sz w:val="24"/>
          <w:szCs w:val="24"/>
          <w:color w:val="auto"/>
        </w:rPr>
      </w:pPr>
    </w:p>
    <w:tbl>
      <w:tblPr>
        <w:tblLayout w:type="fixed"/>
        <w:tblInd w:w="940" w:type="dxa"/>
        <w:tblCellMar>
          <w:top w:w="0" w:type="dxa"/>
          <w:left w:w="0" w:type="dxa"/>
          <w:bottom w:w="0" w:type="dxa"/>
          <w:right w:w="0" w:type="dxa"/>
        </w:tblCellMar>
      </w:tblPr>
      <w:tr>
        <w:trPr>
          <w:trHeight w:val="148"/>
        </w:trPr>
        <w:tc>
          <w:tcPr>
            <w:tcW w:w="2980" w:type="dxa"/>
            <w:vAlign w:val="bottom"/>
          </w:tcPr>
          <w:p>
            <w:pPr>
              <w:jc w:val="center"/>
              <w:ind w:right="104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540" w:type="dxa"/>
            <w:vAlign w:val="bottom"/>
          </w:tcPr>
          <w:p>
            <w:pPr>
              <w:jc w:val="right"/>
              <w:ind w:right="1480"/>
              <w:spacing w:after="0"/>
              <w:rPr>
                <w:sz w:val="20"/>
                <w:szCs w:val="20"/>
                <w:color w:val="auto"/>
              </w:rPr>
            </w:pPr>
            <w:r>
              <w:rPr>
                <w:rFonts w:ascii="Times New Roman" w:cs="Times New Roman" w:eastAsia="Times New Roman" w:hAnsi="Times New Roman"/>
                <w:sz w:val="12"/>
                <w:szCs w:val="12"/>
                <w:b w:val="1"/>
                <w:bCs w:val="1"/>
                <w:color w:val="auto"/>
              </w:rPr>
              <w:t>001-40470</w:t>
            </w:r>
          </w:p>
        </w:tc>
        <w:tc>
          <w:tcPr>
            <w:tcW w:w="278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86-2098312</w:t>
            </w:r>
          </w:p>
        </w:tc>
      </w:tr>
      <w:tr>
        <w:trPr>
          <w:trHeight w:val="144"/>
        </w:trPr>
        <w:tc>
          <w:tcPr>
            <w:tcW w:w="2980" w:type="dxa"/>
            <w:vAlign w:val="bottom"/>
          </w:tcPr>
          <w:p>
            <w:pPr>
              <w:jc w:val="center"/>
              <w:ind w:right="1040"/>
              <w:spacing w:after="0"/>
              <w:rPr>
                <w:sz w:val="20"/>
                <w:szCs w:val="20"/>
                <w:color w:val="auto"/>
              </w:rPr>
            </w:pPr>
            <w:r>
              <w:rPr>
                <w:rFonts w:ascii="Times New Roman" w:cs="Times New Roman" w:eastAsia="Times New Roman" w:hAnsi="Times New Roman"/>
                <w:sz w:val="12"/>
                <w:szCs w:val="12"/>
                <w:color w:val="auto"/>
              </w:rPr>
              <w:t>(State or other jurisdiction of</w:t>
            </w:r>
          </w:p>
        </w:tc>
        <w:tc>
          <w:tcPr>
            <w:tcW w:w="3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780" w:type="dxa"/>
            <w:vAlign w:val="bottom"/>
          </w:tcPr>
          <w:p>
            <w:pPr>
              <w:jc w:val="center"/>
              <w:ind w:left="1060"/>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155"/>
        </w:trPr>
        <w:tc>
          <w:tcPr>
            <w:tcW w:w="2980" w:type="dxa"/>
            <w:vAlign w:val="bottom"/>
          </w:tcPr>
          <w:p>
            <w:pPr>
              <w:jc w:val="center"/>
              <w:ind w:right="1040"/>
              <w:spacing w:after="0"/>
              <w:rPr>
                <w:sz w:val="20"/>
                <w:szCs w:val="20"/>
                <w:color w:val="auto"/>
              </w:rPr>
            </w:pPr>
            <w:r>
              <w:rPr>
                <w:rFonts w:ascii="Times New Roman" w:cs="Times New Roman" w:eastAsia="Times New Roman" w:hAnsi="Times New Roman"/>
                <w:sz w:val="12"/>
                <w:szCs w:val="12"/>
                <w:color w:val="auto"/>
                <w:w w:val="98"/>
              </w:rPr>
              <w:t>incorporation)</w:t>
            </w:r>
          </w:p>
        </w:tc>
        <w:tc>
          <w:tcPr>
            <w:tcW w:w="3540" w:type="dxa"/>
            <w:vAlign w:val="bottom"/>
          </w:tcPr>
          <w:p>
            <w:pPr>
              <w:spacing w:after="0"/>
              <w:rPr>
                <w:sz w:val="13"/>
                <w:szCs w:val="13"/>
                <w:color w:val="auto"/>
              </w:rPr>
            </w:pPr>
          </w:p>
        </w:tc>
        <w:tc>
          <w:tcPr>
            <w:tcW w:w="2780" w:type="dxa"/>
            <w:vAlign w:val="bottom"/>
          </w:tcPr>
          <w:p>
            <w:pPr>
              <w:spacing w:after="0"/>
              <w:rPr>
                <w:sz w:val="13"/>
                <w:szCs w:val="13"/>
                <w:color w:val="auto"/>
              </w:rPr>
            </w:pPr>
          </w:p>
        </w:tc>
      </w:tr>
      <w:tr>
        <w:trPr>
          <w:trHeight w:val="264"/>
        </w:trPr>
        <w:tc>
          <w:tcPr>
            <w:tcW w:w="2980" w:type="dxa"/>
            <w:vAlign w:val="bottom"/>
          </w:tcPr>
          <w:p>
            <w:pPr>
              <w:jc w:val="center"/>
              <w:ind w:right="1040"/>
              <w:spacing w:after="0"/>
              <w:rPr>
                <w:sz w:val="20"/>
                <w:szCs w:val="20"/>
                <w:color w:val="auto"/>
              </w:rPr>
            </w:pPr>
            <w:r>
              <w:rPr>
                <w:rFonts w:ascii="Times New Roman" w:cs="Times New Roman" w:eastAsia="Times New Roman" w:hAnsi="Times New Roman"/>
                <w:sz w:val="12"/>
                <w:szCs w:val="12"/>
                <w:b w:val="1"/>
                <w:bCs w:val="1"/>
                <w:color w:val="auto"/>
                <w:w w:val="98"/>
              </w:rPr>
              <w:t>Two American Lane</w:t>
            </w:r>
          </w:p>
        </w:tc>
        <w:tc>
          <w:tcPr>
            <w:tcW w:w="35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159"/>
        </w:trPr>
        <w:tc>
          <w:tcPr>
            <w:tcW w:w="2980" w:type="dxa"/>
            <w:vAlign w:val="bottom"/>
          </w:tcPr>
          <w:p>
            <w:pPr>
              <w:jc w:val="center"/>
              <w:ind w:right="1040"/>
              <w:spacing w:after="0"/>
              <w:rPr>
                <w:sz w:val="20"/>
                <w:szCs w:val="20"/>
                <w:color w:val="auto"/>
              </w:rPr>
            </w:pPr>
            <w:r>
              <w:rPr>
                <w:rFonts w:ascii="Times New Roman" w:cs="Times New Roman" w:eastAsia="Times New Roman" w:hAnsi="Times New Roman"/>
                <w:sz w:val="12"/>
                <w:szCs w:val="12"/>
                <w:b w:val="1"/>
                <w:bCs w:val="1"/>
                <w:color w:val="auto"/>
                <w:w w:val="99"/>
              </w:rPr>
              <w:t>Greenwich, Connecticut</w:t>
            </w:r>
          </w:p>
        </w:tc>
        <w:tc>
          <w:tcPr>
            <w:tcW w:w="3540" w:type="dxa"/>
            <w:vAlign w:val="bottom"/>
          </w:tcPr>
          <w:p>
            <w:pPr>
              <w:spacing w:after="0"/>
              <w:rPr>
                <w:sz w:val="13"/>
                <w:szCs w:val="13"/>
                <w:color w:val="auto"/>
              </w:rPr>
            </w:pPr>
          </w:p>
        </w:tc>
        <w:tc>
          <w:tcPr>
            <w:tcW w:w="2780" w:type="dxa"/>
            <w:vAlign w:val="bottom"/>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06831</w:t>
            </w:r>
          </w:p>
        </w:tc>
      </w:tr>
      <w:tr>
        <w:trPr>
          <w:trHeight w:val="180"/>
        </w:trPr>
        <w:tc>
          <w:tcPr>
            <w:tcW w:w="2980" w:type="dxa"/>
            <w:vAlign w:val="bottom"/>
          </w:tcPr>
          <w:p>
            <w:pPr>
              <w:jc w:val="center"/>
              <w:ind w:right="102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3540" w:type="dxa"/>
            <w:vAlign w:val="bottom"/>
          </w:tcPr>
          <w:p>
            <w:pPr>
              <w:spacing w:after="0"/>
              <w:rPr>
                <w:sz w:val="15"/>
                <w:szCs w:val="15"/>
                <w:color w:val="auto"/>
              </w:rPr>
            </w:pPr>
          </w:p>
        </w:tc>
        <w:tc>
          <w:tcPr>
            <w:tcW w:w="2780" w:type="dxa"/>
            <w:vAlign w:val="bottom"/>
          </w:tcPr>
          <w:p>
            <w:pPr>
              <w:jc w:val="center"/>
              <w:ind w:left="1080"/>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2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(203) 489-1287</w:t>
      </w:r>
    </w:p>
    <w:p>
      <w:pPr>
        <w:spacing w:after="0" w:line="14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4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8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93" w:lineRule="exact"/>
        <w:rPr>
          <w:sz w:val="24"/>
          <w:szCs w:val="24"/>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42" w:lineRule="exact"/>
        <w:rPr>
          <w:rFonts w:ascii="MS PGothic" w:cs="MS PGothic" w:eastAsia="MS PGothic" w:hAnsi="MS PGothic"/>
          <w:sz w:val="12"/>
          <w:szCs w:val="12"/>
          <w:color w:val="auto"/>
          <w:highlight w:val="black"/>
        </w:rPr>
      </w:pPr>
    </w:p>
    <w:p>
      <w:pPr>
        <w:ind w:left="680" w:hanging="405"/>
        <w:spacing w:after="0"/>
        <w:tabs>
          <w:tab w:leader="none" w:pos="6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42" w:lineRule="exact"/>
        <w:rPr>
          <w:rFonts w:ascii="MS PGothic" w:cs="MS PGothic" w:eastAsia="MS PGothic" w:hAnsi="MS PGothic"/>
          <w:sz w:val="12"/>
          <w:szCs w:val="12"/>
          <w:color w:val="auto"/>
          <w:highlight w:val="black"/>
        </w:rPr>
      </w:pPr>
    </w:p>
    <w:p>
      <w:pPr>
        <w:ind w:left="680" w:hanging="405"/>
        <w:spacing w:after="0"/>
        <w:tabs>
          <w:tab w:leader="none" w:pos="6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42" w:lineRule="exact"/>
        <w:rPr>
          <w:rFonts w:ascii="MS PGothic" w:cs="MS PGothic" w:eastAsia="MS PGothic" w:hAnsi="MS PGothic"/>
          <w:sz w:val="12"/>
          <w:szCs w:val="12"/>
          <w:color w:val="auto"/>
          <w:highlight w:val="black"/>
        </w:rPr>
      </w:pPr>
    </w:p>
    <w:p>
      <w:pPr>
        <w:ind w:left="680" w:hanging="405"/>
        <w:spacing w:after="0"/>
        <w:tabs>
          <w:tab w:leader="none" w:pos="6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1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203" w:lineRule="exact"/>
        <w:rPr>
          <w:sz w:val="24"/>
          <w:szCs w:val="24"/>
          <w:color w:val="auto"/>
        </w:rPr>
      </w:pPr>
    </w:p>
    <w:tbl>
      <w:tblPr>
        <w:tblLayout w:type="fixed"/>
        <w:tblInd w:w="1040" w:type="dxa"/>
        <w:tblCellMar>
          <w:top w:w="0" w:type="dxa"/>
          <w:left w:w="0" w:type="dxa"/>
          <w:bottom w:w="0" w:type="dxa"/>
          <w:right w:w="0" w:type="dxa"/>
        </w:tblCellMar>
      </w:tblPr>
      <w:tr>
        <w:trPr>
          <w:trHeight w:val="138"/>
        </w:trPr>
        <w:tc>
          <w:tcPr>
            <w:tcW w:w="5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300" w:type="dxa"/>
            <w:vAlign w:val="bottom"/>
          </w:tcPr>
          <w:p>
            <w:pPr>
              <w:spacing w:after="0"/>
              <w:rPr>
                <w:sz w:val="12"/>
                <w:szCs w:val="12"/>
                <w:color w:val="auto"/>
              </w:rPr>
            </w:pPr>
          </w:p>
        </w:tc>
        <w:tc>
          <w:tcPr>
            <w:tcW w:w="2900" w:type="dxa"/>
            <w:vAlign w:val="bottom"/>
            <w:gridSpan w:val="2"/>
          </w:tcPr>
          <w:p>
            <w:pPr>
              <w:jc w:val="center"/>
              <w:ind w:right="20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20"/>
        </w:trPr>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r>
      <w:tr>
        <w:trPr>
          <w:trHeight w:val="187"/>
        </w:trPr>
        <w:tc>
          <w:tcPr>
            <w:tcW w:w="3760" w:type="dxa"/>
            <w:vAlign w:val="bottom"/>
            <w:gridSpan w:val="3"/>
          </w:tcPr>
          <w:p>
            <w:pPr>
              <w:jc w:val="center"/>
              <w:ind w:right="1760"/>
              <w:spacing w:after="0"/>
              <w:rPr>
                <w:sz w:val="20"/>
                <w:szCs w:val="20"/>
                <w:color w:val="auto"/>
              </w:rPr>
            </w:pPr>
            <w:r>
              <w:rPr>
                <w:rFonts w:ascii="Times New Roman" w:cs="Times New Roman" w:eastAsia="Times New Roman" w:hAnsi="Times New Roman"/>
                <w:sz w:val="12"/>
                <w:szCs w:val="12"/>
                <w:color w:val="auto"/>
                <w:w w:val="99"/>
              </w:rPr>
              <w:t>Common stock, par value $0.01 per share</w:t>
            </w:r>
          </w:p>
        </w:tc>
        <w:tc>
          <w:tcPr>
            <w:tcW w:w="2900" w:type="dxa"/>
            <w:vAlign w:val="bottom"/>
            <w:gridSpan w:val="2"/>
          </w:tcPr>
          <w:p>
            <w:pPr>
              <w:jc w:val="center"/>
              <w:ind w:right="2080"/>
              <w:spacing w:after="0"/>
              <w:rPr>
                <w:sz w:val="20"/>
                <w:szCs w:val="20"/>
                <w:color w:val="auto"/>
              </w:rPr>
            </w:pPr>
            <w:r>
              <w:rPr>
                <w:rFonts w:ascii="Times New Roman" w:cs="Times New Roman" w:eastAsia="Times New Roman" w:hAnsi="Times New Roman"/>
                <w:sz w:val="12"/>
                <w:szCs w:val="12"/>
                <w:color w:val="auto"/>
                <w:w w:val="99"/>
              </w:rPr>
              <w:t>GXO</w:t>
            </w: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r>
        <w:trPr>
          <w:trHeight w:val="189"/>
        </w:trPr>
        <w:tc>
          <w:tcPr>
            <w:tcW w:w="3760" w:type="dxa"/>
            <w:vAlign w:val="bottom"/>
            <w:gridSpan w:val="3"/>
          </w:tcPr>
          <w:p>
            <w:pPr>
              <w:jc w:val="center"/>
              <w:ind w:right="1760"/>
              <w:spacing w:after="0"/>
              <w:rPr>
                <w:sz w:val="20"/>
                <w:szCs w:val="20"/>
                <w:color w:val="auto"/>
              </w:rPr>
            </w:pPr>
            <w:r>
              <w:rPr>
                <w:rFonts w:ascii="Times New Roman" w:cs="Times New Roman" w:eastAsia="Times New Roman" w:hAnsi="Times New Roman"/>
                <w:sz w:val="12"/>
                <w:szCs w:val="12"/>
                <w:color w:val="auto"/>
              </w:rPr>
              <w:t>3.750% Notes due 2030</w:t>
            </w:r>
          </w:p>
        </w:tc>
        <w:tc>
          <w:tcPr>
            <w:tcW w:w="2900" w:type="dxa"/>
            <w:vAlign w:val="bottom"/>
            <w:gridSpan w:val="2"/>
          </w:tcPr>
          <w:p>
            <w:pPr>
              <w:jc w:val="center"/>
              <w:ind w:right="2080"/>
              <w:spacing w:after="0"/>
              <w:rPr>
                <w:sz w:val="20"/>
                <w:szCs w:val="20"/>
                <w:color w:val="auto"/>
              </w:rPr>
            </w:pPr>
            <w:r>
              <w:rPr>
                <w:rFonts w:ascii="Times New Roman" w:cs="Times New Roman" w:eastAsia="Times New Roman" w:hAnsi="Times New Roman"/>
                <w:sz w:val="12"/>
                <w:szCs w:val="12"/>
                <w:color w:val="auto"/>
              </w:rPr>
              <w:t>GXO/30</w:t>
            </w: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241" w:lineRule="exact"/>
        <w:rPr>
          <w:sz w:val="24"/>
          <w:szCs w:val="24"/>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tabs>
          <w:tab w:leader="none" w:pos="1400"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621665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20"/>
          </w:cols>
          <w:pgMar w:left="300" w:top="949" w:right="479" w:bottom="1440" w:gutter="0" w:footer="0" w:header="0"/>
        </w:sectPr>
      </w:pPr>
    </w:p>
    <w:bookmarkStart w:id="1" w:name="page2"/>
    <w:bookmarkEnd w:id="1"/>
    <w:p>
      <w:pPr>
        <w:spacing w:after="0" w:line="16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501650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80"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On May 5, 2026, GXO Logistics, Inc. (the “Company”) released a slide presentation expected to be used by the Company in connection with certain future investor presentations. A copy of the slide presentation is attached as Exhibit 99.1 to this Current Report on Form 8-K.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slide presentation should be read together with the Company's filings with the Securities and Exchange Commission, including the Quarterly Report on Form 10-Q for the fiscal quarter ended March 31, 2026.</w:t>
      </w:r>
    </w:p>
    <w:p>
      <w:pPr>
        <w:spacing w:after="0" w:line="168" w:lineRule="exact"/>
        <w:rPr>
          <w:sz w:val="20"/>
          <w:szCs w:val="20"/>
          <w:color w:val="auto"/>
        </w:rPr>
      </w:pPr>
    </w:p>
    <w:p>
      <w:pPr>
        <w:ind w:right="80"/>
        <w:spacing w:after="0" w:line="327" w:lineRule="auto"/>
        <w:rPr>
          <w:sz w:val="20"/>
          <w:szCs w:val="20"/>
          <w:color w:val="auto"/>
        </w:rPr>
      </w:pPr>
      <w:r>
        <w:rPr>
          <w:rFonts w:ascii="Times New Roman" w:cs="Times New Roman" w:eastAsia="Times New Roman" w:hAnsi="Times New Roman"/>
          <w:sz w:val="11"/>
          <w:szCs w:val="11"/>
          <w:color w:val="auto"/>
        </w:rPr>
        <w:t>The information furnished pursuant to this Item 7.01, including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 except as shall be expressly set forth by specific reference in such filing.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The following exhibits are being filed herewith:</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20" w:type="dxa"/>
            <w:vAlign w:val="bottom"/>
          </w:tcPr>
          <w:p>
            <w:pPr>
              <w:spacing w:after="0"/>
              <w:rPr>
                <w:sz w:val="13"/>
                <w:szCs w:val="13"/>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960" w:type="dxa"/>
            <w:vAlign w:val="bottom"/>
            <w:gridSpan w:val="2"/>
          </w:tcPr>
          <w:p>
            <w:pPr>
              <w:ind w:left="266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7"/>
        </w:trPr>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7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24"/>
        </w:trPr>
        <w:tc>
          <w:tcPr>
            <w:tcW w:w="1240" w:type="dxa"/>
            <w:vAlign w:val="bottom"/>
            <w:gridSpan w:val="2"/>
          </w:tcPr>
          <w:p>
            <w:pPr>
              <w:jc w:val="right"/>
              <w:ind w:right="440"/>
              <w:spacing w:after="0" w:line="124" w:lineRule="exact"/>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10"/>
                <w:szCs w:val="10"/>
                <w:color w:val="auto"/>
              </w:rPr>
            </w:pPr>
          </w:p>
        </w:tc>
        <w:tc>
          <w:tcPr>
            <w:tcW w:w="9980" w:type="dxa"/>
            <w:vAlign w:val="bottom"/>
            <w:gridSpan w:val="4"/>
          </w:tcPr>
          <w:p>
            <w:pPr>
              <w:ind w:left="20"/>
              <w:spacing w:after="0" w:line="124" w:lineRule="exact"/>
              <w:rPr>
                <w:sz w:val="20"/>
                <w:szCs w:val="20"/>
                <w:color w:val="auto"/>
              </w:rPr>
            </w:pPr>
            <w:r>
              <w:rPr>
                <w:rFonts w:ascii="Times New Roman" w:cs="Times New Roman" w:eastAsia="Times New Roman" w:hAnsi="Times New Roman"/>
                <w:sz w:val="12"/>
                <w:szCs w:val="12"/>
                <w:color w:val="0000FF"/>
              </w:rPr>
              <w:t>Investor Presentation, dated May 5, 2026.</w:t>
            </w:r>
          </w:p>
        </w:tc>
      </w:tr>
      <w:tr>
        <w:trPr>
          <w:trHeight w:val="20"/>
        </w:trPr>
        <w:tc>
          <w:tcPr>
            <w:tcW w:w="1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r>
      <w:tr>
        <w:trPr>
          <w:trHeight w:val="196"/>
        </w:trPr>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1071"/>
        </w:trPr>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7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79"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Dated: May 5, 2026</w:t>
            </w:r>
          </w:p>
        </w:tc>
        <w:tc>
          <w:tcPr>
            <w:tcW w:w="8120" w:type="dxa"/>
            <w:vAlign w:val="bottom"/>
            <w:gridSpan w:val="2"/>
          </w:tcPr>
          <w:p>
            <w:pPr>
              <w:ind w:left="2220"/>
              <w:spacing w:after="0"/>
              <w:rPr>
                <w:sz w:val="20"/>
                <w:szCs w:val="20"/>
                <w:color w:val="auto"/>
              </w:rPr>
            </w:pPr>
            <w:r>
              <w:rPr>
                <w:rFonts w:ascii="Times New Roman" w:cs="Times New Roman" w:eastAsia="Times New Roman" w:hAnsi="Times New Roman"/>
                <w:sz w:val="12"/>
                <w:szCs w:val="12"/>
                <w:b w:val="1"/>
                <w:bCs w:val="1"/>
                <w:color w:val="auto"/>
              </w:rPr>
              <w:t>GXO LOGISTICS, INC.</w:t>
            </w:r>
          </w:p>
        </w:tc>
        <w:tc>
          <w:tcPr>
            <w:tcW w:w="0" w:type="dxa"/>
            <w:vAlign w:val="bottom"/>
          </w:tcPr>
          <w:p>
            <w:pPr>
              <w:spacing w:after="0"/>
              <w:rPr>
                <w:sz w:val="1"/>
                <w:szCs w:val="1"/>
                <w:color w:val="auto"/>
              </w:rPr>
            </w:pPr>
          </w:p>
        </w:tc>
      </w:tr>
      <w:tr>
        <w:trPr>
          <w:trHeight w:val="369"/>
        </w:trPr>
        <w:tc>
          <w:tcPr>
            <w:tcW w:w="3180" w:type="dxa"/>
            <w:vAlign w:val="bottom"/>
          </w:tcPr>
          <w:p>
            <w:pPr>
              <w:spacing w:after="0"/>
              <w:rPr>
                <w:sz w:val="24"/>
                <w:szCs w:val="24"/>
                <w:color w:val="auto"/>
              </w:rPr>
            </w:pPr>
          </w:p>
        </w:tc>
        <w:tc>
          <w:tcPr>
            <w:tcW w:w="3040" w:type="dxa"/>
            <w:vAlign w:val="bottom"/>
          </w:tcPr>
          <w:p>
            <w:pPr>
              <w:ind w:left="220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 Mark Suchinski</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3040" w:type="dxa"/>
            <w:vAlign w:val="bottom"/>
            <w:vMerge w:val="restart"/>
          </w:tcPr>
          <w:p>
            <w:pPr>
              <w:ind w:left="2200"/>
              <w:spacing w:after="0"/>
              <w:rPr>
                <w:sz w:val="20"/>
                <w:szCs w:val="20"/>
                <w:color w:val="auto"/>
              </w:rPr>
            </w:pPr>
            <w:r>
              <w:rPr>
                <w:rFonts w:ascii="Times New Roman" w:cs="Times New Roman" w:eastAsia="Times New Roman" w:hAnsi="Times New Roman"/>
                <w:sz w:val="12"/>
                <w:szCs w:val="12"/>
                <w:color w:val="auto"/>
              </w:rPr>
              <w:t>Name:</w:t>
            </w: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180" w:type="dxa"/>
            <w:vAlign w:val="bottom"/>
          </w:tcPr>
          <w:p>
            <w:pPr>
              <w:spacing w:after="0"/>
              <w:rPr>
                <w:sz w:val="13"/>
                <w:szCs w:val="13"/>
                <w:color w:val="auto"/>
              </w:rPr>
            </w:pPr>
          </w:p>
        </w:tc>
        <w:tc>
          <w:tcPr>
            <w:tcW w:w="3040" w:type="dxa"/>
            <w:vAlign w:val="bottom"/>
            <w:vMerge w:val="continue"/>
          </w:tcPr>
          <w:p>
            <w:pPr>
              <w:spacing w:after="0"/>
              <w:rPr>
                <w:sz w:val="13"/>
                <w:szCs w:val="13"/>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Mark Suchinski</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3040" w:type="dxa"/>
            <w:vAlign w:val="bottom"/>
          </w:tcPr>
          <w:p>
            <w:pPr>
              <w:ind w:left="220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300"/>
          </w:cols>
          <w:pgMar w:left="300" w:top="881" w:right="2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7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27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2026-05-05T16:01:15Z</dcterms:created>
  <dcterms:modified xsi:type="dcterms:W3CDTF">2026-05-05T16:01:15Z</dcterms:modified>
</cp:coreProperties>
</file>