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772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7202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Cooper Todd C</w:t>
              </w:r>
            </w:hyperlink>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GXO Logistics,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GXO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700" w:type="dxa"/>
            <w:vAlign w:val="bottom"/>
            <w:tcBorders>
              <w:top w:val="single" w:sz="8" w:color="0000EE"/>
            </w:tcBorders>
          </w:tcPr>
          <w:p>
            <w:pPr>
              <w:spacing w:after="0"/>
              <w:rPr>
                <w:sz w:val="5"/>
                <w:szCs w:val="5"/>
                <w:color w:val="auto"/>
              </w:rPr>
            </w:pPr>
          </w:p>
        </w:tc>
        <w:tc>
          <w:tcPr>
            <w:tcW w:w="20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9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8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20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GXO LOGISTICS, INC.</w:t>
            </w:r>
          </w:p>
        </w:tc>
        <w:tc>
          <w:tcPr>
            <w:tcW w:w="1400" w:type="dxa"/>
            <w:vAlign w:val="bottom"/>
          </w:tcPr>
          <w:p>
            <w:pPr>
              <w:spacing w:after="0"/>
              <w:rPr>
                <w:sz w:val="10"/>
                <w:szCs w:val="10"/>
                <w:color w:val="auto"/>
              </w:rPr>
            </w:pPr>
          </w:p>
        </w:tc>
        <w:tc>
          <w:tcPr>
            <w:tcW w:w="1860" w:type="dxa"/>
            <w:vAlign w:val="bottom"/>
            <w:gridSpan w:val="3"/>
            <w:vMerge w:val="continue"/>
          </w:tcPr>
          <w:p>
            <w:pPr>
              <w:spacing w:after="0"/>
              <w:rPr>
                <w:sz w:val="10"/>
                <w:szCs w:val="10"/>
                <w:color w:val="auto"/>
              </w:rPr>
            </w:pPr>
          </w:p>
        </w:tc>
        <w:tc>
          <w:tcPr>
            <w:tcW w:w="20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TWO AMERICAN LANE</w:t>
            </w: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70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220" w:type="dxa"/>
            <w:vAlign w:val="bottom"/>
            <w:gridSpan w:val="3"/>
            <w:vMerge w:val="continue"/>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GREENWICH</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06831</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3,837</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30" w:lineRule="exact"/>
              <w:rPr>
                <w:sz w:val="20"/>
                <w:szCs w:val="20"/>
                <w:color w:val="auto"/>
              </w:rPr>
            </w:pPr>
            <w:r>
              <w:rPr>
                <w:rFonts w:ascii="Times New Roman" w:cs="Times New Roman" w:eastAsia="Times New Roman" w:hAnsi="Times New Roman"/>
                <w:sz w:val="13"/>
                <w:szCs w:val="13"/>
                <w:color w:val="0000FF"/>
              </w:rPr>
              <w:t>05/20/2026</w:t>
            </w:r>
          </w:p>
        </w:tc>
        <w:tc>
          <w:tcPr>
            <w:tcW w:w="1100" w:type="dxa"/>
            <w:vAlign w:val="bottom"/>
          </w:tcPr>
          <w:p>
            <w:pPr>
              <w:spacing w:after="0"/>
              <w:rPr>
                <w:sz w:val="11"/>
                <w:szCs w:val="11"/>
                <w:color w:val="auto"/>
              </w:rPr>
            </w:pPr>
          </w:p>
        </w:tc>
        <w:tc>
          <w:tcPr>
            <w:tcW w:w="800" w:type="dxa"/>
            <w:vAlign w:val="bottom"/>
          </w:tcPr>
          <w:p>
            <w:pPr>
              <w:ind w:left="180"/>
              <w:spacing w:after="0" w:line="130"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3,837</w:t>
            </w:r>
          </w:p>
        </w:tc>
        <w:tc>
          <w:tcPr>
            <w:tcW w:w="2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3,837</w:t>
            </w:r>
          </w:p>
        </w:tc>
        <w:tc>
          <w:tcPr>
            <w:tcW w:w="74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either (i) one share of GXO Logistics, Inc. ("GXO") common stock, par value $0.01 per share ("GXO Common Stock"), or (ii) a cash payment equal to the fair market value of one share of GXO Common Stock.</w:t>
      </w:r>
    </w:p>
    <w:p>
      <w:pPr>
        <w:spacing w:after="0" w:line="15" w:lineRule="exact"/>
        <w:rPr>
          <w:rFonts w:ascii="Times New Roman" w:cs="Times New Roman" w:eastAsia="Times New Roman" w:hAnsi="Times New Roman"/>
          <w:sz w:val="13"/>
          <w:szCs w:val="13"/>
          <w:color w:val="008000"/>
        </w:rPr>
      </w:pPr>
    </w:p>
    <w:p>
      <w:pPr>
        <w:ind w:left="40" w:right="2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shall vest on the earlier of (i) May 20, 2027 and (ii) the date of the next annual meeting of stockholders (the "Vesting Date"), provided that the Reporting Person continues to serve as a member of the Board of Directors of GXO through and until the Vesting Date.</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Karlis P. Kirsis, Attorney-</w:t>
            </w:r>
          </w:p>
        </w:tc>
        <w:tc>
          <w:tcPr>
            <w:tcW w:w="2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05/22/2026</w:t>
            </w:r>
          </w:p>
        </w:tc>
        <w:tc>
          <w:tcPr>
            <w:tcW w:w="0" w:type="dxa"/>
            <w:vAlign w:val="bottom"/>
          </w:tcPr>
          <w:p>
            <w:pPr>
              <w:spacing w:after="0"/>
              <w:rPr>
                <w:sz w:val="1"/>
                <w:szCs w:val="1"/>
                <w:color w:val="auto"/>
              </w:rPr>
            </w:pPr>
          </w:p>
        </w:tc>
      </w:tr>
      <w:tr>
        <w:trPr>
          <w:trHeight w:val="89"/>
        </w:trPr>
        <w:tc>
          <w:tcPr>
            <w:tcW w:w="48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72963" TargetMode="External"/><Relationship Id="rId14" Type="http://schemas.openxmlformats.org/officeDocument/2006/relationships/hyperlink" Target="http://www.sec.gov/cgi-bin/browse-edgar?action=getcompany&amp;CIK=00018522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2026-05-22T15:44:29Z</dcterms:created>
  <dcterms:modified xsi:type="dcterms:W3CDTF">2026-05-22T15:44:29Z</dcterms:modified>
</cp:coreProperties>
</file>