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3475.xml.htm"/>
      <w:bookmarkStart w:id="1" w:name="kswkform4_17830234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Bracken Laura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GXO LOGISTICS,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GXO Logistics, Inc.</w:t>
              </w:r>
            </w:hyperlink>
            <w:r>
              <w:rPr/>
              <w:t xml:space="preserve"> [ </w:t>
            </w:r>
            <w:r>
              <w:rPr>
                <w:rFonts w:ascii="Times;serif" w:hAnsi="Times;serif"/>
                <w:color w:val="0000FF"/>
                <w:sz w:val="24"/>
                <w:shd w:fill="FFFFFF" w:val="clear"/>
              </w:rPr>
              <w:t>GXO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CAO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502"/>
        <w:gridCol w:w="675"/>
        <w:gridCol w:w="1174"/>
        <w:gridCol w:w="1006"/>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w:t>
            </w:r>
          </w:p>
        </w:tc>
        <w:tc>
          <w:tcPr>
            <w:tcW w:w="5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w:t>
            </w:r>
          </w:p>
        </w:tc>
        <w:tc>
          <w:tcPr>
            <w:tcW w:w="5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50.7</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 shares were sold by the Reporting Person. These shares were withheld by GXO Logistics, Inc. ("GXO") to fund tax liability attributable to the vesting and settlement of the Restricted Stock Units ("RSUs") reported on this Form 4. These RSUs vested and were settled on July 1, 2026, as originally scheduled, and there were no related discretionary transactions or open market sales.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either (i) one share of GXO common stock, par value $0.01 per share ("GXO Common Stock"), or (ii) a cash payment equal to the fair market value of one share of GXO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vested on July 1, 2026, subject to the Reporting Person's continued employment with GXO.</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Karlis P. Kirsis,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483" TargetMode="External"/><Relationship Id="rId5" Type="http://schemas.openxmlformats.org/officeDocument/2006/relationships/hyperlink" Target="http://www.sec.gov/cgi-bin/browse-edgar?action=getcompany&amp;CIK=00018522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3767</Characters>
  <CharactersWithSpaces>4400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