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4300" w:right="3900" w:hanging="4281"/>
        <w:spacing w:after="0" w:line="448" w:lineRule="auto"/>
        <w:tabs>
          <w:tab w:leader="none" w:pos="467"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ind w:left="500" w:hanging="481"/>
        <w:spacing w:after="0"/>
        <w:tabs>
          <w:tab w:leader="none" w:pos="500" w:val="left"/>
        </w:tabs>
        <w:numPr>
          <w:ilvl w:val="0"/>
          <w:numId w:val="2"/>
        </w:numPr>
        <w:rPr>
          <w:rFonts w:ascii="MS PGothic" w:cs="MS PGothic" w:eastAsia="MS PGothic" w:hAnsi="MS PGothic"/>
          <w:sz w:val="28"/>
          <w:szCs w:val="28"/>
          <w:color w:val="auto"/>
          <w:highlight w:val="black"/>
          <w:vertAlign w:val="superscript"/>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001-40470</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3250565</wp:posOffset>
            </wp:positionH>
            <wp:positionV relativeFrom="paragraph">
              <wp:posOffset>5715</wp:posOffset>
            </wp:positionV>
            <wp:extent cx="673735" cy="269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735" cy="26924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GXO Logistics, Inc.</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4040" w:type="dxa"/>
            <w:vAlign w:val="bottom"/>
          </w:tcPr>
          <w:p>
            <w:pPr>
              <w:jc w:val="center"/>
              <w:ind w:left="142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980" w:type="dxa"/>
            <w:vAlign w:val="bottom"/>
          </w:tcPr>
          <w:p>
            <w:pPr>
              <w:jc w:val="right"/>
              <w:ind w:right="2349"/>
              <w:spacing w:after="0"/>
              <w:rPr>
                <w:sz w:val="20"/>
                <w:szCs w:val="20"/>
                <w:color w:val="auto"/>
              </w:rPr>
            </w:pPr>
            <w:r>
              <w:rPr>
                <w:rFonts w:ascii="Times New Roman" w:cs="Times New Roman" w:eastAsia="Times New Roman" w:hAnsi="Times New Roman"/>
                <w:sz w:val="14"/>
                <w:szCs w:val="14"/>
                <w:b w:val="1"/>
                <w:bCs w:val="1"/>
                <w:color w:val="auto"/>
              </w:rPr>
              <w:t>86-2098312</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7240" w:type="dxa"/>
            <w:vAlign w:val="bottom"/>
            <w:gridSpan w:val="6"/>
          </w:tcPr>
          <w:p>
            <w:pPr>
              <w:jc w:val="center"/>
              <w:ind w:right="17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980" w:type="dxa"/>
            <w:vAlign w:val="bottom"/>
          </w:tcPr>
          <w:p>
            <w:pPr>
              <w:jc w:val="center"/>
              <w:ind w:right="1489"/>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040" w:type="dxa"/>
            <w:vAlign w:val="bottom"/>
          </w:tcPr>
          <w:p>
            <w:pPr>
              <w:jc w:val="center"/>
              <w:ind w:left="1429"/>
              <w:spacing w:after="0"/>
              <w:rPr>
                <w:sz w:val="20"/>
                <w:szCs w:val="20"/>
                <w:color w:val="auto"/>
              </w:rPr>
            </w:pPr>
            <w:r>
              <w:rPr>
                <w:rFonts w:ascii="Times New Roman" w:cs="Times New Roman" w:eastAsia="Times New Roman" w:hAnsi="Times New Roman"/>
                <w:sz w:val="14"/>
                <w:szCs w:val="14"/>
                <w:b w:val="1"/>
                <w:bCs w:val="1"/>
                <w:color w:val="auto"/>
                <w:w w:val="99"/>
              </w:rPr>
              <w:t>Two American Lane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vMerge w:val="restart"/>
          </w:tcPr>
          <w:p>
            <w:pPr>
              <w:jc w:val="right"/>
              <w:ind w:right="2529"/>
              <w:spacing w:after="0"/>
              <w:rPr>
                <w:sz w:val="20"/>
                <w:szCs w:val="20"/>
                <w:color w:val="auto"/>
              </w:rPr>
            </w:pPr>
            <w:r>
              <w:rPr>
                <w:rFonts w:ascii="Times New Roman" w:cs="Times New Roman" w:eastAsia="Times New Roman" w:hAnsi="Times New Roman"/>
                <w:sz w:val="14"/>
                <w:szCs w:val="14"/>
                <w:b w:val="1"/>
                <w:bCs w:val="1"/>
                <w:color w:val="auto"/>
              </w:rPr>
              <w:t>06831</w:t>
            </w: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4040" w:type="dxa"/>
            <w:vAlign w:val="bottom"/>
            <w:vMerge w:val="restart"/>
          </w:tcPr>
          <w:p>
            <w:pPr>
              <w:jc w:val="center"/>
              <w:ind w:left="1429"/>
              <w:spacing w:after="0"/>
              <w:rPr>
                <w:sz w:val="20"/>
                <w:szCs w:val="20"/>
                <w:color w:val="auto"/>
              </w:rPr>
            </w:pPr>
            <w:r>
              <w:rPr>
                <w:rFonts w:ascii="Times New Roman" w:cs="Times New Roman" w:eastAsia="Times New Roman" w:hAnsi="Times New Roman"/>
                <w:sz w:val="14"/>
                <w:szCs w:val="14"/>
                <w:b w:val="1"/>
                <w:bCs w:val="1"/>
                <w:color w:val="auto"/>
              </w:rPr>
              <w:t>Greenwich, Connecticut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4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4040" w:type="dxa"/>
            <w:vAlign w:val="bottom"/>
          </w:tcPr>
          <w:p>
            <w:pPr>
              <w:jc w:val="center"/>
              <w:ind w:left="142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980" w:type="dxa"/>
            <w:vAlign w:val="bottom"/>
          </w:tcPr>
          <w:p>
            <w:pPr>
              <w:jc w:val="center"/>
              <w:ind w:right="148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2280" w:type="dxa"/>
            <w:vAlign w:val="bottom"/>
            <w:gridSpan w:val="3"/>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(203) 489-1287</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20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2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tc>
        <w:tc>
          <w:tcPr>
            <w:tcW w:w="3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0" w:type="dxa"/>
            <w:vAlign w:val="bottom"/>
          </w:tcPr>
          <w:p>
            <w:pPr>
              <w:spacing w:after="0"/>
              <w:rPr>
                <w:sz w:val="24"/>
                <w:szCs w:val="24"/>
                <w:color w:val="auto"/>
              </w:rPr>
            </w:pPr>
          </w:p>
        </w:tc>
        <w:tc>
          <w:tcPr>
            <w:tcW w:w="404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980" w:type="dxa"/>
            <w:vAlign w:val="bottom"/>
          </w:tcPr>
          <w:p>
            <w:pPr>
              <w:jc w:val="center"/>
              <w:ind w:right="78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4040" w:type="dxa"/>
            <w:vAlign w:val="bottom"/>
            <w:tcBorders>
              <w:top w:val="single" w:sz="8" w:color="auto"/>
            </w:tcBorders>
          </w:tcPr>
          <w:p>
            <w:pPr>
              <w:jc w:val="center"/>
              <w:ind w:left="49"/>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GXO</w:t>
            </w:r>
          </w:p>
        </w:tc>
        <w:tc>
          <w:tcPr>
            <w:tcW w:w="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980" w:type="dxa"/>
            <w:vAlign w:val="bottom"/>
            <w:tcBorders>
              <w:top w:val="single" w:sz="8" w:color="auto"/>
            </w:tcBorders>
          </w:tcPr>
          <w:p>
            <w:pPr>
              <w:jc w:val="center"/>
              <w:ind w:right="789"/>
              <w:spacing w:after="0"/>
              <w:rPr>
                <w:sz w:val="20"/>
                <w:szCs w:val="20"/>
                <w:color w:val="auto"/>
              </w:rPr>
            </w:pPr>
            <w:r>
              <w:rPr>
                <w:rFonts w:ascii="Times New Roman" w:cs="Times New Roman" w:eastAsia="Times New Roman" w:hAnsi="Times New Roman"/>
                <w:sz w:val="14"/>
                <w:szCs w:val="14"/>
                <w:color w:val="auto"/>
                <w:w w:val="99"/>
              </w:rPr>
              <w:t>New York Stock Exchange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404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3.750% Notes due 2030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color w:val="auto"/>
                <w:w w:val="99"/>
              </w:rPr>
              <w:t>GXO/30</w:t>
            </w:r>
          </w:p>
        </w:tc>
        <w:tc>
          <w:tcPr>
            <w:tcW w:w="3980" w:type="dxa"/>
            <w:vAlign w:val="bottom"/>
          </w:tcPr>
          <w:p>
            <w:pPr>
              <w:jc w:val="center"/>
              <w:ind w:right="789"/>
              <w:spacing w:after="0"/>
              <w:rPr>
                <w:sz w:val="20"/>
                <w:szCs w:val="20"/>
                <w:color w:val="auto"/>
              </w:rPr>
            </w:pPr>
            <w:r>
              <w:rPr>
                <w:rFonts w:ascii="Times New Roman" w:cs="Times New Roman" w:eastAsia="Times New Roman" w:hAnsi="Times New Roman"/>
                <w:sz w:val="14"/>
                <w:szCs w:val="14"/>
                <w:color w:val="auto"/>
                <w:w w:val="99"/>
              </w:rPr>
              <w:t>New York Stock Exchange</w:t>
            </w:r>
          </w:p>
        </w:tc>
        <w:tc>
          <w:tcPr>
            <w:tcW w:w="0" w:type="dxa"/>
            <w:vAlign w:val="bottom"/>
          </w:tcPr>
          <w:p>
            <w:pPr>
              <w:spacing w:after="0"/>
              <w:rPr>
                <w:sz w:val="1"/>
                <w:szCs w:val="1"/>
                <w:color w:val="auto"/>
              </w:rPr>
            </w:pPr>
          </w:p>
        </w:tc>
      </w:tr>
    </w:tbl>
    <w:p>
      <w:pPr>
        <w:spacing w:after="0" w:line="25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20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20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x</w:t>
      </w:r>
    </w:p>
    <w:p>
      <w:pPr>
        <w:spacing w:after="0" w:line="200" w:lineRule="exact"/>
        <w:rPr>
          <w:sz w:val="24"/>
          <w:szCs w:val="24"/>
          <w:color w:val="auto"/>
        </w:rPr>
      </w:pPr>
    </w:p>
    <w:p>
      <w:pPr>
        <w:ind w:right="80" w:firstLine="318"/>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145" w:lineRule="exact"/>
        <w:rPr>
          <w:sz w:val="24"/>
          <w:szCs w:val="24"/>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145" w:lineRule="exact"/>
        <w:rPr>
          <w:sz w:val="24"/>
          <w:szCs w:val="24"/>
          <w:color w:val="auto"/>
        </w:rPr>
      </w:pPr>
    </w:p>
    <w:p>
      <w:pPr>
        <w:ind w:right="340" w:firstLine="318"/>
        <w:spacing w:after="0" w:line="27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800" w:type="dxa"/>
        <w:tblCellMar>
          <w:top w:w="0" w:type="dxa"/>
          <w:left w:w="0" w:type="dxa"/>
          <w:bottom w:w="0" w:type="dxa"/>
          <w:right w:w="0" w:type="dxa"/>
        </w:tblCellMar>
      </w:tblPr>
      <w:tr>
        <w:trPr>
          <w:trHeight w:val="195"/>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4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155"/>
        </w:trPr>
        <w:tc>
          <w:tcPr>
            <w:tcW w:w="3740" w:type="dxa"/>
            <w:vAlign w:val="bottom"/>
          </w:tcPr>
          <w:p>
            <w:pPr>
              <w:jc w:val="right"/>
              <w:ind w:right="529"/>
              <w:spacing w:after="0"/>
              <w:rPr>
                <w:sz w:val="20"/>
                <w:szCs w:val="20"/>
                <w:color w:val="auto"/>
              </w:rPr>
            </w:pPr>
            <w:r>
              <w:rPr>
                <w:rFonts w:ascii="Wingdings" w:cs="Wingdings" w:eastAsia="Wingdings" w:hAnsi="Wingdings"/>
                <w:sz w:val="14"/>
                <w:szCs w:val="14"/>
                <w:b w:val="1"/>
                <w:bCs w:val="1"/>
                <w:color w:val="auto"/>
                <w:highlight w:val="black"/>
              </w:rPr>
              <w:t>x</w:t>
            </w:r>
          </w:p>
        </w:tc>
        <w:tc>
          <w:tcPr>
            <w:tcW w:w="4060" w:type="dxa"/>
            <w:vAlign w:val="bottom"/>
          </w:tcPr>
          <w:p>
            <w:pPr>
              <w:ind w:left="3940"/>
              <w:spacing w:after="0"/>
              <w:rPr>
                <w:sz w:val="20"/>
                <w:szCs w:val="20"/>
                <w:color w:val="auto"/>
              </w:rPr>
            </w:pPr>
            <w:r>
              <w:rPr>
                <w:rFonts w:ascii="Wingdings" w:cs="Wingdings" w:eastAsia="Wingdings" w:hAnsi="Wingdings"/>
                <w:sz w:val="14"/>
                <w:szCs w:val="14"/>
                <w:b w:val="1"/>
                <w:bCs w:val="1"/>
                <w:color w:val="auto"/>
                <w:highlight w:val="black"/>
                <w:w w:val="79"/>
              </w:rPr>
              <w:t>o</w:t>
            </w:r>
          </w:p>
        </w:tc>
      </w:tr>
      <w:tr>
        <w:trPr>
          <w:trHeight w:val="227"/>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4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155"/>
        </w:trPr>
        <w:tc>
          <w:tcPr>
            <w:tcW w:w="3740" w:type="dxa"/>
            <w:vAlign w:val="bottom"/>
          </w:tcPr>
          <w:p>
            <w:pPr>
              <w:jc w:val="right"/>
              <w:ind w:right="529"/>
              <w:spacing w:after="0"/>
              <w:rPr>
                <w:sz w:val="20"/>
                <w:szCs w:val="20"/>
                <w:color w:val="auto"/>
              </w:rPr>
            </w:pPr>
            <w:r>
              <w:rPr>
                <w:rFonts w:ascii="Wingdings" w:cs="Wingdings" w:eastAsia="Wingdings" w:hAnsi="Wingdings"/>
                <w:sz w:val="14"/>
                <w:szCs w:val="14"/>
                <w:b w:val="1"/>
                <w:bCs w:val="1"/>
                <w:color w:val="auto"/>
                <w:highlight w:val="black"/>
              </w:rPr>
              <w:t>o</w:t>
            </w:r>
          </w:p>
        </w:tc>
        <w:tc>
          <w:tcPr>
            <w:tcW w:w="4060" w:type="dxa"/>
            <w:vAlign w:val="bottom"/>
          </w:tcPr>
          <w:p>
            <w:pPr>
              <w:ind w:left="3940"/>
              <w:spacing w:after="0"/>
              <w:rPr>
                <w:sz w:val="20"/>
                <w:szCs w:val="20"/>
                <w:color w:val="auto"/>
              </w:rPr>
            </w:pPr>
            <w:r>
              <w:rPr>
                <w:rFonts w:ascii="Wingdings" w:cs="Wingdings" w:eastAsia="Wingdings" w:hAnsi="Wingdings"/>
                <w:sz w:val="14"/>
                <w:szCs w:val="14"/>
                <w:b w:val="1"/>
                <w:bCs w:val="1"/>
                <w:color w:val="auto"/>
                <w:highlight w:val="black"/>
                <w:w w:val="79"/>
              </w:rPr>
              <w:t>o</w:t>
            </w:r>
          </w:p>
        </w:tc>
      </w:tr>
      <w:tr>
        <w:trPr>
          <w:trHeight w:val="227"/>
        </w:trPr>
        <w:tc>
          <w:tcPr>
            <w:tcW w:w="3740" w:type="dxa"/>
            <w:vAlign w:val="bottom"/>
          </w:tcPr>
          <w:p>
            <w:pPr>
              <w:spacing w:after="0"/>
              <w:rPr>
                <w:sz w:val="19"/>
                <w:szCs w:val="19"/>
                <w:color w:val="auto"/>
              </w:rPr>
            </w:pPr>
          </w:p>
        </w:tc>
        <w:tc>
          <w:tcPr>
            <w:tcW w:w="4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Emerging growth company</w:t>
            </w:r>
          </w:p>
        </w:tc>
      </w:tr>
      <w:tr>
        <w:trPr>
          <w:trHeight w:val="155"/>
        </w:trPr>
        <w:tc>
          <w:tcPr>
            <w:tcW w:w="3740" w:type="dxa"/>
            <w:vAlign w:val="bottom"/>
          </w:tcPr>
          <w:p>
            <w:pPr>
              <w:spacing w:after="0"/>
              <w:rPr>
                <w:sz w:val="13"/>
                <w:szCs w:val="13"/>
                <w:color w:val="auto"/>
              </w:rPr>
            </w:pPr>
          </w:p>
        </w:tc>
        <w:tc>
          <w:tcPr>
            <w:tcW w:w="4060" w:type="dxa"/>
            <w:vAlign w:val="bottom"/>
          </w:tcPr>
          <w:p>
            <w:pPr>
              <w:ind w:left="3940"/>
              <w:spacing w:after="0"/>
              <w:rPr>
                <w:sz w:val="20"/>
                <w:szCs w:val="20"/>
                <w:color w:val="auto"/>
              </w:rPr>
            </w:pPr>
            <w:r>
              <w:rPr>
                <w:rFonts w:ascii="Wingdings" w:cs="Wingdings" w:eastAsia="Wingdings" w:hAnsi="Wingdings"/>
                <w:sz w:val="14"/>
                <w:szCs w:val="14"/>
                <w:b w:val="1"/>
                <w:bCs w:val="1"/>
                <w:color w:val="auto"/>
                <w:highlight w:val="black"/>
                <w:w w:val="79"/>
              </w:rPr>
              <w:t>o</w:t>
            </w:r>
          </w:p>
        </w:tc>
      </w:tr>
    </w:tbl>
    <w:p>
      <w:pPr>
        <w:spacing w:after="0" w:line="276" w:lineRule="exact"/>
        <w:rPr>
          <w:sz w:val="24"/>
          <w:szCs w:val="24"/>
          <w:color w:val="auto"/>
        </w:rPr>
      </w:pPr>
    </w:p>
    <w:p>
      <w:pPr>
        <w:ind w:right="480" w:firstLine="318"/>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highlight w:val="black"/>
        </w:rPr>
        <w:t>o</w:t>
      </w:r>
    </w:p>
    <w:p>
      <w:pPr>
        <w:spacing w:after="0" w:line="145" w:lineRule="exact"/>
        <w:rPr>
          <w:sz w:val="24"/>
          <w:szCs w:val="24"/>
          <w:color w:val="auto"/>
        </w:rPr>
      </w:pPr>
    </w:p>
    <w:p>
      <w:pPr>
        <w:ind w:right="420" w:firstLine="318"/>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highlight w:val="black"/>
        </w:rPr>
        <w:t>x</w:t>
      </w:r>
    </w:p>
    <w:p>
      <w:pPr>
        <w:spacing w:after="0" w:line="145" w:lineRule="exact"/>
        <w:rPr>
          <w:sz w:val="24"/>
          <w:szCs w:val="24"/>
          <w:color w:val="auto"/>
        </w:rPr>
      </w:pPr>
    </w:p>
    <w:p>
      <w:pPr>
        <w:ind w:right="40" w:firstLine="318"/>
        <w:spacing w:after="0" w:line="287"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highlight w:val="black"/>
        </w:rPr>
        <w:t>o</w:t>
      </w:r>
    </w:p>
    <w:p>
      <w:pPr>
        <w:spacing w:after="0" w:line="145" w:lineRule="exact"/>
        <w:rPr>
          <w:sz w:val="24"/>
          <w:szCs w:val="24"/>
          <w:color w:val="auto"/>
        </w:rPr>
      </w:pPr>
    </w:p>
    <w:p>
      <w:pPr>
        <w:ind w:right="200" w:firstLine="318"/>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highlight w:val="black"/>
        </w:rPr>
        <w:t>o</w:t>
      </w:r>
    </w:p>
    <w:p>
      <w:pPr>
        <w:spacing w:after="0" w:line="114" w:lineRule="exact"/>
        <w:rPr>
          <w:sz w:val="24"/>
          <w:szCs w:val="24"/>
          <w:color w:val="auto"/>
        </w:rPr>
      </w:pPr>
    </w:p>
    <w:p>
      <w:pPr>
        <w:ind w:left="320"/>
        <w:spacing w:after="0" w:line="161" w:lineRule="exact"/>
        <w:tabs>
          <w:tab w:leader="none" w:pos="66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highlight w:val="black"/>
        </w:rPr>
        <w:t>x</w:t>
      </w:r>
    </w:p>
    <w:p>
      <w:pPr>
        <w:spacing w:after="0" w:line="231" w:lineRule="exact"/>
        <w:rPr>
          <w:sz w:val="24"/>
          <w:szCs w:val="24"/>
          <w:color w:val="auto"/>
        </w:rPr>
      </w:pPr>
    </w:p>
    <w:p>
      <w:pPr>
        <w:ind w:right="160" w:firstLine="318"/>
        <w:spacing w:after="0" w:line="287"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was $5.5 billion as of June 30, 2025, based upon the closing price of the common stock on that date.</w:t>
      </w:r>
    </w:p>
    <w:p>
      <w:pPr>
        <w:spacing w:after="0" w:line="145"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February 20, 2026, there were 114,713,579 shares of the registrant’s common stock, par value $0.01 per share, outstanding.</w:t>
      </w:r>
    </w:p>
    <w:p>
      <w:pPr>
        <w:spacing w:after="0" w:line="198"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02" w:lineRule="exact"/>
        <w:rPr>
          <w:sz w:val="24"/>
          <w:szCs w:val="24"/>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Specified portions of the registrant’s proxy statement, which will be filed with the Securities and Exchange Commission pursuant to Regulation 14A in connection with the registrant’s 2026 Annual Meeting of Stockholders (the “Proxy Statement”), are incorporated by reference into Part III of this Annual Report on Form 10-K. Except with respect to information specifically incorporated by reference in this Annual Report, the Proxy Statement is not deemed to be filed as part hereof.</w:t>
      </w:r>
    </w:p>
    <w:p>
      <w:pPr>
        <w:sectPr>
          <w:pgSz w:w="11900" w:h="16838" w:orient="portrait"/>
          <w:cols w:equalWidth="0" w:num="1">
            <w:col w:w="11280"/>
          </w:cols>
          <w:pgMar w:left="300" w:top="1279" w:right="319" w:bottom="0" w:gutter="0" w:footer="0" w:header="0"/>
        </w:sectPr>
      </w:pPr>
    </w:p>
    <w:bookmarkStart w:id="1" w:name="page2"/>
    <w:bookmarkEnd w:id="1"/>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763270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180" w:type="dxa"/>
            <w:vAlign w:val="bottom"/>
            <w:gridSpan w:val="5"/>
          </w:tcPr>
          <w:p>
            <w:pPr>
              <w:jc w:val="center"/>
              <w:ind w:right="3460"/>
              <w:spacing w:after="0"/>
              <w:rPr>
                <w:sz w:val="20"/>
                <w:szCs w:val="20"/>
                <w:color w:val="auto"/>
              </w:rPr>
            </w:pPr>
            <w:r>
              <w:rPr>
                <w:rFonts w:ascii="Times New Roman" w:cs="Times New Roman" w:eastAsia="Times New Roman" w:hAnsi="Times New Roman"/>
                <w:sz w:val="14"/>
                <w:szCs w:val="14"/>
                <w:b w:val="1"/>
                <w:bCs w:val="1"/>
                <w:color w:val="auto"/>
              </w:rPr>
              <w:t>GXO Logistics, Inc.</w:t>
            </w: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760" w:type="dxa"/>
            <w:vAlign w:val="bottom"/>
            <w:gridSpan w:val="4"/>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40" w:type="dxa"/>
            <w:vAlign w:val="bottom"/>
            <w:gridSpan w:val="7"/>
          </w:tcPr>
          <w:p>
            <w:pPr>
              <w:jc w:val="center"/>
              <w:ind w:right="280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180" w:type="dxa"/>
            <w:vAlign w:val="bottom"/>
            <w:gridSpan w:val="5"/>
          </w:tcPr>
          <w:p>
            <w:pPr>
              <w:jc w:val="center"/>
              <w:ind w:right="344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13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5"/>
                <w:szCs w:val="15"/>
                <w:color w:val="auto"/>
              </w:rPr>
            </w:pPr>
          </w:p>
        </w:tc>
        <w:tc>
          <w:tcPr>
            <w:tcW w:w="9940" w:type="dxa"/>
            <w:vAlign w:val="bottom"/>
            <w:gridSpan w:val="24"/>
            <w:vMerge w:val="restart"/>
          </w:tcPr>
          <w:p>
            <w:pPr>
              <w:spacing w:after="0"/>
              <w:rPr>
                <w:sz w:val="20"/>
                <w:szCs w:val="20"/>
                <w:color w:val="auto"/>
              </w:rPr>
            </w:pPr>
            <w:r>
              <w:rPr>
                <w:rFonts w:ascii="Times New Roman" w:cs="Times New Roman" w:eastAsia="Times New Roman" w:hAnsi="Times New Roman"/>
                <w:sz w:val="14"/>
                <w:szCs w:val="14"/>
                <w:color w:val="0000FF"/>
              </w:rPr>
              <w:t>Part I</w:t>
            </w:r>
          </w:p>
        </w:tc>
        <w:tc>
          <w:tcPr>
            <w:tcW w:w="13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940" w:type="dxa"/>
            <w:vAlign w:val="bottom"/>
            <w:gridSpan w:val="24"/>
            <w:vMerge w:val="continue"/>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6"/>
              </w:rPr>
              <w:t>Item 1. Business</w:t>
            </w:r>
          </w:p>
        </w:tc>
        <w:tc>
          <w:tcPr>
            <w:tcW w:w="8620" w:type="dxa"/>
            <w:vAlign w:val="bottom"/>
            <w:gridSpan w:val="19"/>
          </w:tcPr>
          <w:p>
            <w:pPr>
              <w:spacing w:after="0"/>
              <w:rPr>
                <w:sz w:val="13"/>
                <w:szCs w:val="13"/>
                <w:color w:val="auto"/>
              </w:rPr>
            </w:pPr>
          </w:p>
        </w:tc>
        <w:tc>
          <w:tcPr>
            <w:tcW w:w="74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0000FF"/>
                <w:w w:val="85"/>
              </w:rPr>
              <w:t>1</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6"/>
              </w:rPr>
              <w:t>Item 1A. Risk Factors</w:t>
            </w:r>
          </w:p>
        </w:tc>
        <w:tc>
          <w:tcPr>
            <w:tcW w:w="8300" w:type="dxa"/>
            <w:vAlign w:val="bottom"/>
            <w:gridSpan w:val="17"/>
          </w:tcPr>
          <w:p>
            <w:pPr>
              <w:spacing w:after="0"/>
              <w:rPr>
                <w:sz w:val="13"/>
                <w:szCs w:val="13"/>
                <w:color w:val="auto"/>
              </w:rPr>
            </w:pPr>
          </w:p>
        </w:tc>
        <w:tc>
          <w:tcPr>
            <w:tcW w:w="74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0000FF"/>
                <w:w w:val="85"/>
              </w:rPr>
              <w:t>6</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2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w w:val="99"/>
              </w:rPr>
              <w:t>Item 1B. Unresolved Staff Comments</w:t>
            </w:r>
          </w:p>
        </w:tc>
        <w:tc>
          <w:tcPr>
            <w:tcW w:w="7420" w:type="dxa"/>
            <w:vAlign w:val="bottom"/>
            <w:gridSpan w:val="11"/>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2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Item 1C. Cybersecurity</w:t>
            </w:r>
          </w:p>
        </w:tc>
        <w:tc>
          <w:tcPr>
            <w:tcW w:w="7420" w:type="dxa"/>
            <w:vAlign w:val="bottom"/>
            <w:gridSpan w:val="11"/>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6"/>
              </w:rPr>
              <w:t>Item 2. Properties</w:t>
            </w:r>
          </w:p>
        </w:tc>
        <w:tc>
          <w:tcPr>
            <w:tcW w:w="240" w:type="dxa"/>
            <w:vAlign w:val="bottom"/>
          </w:tcPr>
          <w:p>
            <w:pPr>
              <w:spacing w:after="0"/>
              <w:rPr>
                <w:sz w:val="13"/>
                <w:szCs w:val="13"/>
                <w:color w:val="auto"/>
              </w:rPr>
            </w:pPr>
          </w:p>
        </w:tc>
        <w:tc>
          <w:tcPr>
            <w:tcW w:w="8300" w:type="dxa"/>
            <w:vAlign w:val="bottom"/>
            <w:gridSpan w:val="17"/>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3. Legal Proceedings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4. Mine Safety Disclosures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Part II</w:t>
            </w:r>
          </w:p>
        </w:tc>
        <w:tc>
          <w:tcPr>
            <w:tcW w:w="1800" w:type="dxa"/>
            <w:vAlign w:val="bottom"/>
            <w:tcBorders>
              <w:top w:val="single" w:sz="8" w:color="0000FF"/>
            </w:tcBorders>
            <w:gridSpan w:val="8"/>
          </w:tcPr>
          <w:p>
            <w:pPr>
              <w:spacing w:after="0"/>
              <w:rPr>
                <w:sz w:val="13"/>
                <w:szCs w:val="13"/>
                <w:color w:val="auto"/>
              </w:rPr>
            </w:pPr>
          </w:p>
        </w:tc>
        <w:tc>
          <w:tcPr>
            <w:tcW w:w="7740" w:type="dxa"/>
            <w:vAlign w:val="bottom"/>
            <w:gridSpan w:val="13"/>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5. Market for Registrant’s Common Equity, Related Stockholder Matters and Issuer Purchases of Equity Securities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1"/>
              </w:rPr>
              <w:t>Item 6. [Reserved]</w:t>
            </w:r>
          </w:p>
        </w:tc>
        <w:tc>
          <w:tcPr>
            <w:tcW w:w="5760" w:type="dxa"/>
            <w:vAlign w:val="bottom"/>
            <w:gridSpan w:val="17"/>
          </w:tcPr>
          <w:p>
            <w:pPr>
              <w:spacing w:after="0"/>
              <w:rPr>
                <w:sz w:val="13"/>
                <w:szCs w:val="13"/>
                <w:color w:val="auto"/>
              </w:rPr>
            </w:pPr>
          </w:p>
        </w:tc>
        <w:tc>
          <w:tcPr>
            <w:tcW w:w="278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5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Item 7. Management’s Discussion and Analysis of Financial Condition and Results of Operations</w:t>
            </w:r>
          </w:p>
        </w:tc>
        <w:tc>
          <w:tcPr>
            <w:tcW w:w="4040" w:type="dxa"/>
            <w:vAlign w:val="bottom"/>
            <w:gridSpan w:val="3"/>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5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Item 7A. Quantitative and Qualitative Disclosures about Market Risk</w:t>
            </w:r>
          </w:p>
        </w:tc>
        <w:tc>
          <w:tcPr>
            <w:tcW w:w="4040" w:type="dxa"/>
            <w:vAlign w:val="bottom"/>
            <w:gridSpan w:val="3"/>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w w:val="99"/>
              </w:rPr>
              <w:t>Item 8. Financial Statements and Supplementary Data</w:t>
            </w:r>
          </w:p>
        </w:tc>
        <w:tc>
          <w:tcPr>
            <w:tcW w:w="860" w:type="dxa"/>
            <w:vAlign w:val="bottom"/>
            <w:gridSpan w:val="2"/>
          </w:tcPr>
          <w:p>
            <w:pPr>
              <w:spacing w:after="0"/>
              <w:rPr>
                <w:sz w:val="13"/>
                <w:szCs w:val="13"/>
                <w:color w:val="auto"/>
              </w:rPr>
            </w:pPr>
          </w:p>
        </w:tc>
        <w:tc>
          <w:tcPr>
            <w:tcW w:w="5640" w:type="dxa"/>
            <w:vAlign w:val="bottom"/>
            <w:gridSpan w:val="6"/>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9. Changes in and Disagreements with Accountants on Accounting and Financial Disclosure</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5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Item 9A. Controls and Procedures</w:t>
            </w:r>
          </w:p>
        </w:tc>
        <w:tc>
          <w:tcPr>
            <w:tcW w:w="4040" w:type="dxa"/>
            <w:vAlign w:val="bottom"/>
            <w:gridSpan w:val="3"/>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Item 9B. Other Information</w:t>
            </w:r>
          </w:p>
        </w:tc>
        <w:tc>
          <w:tcPr>
            <w:tcW w:w="7640" w:type="dxa"/>
            <w:vAlign w:val="bottom"/>
            <w:gridSpan w:val="12"/>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3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Item 9C. Disclosure Regarding Foreign Jurisdictions that Prevent Inspections</w:t>
            </w:r>
          </w:p>
        </w:tc>
        <w:tc>
          <w:tcPr>
            <w:tcW w:w="5180" w:type="dxa"/>
            <w:vAlign w:val="bottom"/>
            <w:gridSpan w:val="5"/>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right w:val="single" w:sz="8" w:color="0000FF"/>
            </w:tcBorders>
            <w:gridSpan w:val="3"/>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94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Part III</w:t>
            </w: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10. Directors, Executive Officers and Corporate Governance</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w w:val="98"/>
              </w:rPr>
              <w:t>Item 11. Executive Compensation</w:t>
            </w:r>
          </w:p>
        </w:tc>
        <w:tc>
          <w:tcPr>
            <w:tcW w:w="1800" w:type="dxa"/>
            <w:vAlign w:val="bottom"/>
            <w:gridSpan w:val="5"/>
          </w:tcPr>
          <w:p>
            <w:pPr>
              <w:spacing w:after="0"/>
              <w:rPr>
                <w:sz w:val="13"/>
                <w:szCs w:val="13"/>
                <w:color w:val="auto"/>
              </w:rPr>
            </w:pPr>
          </w:p>
        </w:tc>
        <w:tc>
          <w:tcPr>
            <w:tcW w:w="5840" w:type="dxa"/>
            <w:vAlign w:val="bottom"/>
            <w:gridSpan w:val="7"/>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Item 12. Security Ownership of Certain Beneficial Owners and Management and Related Stockholder Matters</w:t>
            </w:r>
          </w:p>
        </w:tc>
        <w:tc>
          <w:tcPr>
            <w:tcW w:w="3320" w:type="dxa"/>
            <w:vAlign w:val="bottom"/>
            <w:gridSpan w:val="2"/>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8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Item 13. Certain Relationships and Related Transactions, and Director Independence</w:t>
            </w:r>
          </w:p>
        </w:tc>
        <w:tc>
          <w:tcPr>
            <w:tcW w:w="1440" w:type="dxa"/>
            <w:vAlign w:val="bottom"/>
            <w:gridSpan w:val="2"/>
          </w:tcPr>
          <w:p>
            <w:pPr>
              <w:spacing w:after="0"/>
              <w:rPr>
                <w:sz w:val="13"/>
                <w:szCs w:val="13"/>
                <w:color w:val="auto"/>
              </w:rPr>
            </w:pPr>
          </w:p>
        </w:tc>
        <w:tc>
          <w:tcPr>
            <w:tcW w:w="3320" w:type="dxa"/>
            <w:vAlign w:val="bottom"/>
            <w:gridSpan w:val="2"/>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74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w w:val="99"/>
              </w:rPr>
              <w:t>Item 14. Principal Accountant Fees and Services</w:t>
            </w:r>
          </w:p>
        </w:tc>
        <w:tc>
          <w:tcPr>
            <w:tcW w:w="2040" w:type="dxa"/>
            <w:vAlign w:val="bottom"/>
            <w:gridSpan w:val="6"/>
          </w:tcPr>
          <w:p>
            <w:pPr>
              <w:spacing w:after="0"/>
              <w:rPr>
                <w:sz w:val="13"/>
                <w:szCs w:val="13"/>
                <w:color w:val="auto"/>
              </w:rPr>
            </w:pPr>
          </w:p>
        </w:tc>
        <w:tc>
          <w:tcPr>
            <w:tcW w:w="4760" w:type="dxa"/>
            <w:vAlign w:val="bottom"/>
            <w:gridSpan w:val="4"/>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right w:val="single" w:sz="8" w:color="0000FF"/>
            </w:tcBorders>
            <w:gridSpan w:val="3"/>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88"/>
              </w:rPr>
              <w:t>Part IV</w:t>
            </w:r>
          </w:p>
        </w:tc>
        <w:tc>
          <w:tcPr>
            <w:tcW w:w="9540" w:type="dxa"/>
            <w:vAlign w:val="bottom"/>
            <w:gridSpan w:val="21"/>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15. Exhibits and Financial Statement Schedules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6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Item 16. Form 10-K Summary</w:t>
            </w:r>
          </w:p>
        </w:tc>
        <w:tc>
          <w:tcPr>
            <w:tcW w:w="6580" w:type="dxa"/>
            <w:vAlign w:val="bottom"/>
            <w:gridSpan w:val="9"/>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7840" w:type="dxa"/>
            <w:vAlign w:val="bottom"/>
            <w:gridSpan w:val="14"/>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80</w:t>
            </w:r>
          </w:p>
        </w:tc>
        <w:tc>
          <w:tcPr>
            <w:tcW w:w="0" w:type="dxa"/>
            <w:vAlign w:val="bottom"/>
          </w:tcPr>
          <w:p>
            <w:pPr>
              <w:spacing w:after="0"/>
              <w:rPr>
                <w:sz w:val="1"/>
                <w:szCs w:val="1"/>
                <w:color w:val="auto"/>
              </w:rPr>
            </w:pPr>
          </w:p>
        </w:tc>
      </w:tr>
      <w:tr>
        <w:trPr>
          <w:trHeight w:val="1382"/>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i w:val="1"/>
          <w:iCs w:val="1"/>
          <w:color w:val="auto"/>
        </w:rPr>
        <w:t>Cautionary Statement Regarding Forward-Looking Statements</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i w:val="1"/>
          <w:iCs w:val="1"/>
          <w:color w:val="auto"/>
        </w:rPr>
        <w:t>This Annual Report on Form 10-K (“Annual Report”)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Annual Report are qualified by these cautionary statements, and there can be no assurance that the results or developments anticipated by the Company will be realized or, even if substantially realized, that they will have the expected consequence to or effects on the Company or its business or operations.</w:t>
      </w:r>
    </w:p>
    <w:p>
      <w:pPr>
        <w:spacing w:after="0" w:line="33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discussion should be read in conjunction with the Company’s audited Consolidated Financial Statements and corresponding notes thereto included elsewhere in this Annual Report. Forward-looking statements set forth in this Annual Report speak only as of the date hereof, and we do not undertake any obligation to update forward-looking statements to reflect subsequent events or circumstances, changes in expectations or the occurrence of unanticipated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796925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202"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GXO Logistics, Inc., together with its subsidiaries (“GXO,” the “Company,” “our,” or “we”), is the largest pure-play contract logistics provider in the world and a foremost innovator in the industry. We provide our customers with high-value-added warehousing and distribution, order fulfillment, e-commerce, reverse logistics and other supply chain services differentiated by our ability to deliver technology-enabled, customized solutions at scale.</w:t>
      </w:r>
    </w:p>
    <w:p>
      <w:pPr>
        <w:spacing w:after="0" w:line="157"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As of December 31, 2025, our approximately 154,000 team members operated in 1,043 facilities worldwide totaling approximately 221 million square feet of space, primarily on behalf of large corporations that have outsourced their warehousing, distribution and other related activities to us.</w:t>
      </w:r>
    </w:p>
    <w:p>
      <w:pPr>
        <w:spacing w:after="0" w:line="14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revenue is diversified among over one thousand customers, including many multinational corporations, across numerous verticals. Our customers rely on us to move their goods, with high efficiency, through their supply chains — from the moment goods arrive at our warehouses through fulfillment and distribution, and the management of returned products. Our customer base includes many blue-chip leaders in sectors that demonstrate high growth and/or durable demand, with significant growth potential through customer outsourcing of logistics services.</w:t>
      </w:r>
    </w:p>
    <w:p>
      <w:pPr>
        <w:spacing w:after="0" w:line="157"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GXO’s common stock, par value of $0.01 per share, began trading on the New York Stock Exchange under the ticker symbol “GXO” on August 2, 2021. GXO was incorporated as a Delaware corporation in February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We design and operate the most advanced warehouse solutions in the world. Our strategy is to help our customers manage their warehouse needs for optimal efficiency, using our network of people, technology and other physical assets. We deliver value to customers in the form of technological innovations, process efficiencies, cost efficiencies and reliable outcomes. Our services are highly responsive to customer goals, such as increasing visibility in the supply chain, decreasing fulfillment times and mitigating environmental impacts, while being proactive in identifying potential improvements.</w:t>
      </w:r>
    </w:p>
    <w:p>
      <w:pPr>
        <w:spacing w:after="0" w:line="16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GXO creates short- and long-term value for customers and shareholders through our unique combination of technology, scale and expertise. Our strategy addresses growth and optimization by focusing on core verticals that demonstrate enduring demand over time and where we already have a deep presence. We expect to attract new customers and expand the services we provide to existing customers through new projects; thus earning more of their logistics spend. We integrate best practices to drive productivity, with a focus on automation and other levers of profitable growth.</w:t>
      </w:r>
    </w:p>
    <w:p>
      <w:pPr>
        <w:spacing w:after="0" w:line="15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To aid in executing our strategy, we have instilled a culture that focuses on delivering mutually beneficial results for our customers and our company with the highest legal and ethical standards and clear policies and practices to support compliance throughout our organization.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Technology and Intellectual Property</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Contract logistics is becoming more and more complex, as changing consumer expectations and preferences continue to drive a need for faster delivery times, higher levels of returned inventory and better visibility throughout the supply chain. Traditional warehousing solutions are no longer sufficient to fill these needs. The industry needs scaled technology players, like GXO, to deliver these complex solutions.</w:t>
      </w:r>
    </w:p>
    <w:p>
      <w:pPr>
        <w:spacing w:after="0" w:line="157"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Technology is a core competitive advantage for GXO and fundamental to how we win and retain business. Technology enables us to add value to our customers’ end-to-end operations in terms of cost, efficiency, accuracy and environmental impact. Investments in cutting-edge technology are a major growth driver for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9" w:right="339" w:bottom="1440" w:gutter="0" w:footer="0" w:header="0"/>
        </w:sectPr>
      </w:pPr>
    </w:p>
    <w:bookmarkStart w:id="5" w:name="page6"/>
    <w:bookmarkEnd w:id="5"/>
    <w:p>
      <w:pPr>
        <w:ind w:right="220"/>
        <w:spacing w:after="0" w:line="287" w:lineRule="auto"/>
        <w:rPr>
          <w:sz w:val="20"/>
          <w:szCs w:val="20"/>
          <w:color w:val="auto"/>
        </w:rPr>
      </w:pPr>
      <w:r>
        <w:rPr>
          <w:rFonts w:ascii="Times New Roman" w:cs="Times New Roman" w:eastAsia="Times New Roman" w:hAnsi="Times New Roman"/>
          <w:sz w:val="14"/>
          <w:szCs w:val="14"/>
          <w:color w:val="auto"/>
        </w:rPr>
        <w:t>Our highly scalable warehouse management platform is built on the cloud to speed the deployment of new ways to increase efficiency and leverage our footprint. In a relatively short time, we can implement innovations across multiple geographies or take an innovation developed for one vertical and apply it to other verticals to enhance the value we offer our customers.</w:t>
      </w:r>
    </w:p>
    <w:p>
      <w:pPr>
        <w:spacing w:after="0" w:line="14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To date, the most significant impacts of our proprietary technology are in three areas: labor and inventory management productivity, intelligent warehouse automation and predictive analytics, all of which are integrated through our proprietary warehouse management platform.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Labor and Inventory Management</w:t>
      </w:r>
    </w:p>
    <w:p>
      <w:pPr>
        <w:spacing w:after="0" w:line="20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Our productivity is driven by our comprehensive suite of intelligent tools and analytics designed to optimize labor and inventory management. This technology incorporates dynamic data science, predictive analytics and machine learning to aid decision-making. Our site managers use these tools to improve productivity in site-specific ways in a safe, disciplined and cost-effective manner.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Intelligent Warehouse Automation</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Our intelligent warehouse automation includes deployments of autonomous robots and collaborative robots (“cobots”), automated sortation systems, automated guided vehicles, goods-to-person systems and wearable devices — these are all effective ways to deliver critical improvements in speed, accuracy and productivity. Importantly, automation also enhances safety and the overall quality of employment. Our warehouse management systems create a synchronized environment across automation platforms to control these technologies holistically, providing an integrated solution.</w:t>
      </w:r>
    </w:p>
    <w:p>
      <w:pPr>
        <w:spacing w:after="0" w:line="157"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We have found that autonomous goods-to-person systems and cobots, which assist workers with the inventory picking process, can improve labor productivity. Stationary robot arms can repeat demanding tasks with greater precision than is possible manually. Robots are particularly valuable in markets with labor shortages and where wage inflation can erode customer margins.</w:t>
      </w:r>
    </w:p>
    <w:p>
      <w:pPr>
        <w:spacing w:after="0" w:line="14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Other technologies that differentiate our logistics environments are our proprietary warehouse module for order management, which gives customers deep visibility into fulfillment flows, and our analytics dashboard, which gives customers valuable business intelligence to manage their supply chains. Our connection management software module facilitates integration with SAP, Oracle and other external systems, enabling our customers to get the maximum benefit from our technology.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Predictive Analytics</w:t>
      </w:r>
    </w:p>
    <w:p>
      <w:pPr>
        <w:spacing w:after="0" w:line="20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Our predictive analytics add significant value for customers, particularly in e-commerce and omnichannel retail, where seasonality drives high volumes through outbound and inbound logistics processes. For example, up to 30% of consumer goods bought online are returned, and this creates increased volumes at certain times of the year. We have developed analytics that predict surges in demand using a combination of historical data and customer forecasting.</w:t>
      </w:r>
    </w:p>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an industry leader that invests in technology, we have access to an immense amount of data, as well as the analytical processing capabilities to capitalize on that data by incorporating our learnings into customer solutions. We believe our ability to process and act upon data is a key competitive advantage and differentiator.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Customers and Markets</w:t>
      </w:r>
    </w:p>
    <w:p>
      <w:pPr>
        <w:spacing w:after="0" w:line="20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 xml:space="preserve">We provide our customers with high-value-added warehousing and distribution, order fulfillment, e-commerce, reverse logistics and other supply chain services. We provide services to customers globally, including </w:t>
      </w:r>
      <w:r>
        <w:rPr>
          <w:rFonts w:ascii="Times New Roman" w:cs="Times New Roman" w:eastAsia="Times New Roman" w:hAnsi="Times New Roman"/>
          <w:sz w:val="14"/>
          <w:szCs w:val="14"/>
          <w:i w:val="1"/>
          <w:iCs w:val="1"/>
          <w:color w:val="auto"/>
        </w:rPr>
        <w:t>Fortune 100</w:t>
      </w:r>
      <w:r>
        <w:rPr>
          <w:rFonts w:ascii="Times New Roman" w:cs="Times New Roman" w:eastAsia="Times New Roman" w:hAnsi="Times New Roman"/>
          <w:sz w:val="14"/>
          <w:szCs w:val="14"/>
          <w:color w:val="auto"/>
        </w:rPr>
        <w:t xml:space="preserve"> companies in the U.S., </w:t>
      </w:r>
      <w:r>
        <w:rPr>
          <w:rFonts w:ascii="Times New Roman" w:cs="Times New Roman" w:eastAsia="Times New Roman" w:hAnsi="Times New Roman"/>
          <w:sz w:val="14"/>
          <w:szCs w:val="14"/>
          <w:i w:val="1"/>
          <w:iCs w:val="1"/>
          <w:color w:val="auto"/>
        </w:rPr>
        <w:t>Fortune Global 500</w:t>
      </w:r>
      <w:r>
        <w:rPr>
          <w:rFonts w:ascii="Times New Roman" w:cs="Times New Roman" w:eastAsia="Times New Roman" w:hAnsi="Times New Roman"/>
          <w:sz w:val="14"/>
          <w:szCs w:val="14"/>
          <w:color w:val="auto"/>
        </w:rPr>
        <w:t xml:space="preserve"> companies in the world, European multinational market leaders and other renowned global brands. The customers we serve are primarily in North America and Europe and operate in every major industry. The diversification of our customer base reduces concentration risk. In 2025, our top five customers combined accounted for approximately 20% of our total revenue, and no customer represented more than 6%.</w:t>
      </w:r>
    </w:p>
    <w:p>
      <w:pPr>
        <w:spacing w:after="0" w:line="1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revenue is highly diversified, reflecting our expertise across multiple verticals and our customers’ principal industry sectors. In 2025, 49% of our revenue was from Omnichannel retail, 12% from Technology and consumer electronics, 12% from Industrial and manufacturing, 10% from Food and beverage, 10% from Consumer packaged goods, and 7% from other industries, with the vast majority of our revenue generated in the United Kingdom, the United States, the Netherlands, France, Spain and Italy.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During the fourth quarter, our business benefits from strong positioning in the e-commerce sector, where demand is characterized by surges in activity associated with the holiday season. Our revenue and profitability are typically lower in the first quarter of the calendar year relative to other quarters. This is due in part to seasonality, namely the post-holiday reduction in demand experienced by many of our customers, which leads to less use of the logistics services we provide.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We operate in a highly competitive global industry with a highly fragmented marketplace where thousands of companies compete domestically and internationally. We compete based on our ability to deliver quality service, reliability, scope and scale of operations, technological capabilities, expertise and pricing.</w:t>
      </w:r>
    </w:p>
    <w:p>
      <w:pPr>
        <w:spacing w:after="0" w:line="14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Our competitors include local, regional, national and international companies that offer services similar to those we provide. Our competitors include CEVA Logistics, DHL Group, DSV, GEODIS, ID Logistics Group, Kuehne + Nagel and Ryder System. Due to the competitive nature of our marketplace, we strive daily to strengthen and expand existing business relationships and forge new relationships.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Regulations</w:t>
      </w:r>
    </w:p>
    <w:p>
      <w:pPr>
        <w:spacing w:after="0" w:line="202"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Our operations are regulated and licensed by various governmental agencies in the U.S. at the local, state, and federal levels and in other countries where we conduct business. These regulations impact us directly and indirectly when they regulate third parties with which we arrange or contract services. In addition, we are subject to a variety of other U.S. and foreign laws and regulations, including, but not limited to, the Foreign Corrupt Practices Act and other anti-bribery and anti-corruption statutes.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Sustainability</w:t>
      </w:r>
    </w:p>
    <w:p>
      <w:pPr>
        <w:spacing w:after="0" w:line="202" w:lineRule="exact"/>
        <w:rPr>
          <w:sz w:val="20"/>
          <w:szCs w:val="20"/>
          <w:color w:val="auto"/>
        </w:rPr>
      </w:pPr>
    </w:p>
    <w:p>
      <w:pPr>
        <w:ind w:right="520"/>
        <w:spacing w:after="0" w:line="270" w:lineRule="auto"/>
        <w:rPr>
          <w:sz w:val="20"/>
          <w:szCs w:val="20"/>
          <w:color w:val="auto"/>
        </w:rPr>
      </w:pPr>
      <w:r>
        <w:rPr>
          <w:rFonts w:ascii="Times New Roman" w:cs="Times New Roman" w:eastAsia="Times New Roman" w:hAnsi="Times New Roman"/>
          <w:sz w:val="14"/>
          <w:szCs w:val="14"/>
          <w:color w:val="auto"/>
        </w:rPr>
        <w:t>Environmental sustainability is a key pillar of our Environmental, Social, and Governance (“ESG”) strategy. We are partnering with customers around the globe to help them achieve their environmental goals while we innovate to reduce our impact. For many of our customers, the logistics component of their supply chain accounts for a sizeable portion of their greenhouse gas (“GHG”) emissions and waste footprint. We collaborate with customers to create action plans that reduce emissions related to their supply chains through technology-enabled solutions.</w:t>
      </w:r>
    </w:p>
    <w:p>
      <w:pPr>
        <w:spacing w:after="0" w:line="157"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Our environmental sustainability strategy is designed to be applicable globally while also compliant with local environmental regulations. Throughout our business, GXO has identified GHG emissions and waste associated with operations as our greatest opportunities to reduce our environmental impact. In 2021, we established environmental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7" w:name="page8"/>
    <w:bookmarkEnd w:id="7"/>
    <w:p>
      <w:pPr>
        <w:jc w:val="both"/>
        <w:ind w:right="420"/>
        <w:spacing w:after="0" w:line="270" w:lineRule="auto"/>
        <w:rPr>
          <w:sz w:val="20"/>
          <w:szCs w:val="20"/>
          <w:color w:val="auto"/>
        </w:rPr>
      </w:pPr>
      <w:r>
        <w:rPr>
          <w:rFonts w:ascii="Times New Roman" w:cs="Times New Roman" w:eastAsia="Times New Roman" w:hAnsi="Times New Roman"/>
          <w:sz w:val="14"/>
          <w:szCs w:val="14"/>
          <w:color w:val="auto"/>
        </w:rPr>
        <w:t>targets to track and prioritize our reduction of Scopes 1 and 2 GHG emissions and increase waste diversion rates globally. Part of our environmental strategy focuses on improving the energy efficiency of our buildings. We have a global initiative to replace our warehouse lighting with LED and are developing our strategy to increase the amount of renewable electricity used in our buildings.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202"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Our success relies in large part on our robust governance structure and Code of Business Ethics, our corporate citizenship and engaged employees who embrace our values. As a customer-centric company with a strong service culture, we constantly work to maintain and improve our position as an employer of choice. This requires an unwavering commitment to workplace inclusion and safety as well as competitive total compensation that meets the needs of our employees and their families.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Profile</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As of December 31, 2025, we operated in 26 countries with approximately 154,000 team members (comprising approximately 105,000 full-time and part-time employees and 49,000 temporary workers engaged through third-party agencies). Our workforce is located: 52% in the United Kingdom, 27% in Europe (excluding the United Kingdom), 20% in North America and 1% in Latin America and Asia combined. The majority of our employees in Europe and the United Kingdom were covered by collective bargaining agreements, while none of our employees in North America were covered by collective bargaining agreements.</w:t>
      </w:r>
    </w:p>
    <w:p>
      <w:pPr>
        <w:spacing w:after="0" w:line="16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We have made and continue to make significant investments in the safety, well-being and satisfaction of our employees in numerous areas, including diversity, inclusion and belonging; health and safety; talent development and engagement; and expansive total rewards.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Diversity, Inclusion and Belonging</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 take pride in having an inclusive workplace that encourages a diversity of backgrounds and perspectives and mandates fair treatment for all individuals. These attributes of our culture make us a stronger organization and a better partner to all GXO stakeholders. We welcome employees of every gender identity, sexual orientation, race, ethnicity, national origin, religion, life experience, veteran status and disability.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Health and Safety</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Our employees’ safety is always our foremost priority, and we have numerous protocols in place to ensure a safe workplace environment. We aim to maintain an Occupational Safety and Health Administration recordable incident rate that is less than half the published rate for the General Warehousing and Storage sector, based on the “Industry Injury and Illness Data” of the U.S. Bureau of Labor Statistics.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Talent Development and Engagement</w:t>
      </w:r>
    </w:p>
    <w:p>
      <w:pPr>
        <w:spacing w:after="0" w:line="202"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Our employees are critically important to our ability to provide best-in-class service. We ask our employees for feedback through engagement surveys, roundtables and town halls. We use periodic engagement surveys to gauge our progress and assess satisfaction. In this way, our employees help drive the continuous improvement of our business. We seek to identify top talent in all aspects of the recruitment process and we emphasize training and development supported by our own online GXO University.</w:t>
      </w:r>
    </w:p>
    <w:p>
      <w:pPr>
        <w:spacing w:after="0" w:line="1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tailor our recruitment efforts by geography and job function, using an array of channels to ensure a diverse candidate pool. Our talent development infrastructure provides resources to employees who aspire to grow throughout their careers, such as tailored skills development, training and mentoring. In addition, we maintain a robust pipeline of future operations leaders by using structured sponsorships and additional learning techniques to develop internal candidates who demonstrate high potential to advance from supervisory roles into site leader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8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auto"/>
        </w:rPr>
        <w:t>positions. Our programs also retain top talent by defining personalized development paths and attract new talent by differentiating GXO as an employer of choice.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Expansive Total Rewards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offer a competitive compensation package to help attract and retain outstanding talent. We offer competitive wages and a comprehensive suite of benefits to all employees to maintain our position as an employer of choice in the talent marketplace. A number of the benefits we offer were introduced in response to employee feedback — in the U.S., examples include our pregnancy care policy, family bonding policy, tuition reimbursement program for continuing education, and benefits such as diabetes management, supplemental insurance and short-term loans. In Europe, the benefits offered vary by country and are tailored to the needs of the local markets. Examples include comprehensive healthcare and risk insurance, employee assistance programs covering mental, physical and financial well-being, pension plans, profit sharing and local and global bonuses structured to offer competitive pay in each country.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00" w:type="dxa"/>
            <w:vAlign w:val="bottom"/>
          </w:tcPr>
          <w:p>
            <w:pPr>
              <w:spacing w:after="0"/>
              <w:rPr>
                <w:sz w:val="16"/>
                <w:szCs w:val="16"/>
                <w:color w:val="auto"/>
              </w:rPr>
            </w:pPr>
          </w:p>
        </w:tc>
      </w:tr>
      <w:tr>
        <w:trPr>
          <w:trHeight w:val="361"/>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information relates to our current executive officers: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00" w:type="dxa"/>
            <w:vAlign w:val="bottom"/>
          </w:tcPr>
          <w:p>
            <w:pPr>
              <w:spacing w:after="0"/>
              <w:rPr>
                <w:sz w:val="24"/>
                <w:szCs w:val="24"/>
                <w:color w:val="auto"/>
              </w:rPr>
            </w:pPr>
          </w:p>
        </w:tc>
      </w:tr>
      <w:tr>
        <w:trPr>
          <w:trHeight w:val="393"/>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Age</w:t>
            </w:r>
          </w:p>
        </w:tc>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71"/>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Patrick Kelleher</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center"/>
              <w:ind w:right="389"/>
              <w:spacing w:after="0"/>
              <w:rPr>
                <w:sz w:val="20"/>
                <w:szCs w:val="20"/>
                <w:color w:val="auto"/>
              </w:rPr>
            </w:pPr>
            <w:r>
              <w:rPr>
                <w:rFonts w:ascii="Times New Roman" w:cs="Times New Roman" w:eastAsia="Times New Roman" w:hAnsi="Times New Roman"/>
                <w:sz w:val="14"/>
                <w:szCs w:val="14"/>
                <w:color w:val="auto"/>
                <w:w w:val="99"/>
              </w:rPr>
              <w:t>57</w:t>
            </w:r>
          </w:p>
        </w:tc>
        <w:tc>
          <w:tcPr>
            <w:tcW w:w="100" w:type="dxa"/>
            <w:vAlign w:val="bottom"/>
            <w:tcBorders>
              <w:top w:val="single" w:sz="8" w:color="CCEEFF"/>
            </w:tcBorders>
            <w:shd w:val="clear" w:color="auto" w:fill="CCEEFF"/>
          </w:tcPr>
          <w:p>
            <w:pPr>
              <w:spacing w:after="0"/>
              <w:rPr>
                <w:sz w:val="14"/>
                <w:szCs w:val="14"/>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Baris Oran</w:t>
            </w:r>
          </w:p>
        </w:tc>
        <w:tc>
          <w:tcPr>
            <w:tcW w:w="1080" w:type="dxa"/>
            <w:vAlign w:val="bottom"/>
          </w:tcPr>
          <w:p>
            <w:pPr>
              <w:jc w:val="center"/>
              <w:ind w:right="389"/>
              <w:spacing w:after="0"/>
              <w:rPr>
                <w:sz w:val="20"/>
                <w:szCs w:val="20"/>
                <w:color w:val="auto"/>
              </w:rPr>
            </w:pPr>
            <w:r>
              <w:rPr>
                <w:rFonts w:ascii="Times New Roman" w:cs="Times New Roman" w:eastAsia="Times New Roman" w:hAnsi="Times New Roman"/>
                <w:sz w:val="14"/>
                <w:szCs w:val="14"/>
                <w:color w:val="auto"/>
                <w:w w:val="99"/>
              </w:rPr>
              <w:t>52</w:t>
            </w:r>
          </w:p>
        </w:tc>
        <w:tc>
          <w:tcPr>
            <w:tcW w:w="100" w:type="dxa"/>
            <w:vAlign w:val="bottom"/>
          </w:tcPr>
          <w:p>
            <w:pPr>
              <w:spacing w:after="0"/>
              <w:rPr>
                <w:sz w:val="15"/>
                <w:szCs w:val="15"/>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0"/>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Karlis Kirsis</w:t>
            </w:r>
          </w:p>
        </w:tc>
        <w:tc>
          <w:tcPr>
            <w:tcW w:w="1080" w:type="dxa"/>
            <w:vAlign w:val="bottom"/>
            <w:shd w:val="clear" w:color="auto" w:fill="CCEEFF"/>
          </w:tcPr>
          <w:p>
            <w:pPr>
              <w:jc w:val="center"/>
              <w:ind w:right="389"/>
              <w:spacing w:after="0"/>
              <w:rPr>
                <w:sz w:val="20"/>
                <w:szCs w:val="20"/>
                <w:color w:val="auto"/>
              </w:rPr>
            </w:pPr>
            <w:r>
              <w:rPr>
                <w:rFonts w:ascii="Times New Roman" w:cs="Times New Roman" w:eastAsia="Times New Roman" w:hAnsi="Times New Roman"/>
                <w:sz w:val="14"/>
                <w:szCs w:val="14"/>
                <w:color w:val="auto"/>
                <w:w w:val="99"/>
              </w:rPr>
              <w:t>46</w:t>
            </w:r>
          </w:p>
        </w:tc>
        <w:tc>
          <w:tcPr>
            <w:tcW w:w="100" w:type="dxa"/>
            <w:vAlign w:val="bottom"/>
            <w:shd w:val="clear" w:color="auto" w:fill="CCEEFF"/>
          </w:tcPr>
          <w:p>
            <w:pPr>
              <w:spacing w:after="0"/>
              <w:rPr>
                <w:sz w:val="15"/>
                <w:szCs w:val="15"/>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Legal Officer</w:t>
            </w:r>
          </w:p>
        </w:tc>
      </w:tr>
      <w:tr>
        <w:trPr>
          <w:trHeight w:val="18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Elizabeth Fogarty</w:t>
            </w:r>
          </w:p>
        </w:tc>
        <w:tc>
          <w:tcPr>
            <w:tcW w:w="1080" w:type="dxa"/>
            <w:vAlign w:val="bottom"/>
          </w:tcPr>
          <w:p>
            <w:pPr>
              <w:jc w:val="center"/>
              <w:ind w:right="389"/>
              <w:spacing w:after="0"/>
              <w:rPr>
                <w:sz w:val="20"/>
                <w:szCs w:val="20"/>
                <w:color w:val="auto"/>
              </w:rPr>
            </w:pPr>
            <w:r>
              <w:rPr>
                <w:rFonts w:ascii="Times New Roman" w:cs="Times New Roman" w:eastAsia="Times New Roman" w:hAnsi="Times New Roman"/>
                <w:sz w:val="14"/>
                <w:szCs w:val="14"/>
                <w:color w:val="auto"/>
                <w:w w:val="99"/>
              </w:rPr>
              <w:t>56</w:t>
            </w:r>
          </w:p>
        </w:tc>
        <w:tc>
          <w:tcPr>
            <w:tcW w:w="100" w:type="dxa"/>
            <w:vAlign w:val="bottom"/>
          </w:tcPr>
          <w:p>
            <w:pPr>
              <w:spacing w:after="0"/>
              <w:rPr>
                <w:sz w:val="15"/>
                <w:szCs w:val="15"/>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Chief Communications Officer</w:t>
            </w:r>
          </w:p>
        </w:tc>
      </w:tr>
      <w:tr>
        <w:trPr>
          <w:trHeight w:val="180"/>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Corinna Refsgaard</w:t>
            </w:r>
          </w:p>
        </w:tc>
        <w:tc>
          <w:tcPr>
            <w:tcW w:w="1080" w:type="dxa"/>
            <w:vAlign w:val="bottom"/>
            <w:shd w:val="clear" w:color="auto" w:fill="CCEEFF"/>
          </w:tcPr>
          <w:p>
            <w:pPr>
              <w:jc w:val="center"/>
              <w:ind w:right="389"/>
              <w:spacing w:after="0"/>
              <w:rPr>
                <w:sz w:val="20"/>
                <w:szCs w:val="20"/>
                <w:color w:val="auto"/>
              </w:rPr>
            </w:pPr>
            <w:r>
              <w:rPr>
                <w:rFonts w:ascii="Times New Roman" w:cs="Times New Roman" w:eastAsia="Times New Roman" w:hAnsi="Times New Roman"/>
                <w:sz w:val="14"/>
                <w:szCs w:val="14"/>
                <w:color w:val="auto"/>
                <w:w w:val="99"/>
              </w:rPr>
              <w:t>58</w:t>
            </w:r>
          </w:p>
        </w:tc>
        <w:tc>
          <w:tcPr>
            <w:tcW w:w="100" w:type="dxa"/>
            <w:vAlign w:val="bottom"/>
            <w:shd w:val="clear" w:color="auto" w:fill="CCEEFF"/>
          </w:tcPr>
          <w:p>
            <w:pPr>
              <w:spacing w:after="0"/>
              <w:rPr>
                <w:sz w:val="15"/>
                <w:szCs w:val="15"/>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Human Resources Officer</w:t>
            </w:r>
          </w:p>
        </w:tc>
      </w:tr>
      <w:tr>
        <w:trPr>
          <w:trHeight w:val="18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Bart Beeks</w:t>
            </w:r>
          </w:p>
        </w:tc>
        <w:tc>
          <w:tcPr>
            <w:tcW w:w="1080" w:type="dxa"/>
            <w:vAlign w:val="bottom"/>
          </w:tcPr>
          <w:p>
            <w:pPr>
              <w:jc w:val="center"/>
              <w:ind w:right="389"/>
              <w:spacing w:after="0"/>
              <w:rPr>
                <w:sz w:val="20"/>
                <w:szCs w:val="20"/>
                <w:color w:val="auto"/>
              </w:rPr>
            </w:pPr>
            <w:r>
              <w:rPr>
                <w:rFonts w:ascii="Times New Roman" w:cs="Times New Roman" w:eastAsia="Times New Roman" w:hAnsi="Times New Roman"/>
                <w:sz w:val="14"/>
                <w:szCs w:val="14"/>
                <w:color w:val="auto"/>
                <w:w w:val="99"/>
              </w:rPr>
              <w:t>56</w:t>
            </w:r>
          </w:p>
        </w:tc>
        <w:tc>
          <w:tcPr>
            <w:tcW w:w="100" w:type="dxa"/>
            <w:vAlign w:val="bottom"/>
          </w:tcPr>
          <w:p>
            <w:pPr>
              <w:spacing w:after="0"/>
              <w:rPr>
                <w:sz w:val="15"/>
                <w:szCs w:val="15"/>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Chief Operating Officer</w:t>
            </w:r>
          </w:p>
        </w:tc>
      </w:tr>
      <w:tr>
        <w:trPr>
          <w:trHeight w:val="180"/>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Karen Bomber</w:t>
            </w:r>
          </w:p>
        </w:tc>
        <w:tc>
          <w:tcPr>
            <w:tcW w:w="1080" w:type="dxa"/>
            <w:vAlign w:val="bottom"/>
            <w:shd w:val="clear" w:color="auto" w:fill="CCEEFF"/>
          </w:tcPr>
          <w:p>
            <w:pPr>
              <w:jc w:val="center"/>
              <w:ind w:right="389"/>
              <w:spacing w:after="0"/>
              <w:rPr>
                <w:sz w:val="20"/>
                <w:szCs w:val="20"/>
                <w:color w:val="auto"/>
              </w:rPr>
            </w:pPr>
            <w:r>
              <w:rPr>
                <w:rFonts w:ascii="Times New Roman" w:cs="Times New Roman" w:eastAsia="Times New Roman" w:hAnsi="Times New Roman"/>
                <w:sz w:val="14"/>
                <w:szCs w:val="14"/>
                <w:color w:val="auto"/>
                <w:w w:val="99"/>
              </w:rPr>
              <w:t>52</w:t>
            </w:r>
          </w:p>
        </w:tc>
        <w:tc>
          <w:tcPr>
            <w:tcW w:w="100" w:type="dxa"/>
            <w:vAlign w:val="bottom"/>
            <w:shd w:val="clear" w:color="auto" w:fill="CCEEFF"/>
          </w:tcPr>
          <w:p>
            <w:pPr>
              <w:spacing w:after="0"/>
              <w:rPr>
                <w:sz w:val="15"/>
                <w:szCs w:val="15"/>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Commercial Officer</w:t>
            </w:r>
          </w:p>
        </w:tc>
      </w:tr>
    </w:tbl>
    <w:p>
      <w:pPr>
        <w:spacing w:after="0" w:line="249"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Patrick Kelleher </w:t>
      </w:r>
      <w:r>
        <w:rPr>
          <w:rFonts w:ascii="Times New Roman" w:cs="Times New Roman" w:eastAsia="Times New Roman" w:hAnsi="Times New Roman"/>
          <w:sz w:val="14"/>
          <w:szCs w:val="14"/>
          <w:color w:val="auto"/>
        </w:rPr>
        <w:t>has served as Chief Executive Officer of the company since August 2025. Prior to GXO, he served as CEO, North America at DHL Supply Chain, from July 2024 to August 2025.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Prior to this role, Mr. Kelleher served as DHL Supply Chain’s global chief development officer from April 2017 to June 2024 and CEO, Americas at Williams Lea Tag, when it operated under DHL’s ownership, from July 2015 to April 2017.</w:t>
      </w:r>
    </w:p>
    <w:p>
      <w:pPr>
        <w:spacing w:after="0" w:line="155"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Baris Oran </w:t>
      </w:r>
      <w:r>
        <w:rPr>
          <w:rFonts w:ascii="Times New Roman" w:cs="Times New Roman" w:eastAsia="Times New Roman" w:hAnsi="Times New Roman"/>
          <w:sz w:val="14"/>
          <w:szCs w:val="14"/>
          <w:color w:val="auto"/>
        </w:rPr>
        <w:t>has served as Chief Financial Officer since August 2021. Mr. Oran joined XPO in May 2021 as Chief Financial Officer of XPO’s Logistics segment after having previously served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Chief Financial Officer of the Sabanci Group, one of Turkey’s largest publicly traded companies. Mr. Oran served as Chief Financial Officer of Sabanci from 2016 to 2021, prior to which he held other senior finance roles at the company. On August 4, 2025, GXO and Baris Oran mutually agreed that Mr. Oran will depart from his employment as Chief Financial Officer of GXO in March 2026. Mr. Oran will continue to serve as Chief Financial Officer until his departure or until such earlier date as his successor is appointed.</w:t>
      </w:r>
    </w:p>
    <w:p>
      <w:pPr>
        <w:spacing w:after="0" w:line="159"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Karlis Kirsis </w:t>
      </w:r>
      <w:r>
        <w:rPr>
          <w:rFonts w:ascii="Times New Roman" w:cs="Times New Roman" w:eastAsia="Times New Roman" w:hAnsi="Times New Roman"/>
          <w:sz w:val="14"/>
          <w:szCs w:val="14"/>
          <w:color w:val="auto"/>
        </w:rPr>
        <w:t>has served as Chief Legal Officer since August 2021, after serving as Senior Vice President, European Chief Legal Officer, Corporate Secretary for XPO, a role he had held since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February 2020. Mr. Kirsis previously served in various roles at XPO, including Senior Vice President, Corporate Counsel from July 2017 to February 2020 and Vice President, Corporate and Securities Counsel from September 2016 to July 2017.</w:t>
      </w:r>
    </w:p>
    <w:p>
      <w:pPr>
        <w:spacing w:after="0" w:line="155"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Elizabeth Fogarty </w:t>
      </w:r>
      <w:r>
        <w:rPr>
          <w:rFonts w:ascii="Times New Roman" w:cs="Times New Roman" w:eastAsia="Times New Roman" w:hAnsi="Times New Roman"/>
          <w:sz w:val="14"/>
          <w:szCs w:val="14"/>
          <w:color w:val="auto"/>
        </w:rPr>
        <w:t>has served as Chief Communications Officer since September 2021. Prior to her time with GXO, Ms. Fogarty was employed by Citi as the Managing Director and Head of Global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Consumer Banking Public Affairs from October 2013 to September 2021 and before that as the Director of Corporate Communications and Vice President of Global Public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9" w:name="page10"/>
    <w:bookmarkEnd w:id="9"/>
    <w:p>
      <w:pPr>
        <w:jc w:val="both"/>
        <w:ind w:right="4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Corinna Refsgaard </w:t>
      </w:r>
      <w:r>
        <w:rPr>
          <w:rFonts w:ascii="Times New Roman" w:cs="Times New Roman" w:eastAsia="Times New Roman" w:hAnsi="Times New Roman"/>
          <w:sz w:val="14"/>
          <w:szCs w:val="14"/>
          <w:color w:val="auto"/>
        </w:rPr>
        <w:t>has served as Chief Human Resources Officer since April 2024. Prior to her time with GXO, Ms. Refsgaard served as Group Chief People and Culture Officer at ISS, one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world’s leading workplace experience and facility management companies, from November 2018 to March 2024. Over the course of three decades, she has held global, regional and business unit HR roles at firms, including Kontron, Fujitsu Technology Solutions, EADS and Mercedes-Benz.</w:t>
      </w:r>
    </w:p>
    <w:p>
      <w:pPr>
        <w:spacing w:after="0" w:line="155"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Bart Beeks </w:t>
      </w:r>
      <w:r>
        <w:rPr>
          <w:rFonts w:ascii="Times New Roman" w:cs="Times New Roman" w:eastAsia="Times New Roman" w:hAnsi="Times New Roman"/>
          <w:sz w:val="14"/>
          <w:szCs w:val="14"/>
          <w:color w:val="auto"/>
        </w:rPr>
        <w:t>has served as Chief Operating Officer of the company since January 2026. Mr. Beeks most recently served as chief operating officer of CEVA Logistics from June 2020 to June 2025.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Prior to his role as chief operating officer, he served as Executive Vice President in Benelux and Senior Vice President of Operational Excellence at CEVA. Before his career in logistics, Mr. Beeks served as a Commanding Officer in the Dutch Special Forces.</w:t>
      </w:r>
    </w:p>
    <w:p>
      <w:pPr>
        <w:spacing w:after="0" w:line="155"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Karen Bomber </w:t>
      </w:r>
      <w:r>
        <w:rPr>
          <w:rFonts w:ascii="Times New Roman" w:cs="Times New Roman" w:eastAsia="Times New Roman" w:hAnsi="Times New Roman"/>
          <w:sz w:val="14"/>
          <w:szCs w:val="14"/>
          <w:color w:val="auto"/>
        </w:rPr>
        <w:t>has served as Chief Commercial Officer of the company since January 2026. Prior to GXO, Ms. Bomber served as Chief Commercial Officer for ABB’s Energy Industries division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from February 2023 to January 2026 and held leadership roles at Honeywell from June 2018 to January 2023, InVue Security Products from December 2012 to April 2018 and Tyco International from November 2011 to December 2012.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20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We are required to file annual, quarterly and current reports, proxy statements and other information with the SEC. Reports filed with the SEC can be viewed at http://www.sec.gov and on our corporate website at www.gxo.com. Materials are available online as soon as reasonably practicable after we electronically submit them to the SEC. Further materials regarding our corporate governance policies and practices, including our Corporate Governance Guidelines, Code of Business Ethics and the charters relating to the committees of our Board of Directors, are also available on the investors section of our website.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are important factors that could affect our financial performance and could cause actual results for future periods to differ materially from our anticipated results or other expectations, including those expressed in any forward-looking statements made in this Annual Report or our other filings with the SEC or in oral presentations such as telephone conferences and webcasts open to the public. You should carefully consider the following factors in conjunction with “Management’s Discussion and Analysis of Financial Condition and Results of Operations” in Item 7 and our Consolidated Financial Statements and related Notes in Item 8.</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Risks Related to Our Strategy and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a highly competitive industry, and failure to compete or respond to customer requirements could negatively affect our business and our results of operations.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logistics industry is intensely competitive and is expected to remain so for the foreseeable future. We compete against multinational firms, regional players and emerging technology companies. We also must contend with our customers’ ability to in-source their logistics operations. The competitive factors that are most important to our customers are price and quality of service. Many larger customers utilize the services of multiple logistics providers. Customers regularly solicit bids from competitors to improve service and to secure favorable pricing and contractual terms such as longer payment terms, fixed-price arrangements, higher or unlimited liability and performance penalties. Increased competition and competitors’ acceptance of more onerous contractual terms could result in reduced revenues, reduced margins, higher operating costs or loss of market share, any of which could have a material adverse effect on our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i w:val="1"/>
          <w:iCs w:val="1"/>
          <w:color w:val="auto"/>
        </w:rPr>
        <w:t>Increases in our labor costs to attract, develop and retain employees may have a material adverse effect on our business.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Our workforce is comprised primarily of employees who work on an hourly basis. To grow our operations and meet the needs and expectations of our customers, we must attract, develop and retain a large number of hourly employees while controlling labor costs. Many of our long-term customer contracts are fixed-price arrangements that limit our ability to pass on to our customers increases in labor costs due to low unemployment, increases in government unemployment benefits, competitive pressures, union activity or changes in federal or state minimum wage or overtime laws and any such increases in labor costs could adversely affect our business, results of operations, cash flows and financial condition.</w:t>
      </w:r>
    </w:p>
    <w:p>
      <w:pPr>
        <w:spacing w:after="0" w:line="16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Additionally, our operations are subject to various employment-related laws and regulations, which govern matters such as minimum wages, union organizing rights, the classification of employees and independent contractors, family and medical leave, overtime pay, compensable time, recordkeeping and other working conditions and a variety of similar laws that govern these and other employment-related matters. Any changes to employment-related laws and regulations, including increased minimum wages or the expansion of union organization rights, could result in increased labor costs that could adversely affect our business, results of operations, cash flows and financial condition.</w:t>
      </w:r>
    </w:p>
    <w:p>
      <w:pPr>
        <w:spacing w:after="0" w:line="162"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Labor represents a significant portion of our operating expenses; thus, compliance with these evolving laws and regulations could substantially increase our cost of doing business, while failure to do so could subject us to significant fines and lawsuits and could adversely affect our business, results of operations, cash flows and financial condition. We are currently subject to employment-related claims in connection with our operations. These claims, lawsuits and proceedings are in various stages of adjudication or investigation and involve a wide variety of claims and potential outcomes.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on our ability to attract and retain qualified employees and temporary workers.</w:t>
      </w:r>
    </w:p>
    <w:p>
      <w:pPr>
        <w:spacing w:after="0" w:line="202"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4"/>
          <w:szCs w:val="14"/>
          <w:color w:val="auto"/>
        </w:rPr>
        <w:t>We depend on our ability to attract and retain qualified employees, including our executive officers and managers. In particular, we recently hired a new Chief Executive Officer, Chief Operating Officer and Chief Commercial Officer, which officer assumed the duties of our former Chief Revenue Officer, and have announced changes in our Chief Financial Officer and Chief Accounting Officer. If we are unable to attract, successfully onboard and retain such individuals, we may be unable to maintain our current competitive position within the industry, meet our customers’ expectations or successfully expand and grow our business.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ability to meet customer demands and expectations, especially during periods of peak volume, is substantially dependent on our ability to recruit and retain qualified temporary part-time and full-time workers. Increased demand for temporary workers, low unemployment or changes in federal or state minimum wage laws may increase the costs of temporary labor, and any such increases in labor costs could adversely affect our business, results of operations, cash flows and financial condition. In addition, macro-economic headwinds such as inflation and supply chain disruptions may increase the potential for labor shortages and heightened levels of employee turnover. Therefore, our inability to recruit a qualified temporary workforce may result in our inability to meet our customers’ performance targets.</w:t>
      </w:r>
    </w:p>
    <w:p>
      <w:pPr>
        <w:spacing w:after="0" w:line="162"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past acquisitions, as well as any acquisitions that we may complete in the future, may be unsuccessful or result in other risks or developments that adversely affect our financial condition and results.</w:t>
      </w:r>
    </w:p>
    <w:p>
      <w:pPr>
        <w:spacing w:after="0" w:line="14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While we intend for our acquisitions to improve our competitiveness and profitability, we cannot be certain that our past or future acquisitions will be accretive to earnings or otherwise meet our operational or strategic expectations. Special risks, including accounting, regulatory, compliance, information technology or human resources issues may arise in connection with, or as a result of, the acquisition of an existing company, including the assumption of unanticipated liabilities and contingencies, difficulties in integrating acquired businesses, possible management distractions or the inability of the acquired business to achieve the levels of revenue, income, productivity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color w:val="auto"/>
        </w:rPr>
        <w:t>synergies we anticipate or otherwise perform as we expect on the timeline contemplated. We are unable to predict all the risks that could arise as a result of our acquisitions.</w:t>
      </w:r>
    </w:p>
    <w:p>
      <w:pPr>
        <w:spacing w:after="0" w:line="20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If the performance of an acquired business varies from our projections or assumptions or if estimates about the future profitability of an acquired business change, our revenues, earnings or other aspects of our financial condition could be adversely affected. We may also experience difficulties in connection with integrating any acquired companies into our existing businesses and operations, including our existing infrastructure and information technology systems. The infrastructure and information technology systems of acquired companies could present issues that we were unable to identify prior to the acquisition and could adversely affect our financial condition and results. We have experienced challenges of this nature relating to the infrastructure and systems of certain companies that we have acquired. Also, we may not realize all of the synergies we anticipate from past and potential future acquisitions. Among the synergies that we currently expect to realize are cross-selling opportunities to our existing customers, as well as network and operational efficiencies. Variances from these or other assumptions or expectations could adversely affect our financial condition and results of operations.</w:t>
      </w:r>
    </w:p>
    <w:p>
      <w:pPr>
        <w:spacing w:after="0" w:line="16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On June 19, 2025, we announced that the UK Competition and Markets Authority (“CMA”) had cleared GXO’s acquisition of Wincanton plc (“Wincanton”) subject to the divestment of a small number of Wincanton grocery contracts in the UK, and that integration would be permitted with the vast majority of the Wincanton business once certain administrative conditions were met. Those conditions were met in the fall of 2025 and the integration of Wincanton into GXO has commenced. However, GXO has yet to divest of a small number of Wincanton grocery contracts as required by the CMA and we are unable to predict all the risks that could arise as a result of our divestment of these contracts or failure to achieve a successful divestment.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successfully manage our growth.</w:t>
      </w:r>
    </w:p>
    <w:p>
      <w:pPr>
        <w:spacing w:after="0" w:line="20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We have grown rapidly and substantially over prior years, including by expanding our internal resources, making acquisitions and entering new markets and we intend to continue to focus on rapid growth, including organic growth and additional acquisitions. We may experience difficulties and higher than expected expenses in executing this strategy as a result of unfamiliarity with new markets, changes in revenue and business models, entry into new geographic areas or increased pressure on our existing infrastructure and information technology systems.</w:t>
      </w:r>
    </w:p>
    <w:p>
      <w:pPr>
        <w:spacing w:after="0" w:line="15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Our growth will place a significant strain on our management, operational, financial and information technology resources. We will need to continually improve existing procedures and controls, as well as implement new transaction processing, operational and financial systems and procedures and controls to expand, train and manage our employee base. Our working capital needs will continue to increase as our operations grow. Failure to manage our growth effectively or obtain necessary working capital could have a material adverse effect on our business, results of operations, cash flows and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overseas operations are subject to various operational and financial risks that could adversely affect our business.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services we provide outside the U.S. are subject to risks resulting from changes in tariffs, trade restrictions, trade agreements, tax rules and policies, difficulties in managing or overseeing foreign operations and agents, different liability standards, issues related to compliance with anti-corruption laws, such as the Foreign Corrupt Practices Act and the U.K. Bribery Act, data protection, trade compliance and intellectual property laws of countries that do not protect our rights relating to our intellectual property, including our proprietary information systems, to the same extent as U.S. laws. The occurrence or consequences of any of these factors may restrict our ability to operate in the affected region or decrease the profitability of our operations in that region. In addition, as we expand our business in foreign countries, we will be exposed to increased risk of loss from foreign currency fluctuations and exchange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currency exchange rate fluctuations because a significant proportion of our assets, liabilities and earnings are denominated in foreign currencies.</w:t>
      </w:r>
    </w:p>
    <w:p>
      <w:pPr>
        <w:spacing w:after="0" w:line="202"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We present our financial statements in U.S. dollars (“USD”), but we hold a significant proportion of our net assets and generate income in non-USD currencies, primarily the Euro and British pound sterling. Consequently, a depreciation of non-USD currencies relative to the USD could have an adverse impact on our financial results as further discussed in Item 7A, “Quantitative and Qualitative Disclosures about Market Risk.”</w:t>
      </w:r>
    </w:p>
    <w:p>
      <w:pPr>
        <w:spacing w:after="0" w:line="157"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National and regional differences in monetary policy may cause the value of the non-USD currencies to fluctuate against the USD. Currency volatility contributes to variations in our revenue and expenses in foreign currency jurisdictions. Accordingly, fluctuations in currency exchange rates could adversely affect our business and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inability to successfully manage the costs and operational difficulties of adding new customers and business may negatively affect our financial condition and operations.</w:t>
      </w:r>
    </w:p>
    <w:p>
      <w:pPr>
        <w:spacing w:after="0" w:line="20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Establishing new customer relationships or adding operational sites for existing customers requires a significant amount of time, operational focus and capital. Although we typically partner with our new customers to ensure that onboarding is smooth, our inability to integrate new customers or operational sites into our technology systems or recruit additional employees to manage new customer relationships or the incurrence of higher than anticipated costs to onboard new customers may negatively affect our financial condition or operations.</w:t>
      </w:r>
    </w:p>
    <w:p>
      <w:pPr>
        <w:spacing w:after="0" w:line="15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In addition, our operations can require a significant commitment of capital in the form of shelving, racking and other warehousing systems that may be necessary to implement warehouse solutions for our customers. These costs are often billed to the customer over the expected length of the customer relationship. To the extent that a customer defaults on its obligations under its agreement with us, we could be forced to take a significant loss on the unrecovered portion of the upfront capital costs.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contractual terms between us and our customers could expose us to penalties and other costs in the event we do not meet the contractually prescribed performance levels.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maintain long-term contracts with the majority of our customers, many of which include performance-based minimum levels of service. Although we manage our business to exceed prescribed performance levels, our inability to meet these service levels, whether due to labor shortages, volume peaks, our inability to procure temporary labor, technological malfunctions or other events that may or may not be within our control, may expose us to penalties or incremental costs or lead to the termination of customer contracts, any of which could negatively affect our business and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operations are subject to seasonal fluctuations, and our inability to manage these fluctuations could negatively affect our business and our results of operations.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Many of our customers typically realize a significant portion of their sales during the holiday season in the fourth quarter of each calendar year. Although not all of our customers experience the same seasonal variation, and some customers may have seasonal peaks that occur in periods other than the fourth quarter, the seasonality of our customers’ businesses places higher demands on our services during peak periods, requiring us to take measures, including temporarily expanding our workforce, to meet our customers’ demands. Our failure to meet our customers’ expectations during these seasonal peaks may negatively affect our customer relationships, could expose us to penalties under our contractual arrangements with customers and ultimately could negatively affect our business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i w:val="1"/>
          <w:iCs w:val="1"/>
          <w:color w:val="auto"/>
        </w:rPr>
        <w:t>Damage to our reputation through unfavorable publicity or the actions of our employees or temporary workers could adversely affect our financial condition.</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success depends on our ability to consistently deliver operational excellence and strong customer service. Our inability to deliver our services and solutions as promised on a consistent basis, or our customers having a negative experience or otherwise becoming dissatisfied, can negatively impact our relationships with new or existing customers and adversely affect our brand and reputation, which could, in turn, adversely affect revenue and earnings growth. Adverse publicity (whether or not justified) relating to activities by our employees, contractors, agents or others with whom we do business, such as customer service issues, could tarnish our reputation and reduce the value of our brand. With the increase in the use of social media outlets such as LinkedIn, X, Facebook, Instagram and YouTube, adverse publicity can be disseminated quickly and broadly, making it increasingly difficult for us to effectively respond. This unfavorable publicity could also require us to allocate significant resources to rebuild our reputation.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associated with the handling of customer inventory.</w:t>
      </w:r>
    </w:p>
    <w:p>
      <w:pPr>
        <w:spacing w:after="0" w:line="20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Under some of our agreements, we maintain the inventory of our customers, some of which may be significant in value. Our failure to properly handle and safeguard such inventory exposes us to potential claims and expenses as well as harm to our business and reputation.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Risks Related to Our Use of Technology</w:t>
      </w:r>
    </w:p>
    <w:p>
      <w:pPr>
        <w:spacing w:after="0" w:line="200"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will be seriously harmed if we fail to develop, implement, maintain, upgrade, enhance, protect and integrate our information technology systems, including the systems of any businesses that we acquire.</w:t>
      </w:r>
    </w:p>
    <w:p>
      <w:pPr>
        <w:spacing w:after="0" w:line="14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We rely heavily on our information technology systems in managing our business; they are a key component of our customer-facing services and internal growth strategy. In general, we expect our customers to continue to demand more sophisticated, fully integrated technology. To keep pace with changing technologies and customer demands, we must correctly address market trends and enhance the features and functionality of our proprietary technology platform in response to these trends. This process of continuous enhancement may lead to significant ongoing software development costs, which will continue to increase if we pursue new acquisitions of companies and their current systems. In addition, we may fail to accurately determine the needs of our customers or trends in the logistics industry, or we may fail to respond appropriately by implementing functionality for our technology platform in a timely or cost-effective manner. Any such failures could result in decreased demand for our services and a corresponding decrease in our revenues.</w:t>
      </w:r>
    </w:p>
    <w:p>
      <w:pPr>
        <w:spacing w:after="0" w:line="16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If our information technology systems are unable to manage high volumes with reliability, accuracy and speed as we grow, or if such systems are not suited to manage the various services we offer, our service levels and operating efficiency could decline. In addition, if we fail to hire and retain qualified personnel to implement, protect and maintain our information technology systems, or if we fail to enhance our systems to meet our customers’ needs, our results of operations could be negatively impacted.</w:t>
      </w:r>
    </w:p>
    <w:p>
      <w:pPr>
        <w:spacing w:after="0" w:line="15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Our technology may not be successful or may not achieve the desired results, and we may require additional training or different personnel to successfully implement this technology. Our technology development process may be subject to cost overruns or delays in obtaining the expected results, which may result in disruptions to our operations. Technology and new market entrants may also disrupt the way we and our competitors operate.</w:t>
      </w:r>
    </w:p>
    <w:p>
      <w:pPr>
        <w:spacing w:after="0" w:line="157" w:lineRule="exact"/>
        <w:rPr>
          <w:sz w:val="20"/>
          <w:szCs w:val="20"/>
          <w:color w:val="auto"/>
        </w:rPr>
      </w:pPr>
    </w:p>
    <w:p>
      <w:pPr>
        <w:ind w:right="720"/>
        <w:spacing w:after="0" w:line="287" w:lineRule="auto"/>
        <w:rPr>
          <w:sz w:val="20"/>
          <w:szCs w:val="20"/>
          <w:color w:val="auto"/>
        </w:rPr>
      </w:pPr>
      <w:r>
        <w:rPr>
          <w:rFonts w:ascii="Times New Roman" w:cs="Times New Roman" w:eastAsia="Times New Roman" w:hAnsi="Times New Roman"/>
          <w:sz w:val="14"/>
          <w:szCs w:val="14"/>
          <w:color w:val="auto"/>
        </w:rPr>
        <w:t>If we fail to successfully implement critical technology, if our technology does not provide the anticipated benefits or it does not meet market demands, we may be placed at a competitive disadvantage and could lose customers, materially adversely impacting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Use of Artificial Intelligence and Emerging Technologies.</w:t>
      </w:r>
    </w:p>
    <w:p>
      <w:pPr>
        <w:spacing w:after="0" w:line="20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We use, and intend on continuing to expand our use of, machine learning and artificial intelligence (“AI”) technologies to deliver our services and operate our business, including to optimize our operations, improve efficiency, and enhance customer solutions across our global logistics network. Our use of AI subjects us to risks related to accuracy, intellectual property infringement or misappropriation, data privacy, cybersecurity, and regulatory compliance, among others, and deficiencies or failures of our AI systems could subject us to competitive harm, regulatory action, penalties, legal liability, or reputational harm. Compliance with existing and future laws and regulations governing AI could be significant, may increase our operating expenses, require changes to our systems or processes, and could materially limit our ability to incorporate certain AI capabilities into our operations. In addition, our reliance on data obtained from internal systems, customers, vendors, cloud providers, and other third parties increases the risk that flawed, incomplete, biased, or compromised data could negatively impact AI-driven outputs and decision-making. Despite measures we have implemented to manage these risks, our systems may remain vulnerable, and a failure to prevent, detect, or mitigate issues arising from the use of AI could result in operational disruptions, unauthorized access to or disclosure of confidential or proprietary information, litigation, regulatory enforcement actions, fines or penalties, increased costs, and reputational damage. Additionally, competitors or other third parties may incorporate AI, automation, robotics, or other emerging technologies into their operations more quickly or more successfully than we do, or develop superior solutions using such technologies, which could impair our ability to compete effectively. We are and plan on continuing to invest in emerging technologies, including humanoid robots, and such investments may not be successful, may not deliver the expected operational benefits, may require significant ongoing capital expenditures and operational changes, or may result in additional liabilities. It is not possible to predict all of the risks related to the use of AI and emerging technologies, and the occurrence of any of these risks could have a material adverse effect on our business, financial condition, results of operations, and reputation.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failure of our information technology infrastructure or a breach of our information systems, networks or processes may have a material adverse effect on our business.</w:t>
      </w:r>
    </w:p>
    <w:p>
      <w:pPr>
        <w:spacing w:after="0" w:line="20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The efficient operation of our business depends on our information technology systems, including internet and cloud-based services, for many activities important to our business. We also rely on third parties and virtualized infrastructure to operate our information technology systems. Despite significant testing for risk management, external and internal risks, such as malware, insecure coding, “Acts of God,” data leakage and human error pose a direct threat to the stability or effectiveness of our information technology systems and operations. The failure of our information technology systems to perform as we anticipate could adversely affect our business through transaction errors, billing and invoicing errors, internal recordkeeping and reporting errors, processing inefficiencies and loss of sales, receivables collection or customers. Any such failure could result in harm to our reputation and have an ongoing adverse impact on our business, results of operations and financial condition, including after the underlying failures have been remedied.</w:t>
      </w:r>
    </w:p>
    <w:p>
      <w:pPr>
        <w:spacing w:after="0" w:line="16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We may also be subject to cyberattacks and other intentional hacking. Any failure to identify and address such defects or errors or prevent a cyberattack could result in service interruptions, operational difficulties, loss of revenues or market share, liabilities to our customers or others, the diversion of corporate resources, injury to our reputation or increased service and maintenance costs. Addressing such issues could prove to be impossible or very costly and responding to the resulting claims or liability could similarly involve substantial cost. In addition, recently, regulatory and enforcement focus on data protection has heightened in the U.S. and abroad, particularly in the European Union (“EU”), and failure to comply with applicable U.S. or foreign data protection regulations or other data protection standards may expose us to litigation, fines, sanctions or other penalties, which could harm our business, its reputation,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15" w:name="page16"/>
    <w:bookmarkEnd w:id="15"/>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14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use both internally developed and purchased technologies in conducting our business. It is possible that users of these technologies, whether internally developed or purchased, could be claimed to infringe upon or violate the intellectual property rights of third parties. In the event that a claim is made against us by a third party for the infringement of intellectual property rights, a settlement or adverse judgment against us could result in increased costs to license the technology or a legal prohibition against continued use of the technology. Thus, our failure to obtain, maintain or enforce our intellectual property rights could have a material adverse effect on our business, financial condition and results of operations.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We rely on a combination of intellectual property rights, including patents, copyrights, trademarks, domain names, trade secrets, intellectual property licenses and other contractual rights, to protect our intellectual property and technology. Any of our owned or licensed intellectual property rights could be challenged, invalidated, circumvented, infringed or misappropriated; our trade secrets and other confidential information could be disclosed in an unauthorized manner to third parties; or we may fail to secure the rights to intellectual property developed by our employees, contractors and others. Efforts to enforce our intellectual property rights may be time-consuming and costly, distract management’s attention, divert our resources in other ways and ultimately be unsuccessful. Moreover, should we fail to develop and properly manage future intellectual property, this could adversely affect our market positions and business opportunities.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Risks Related to Our Credit and Liquidity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Challenges in the commercial and credit environment may adversely affect our future access to capital on favorable terms.</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Volatility in the world financial markets could increase borrowing costs or affect our ability to access the capital markets. Our ability to issue debt or enter into other financing arrangements on acceptable terms could be adversely affected if there is a material decline in the demand for our services or in the solvency of our customers or suppliers or if there are other significantly unfavorable changes in economic conditions.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incurred debt obligations that could adversely affect our business and profitability and our ability to meet other obligations.</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Our inability to generate sufficient cash flows to satisfy our debt obligations, or to refinance our indebtedness on commercially reasonable terms or at all, could materially and adversely affect our financial position and results of operations. Further, failure to comply with the covenants under our indebtedness may have a material adverse impact on our operations. If we fail to comply with any of the covenants under our debt obligations and are unable to obtain a waiver or amendment, such failure may result in an event of default under our indebtedness. We may not have sufficient liquidity to repay or refinance our indebtedness if such indebtedness were accelerated upon an event of default. We may also incur additional indebtedness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borrowing costs and access to capital and credit markets may be adversely affected by a downgrade or potential downgrade of our credit ratings.</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Rating agencies routinely evaluate us, and their ratings of our long-term and short-term debt are based upon a number of factors, including our cash generating capability, levels of indebtedness, policies with respect to shareholder distributions and financial strength generally, as well as factors beyond our control, such as the then-current state of the economy and our industry generally. Our objective is to maintain credit ratings that provide us with ready access to global capital and credit markets. Any downgrade or announcement that we are under review for a potential downgrade of our current credit ratings by a credit rating agency, especially any downgrade to below investment grade, could increase our future borrowing costs, impair our ability to access capital and credit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auto"/>
        </w:rPr>
        <w:t>on terms commercially acceptable to us or at all, and result in a reduction in our liquidity, all of which could adversely affect our financial condition, results of operations and cash flows.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Risks Related to Third-Party Relationships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 materially adversely affected by labor disputes or organizing efforts.</w:t>
      </w:r>
    </w:p>
    <w:p>
      <w:pPr>
        <w:spacing w:after="0" w:line="20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Labor disputes involving our customers could affect our operations. If our customers experience plant slowdowns or closures because they are unable to negotiate labor contracts, our revenue and profitability could be negatively impacted. In particular, we derive a substantial portion of our revenue from the operation and management of facilities that are often located close to a customer’s manufacturing plant and are integrated into the customer’s production line process. If any of our customers are affected by labor disputes and consequently cease or significantly modify their operations at a plant served by us, we may experience significant revenue loss and shutdown costs, including costs related to early termination of leases.</w:t>
      </w:r>
    </w:p>
    <w:p>
      <w:pPr>
        <w:spacing w:after="0" w:line="16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In Europe, our business activities rely on a large amount of labor, including a number of workers who are affiliated with trade unions and other staff representative institutions. A deteriorating economic environment may result in tensions in industrial relations, which may lead to industrial action within our European operations which could have a direct impact on our business operations. Generally, any deterioration in industrial relations in our European operations, such as general strike activities or other material labor disputes, could have an adverse effect on our revenues, earnings and financial position.</w:t>
      </w:r>
    </w:p>
    <w:p>
      <w:pPr>
        <w:spacing w:after="0" w:line="1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Although our workforce in the U.S. is not unionized, labor unions have, from time to time, attempted to organize our employees. Successful unionization of our employees or organizing efforts could lead to business interruptions, work stoppages and the reduction of service levels due to work rules and could have an adverse effect on our customer relationships and our revenues, earnings and financial position.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failure to properly manage our temporary workers could have a material adverse impact on our revenues, earnings and financial position.</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business uses a large number of temporary workers in our operations. We cannot guarantee that temporary workers are as well-trained as our other employees. Specifically, we may be exposed to the risk that temporary workers may not perform their assignments in a satisfactory manner or may not comply with our safety rules in an appropriate manner, whether as a result of their lack of experience or otherwise. If such risks materialize, they could have a material adverse effect on our business and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Risks Related to Litigation and Regulations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involved in lawsuits and are subject to various claims that could result in significant expenditures and impact our operations.</w:t>
      </w:r>
    </w:p>
    <w:p>
      <w:pPr>
        <w:spacing w:after="0" w:line="20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The nature of our business exposes us to the potential for various types of claims and litigation. We are subject to claims and litigation related to our customer contracts and relationships, labor and employment, personal injury, vehicular accidents, cargo and other property damage, business practices, environmental liability and other matters, including claims asserted under various other theories of agency or employer liability. Claims against us may exceed the amount of insurance coverage that we have or may not be covered by insurance at all. Businesses that we acquire also increase our exposure to litigation. Material increases in liability claims or workers’ compensation claims, the unfavorable resolution of claims or our failure to recover, in full or in part, under indemnity provisions could materially and adversely affect our operating results. In addition, significant increases in insurance costs or the inability to purchase insurance as a result of these claims could affect our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8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defined benefit plans for our current and former employees, which could have a material adverse effect on our earnings and financial position.</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We maintain defined benefit pension plans in the U.K. A decline in interest rates or lower returns on funded plan assets may cause increases in the expense and funding requirements for the plans. Despite past amendments that froze our defined benefit pension plan to new participants and curtailed benefits, the pension plans remain subject to volatility associated with interest rates, inflation, returns on plan assets, other actuarial assumptions and statutory funding requirements. Any of these factors could lead to a significant increase in the expense of the plans and a deterioration in the solvency of the plans, which could significantly increase our contribution requirements. As a result, we are unable to predict the effect on our financial statements associated with our defined benefit pension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laws and regulations for U.S. and multinational companies may increase our tax liability.</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U.S. Congress, the Organisation for Economic Co-operation and Development (“OECD”), the EU and other government agencies in jurisdictions in which we and our affiliates do business have maintained a focus on the taxation of multinational companies. During 2023, the OECD issued administrative guidance for the Pillar Two Global Anti-Base Erosion rules (“Pillar Two”), which generally imposes a 15% global minimum tax on multinational companies. Many Pillar Two rules are effective for fiscal years beginning on January 1, 2024, with other aspects to be effective from 2025. On July 4, 2025, the One Big Beautiful Bill Act (P.L. 119-21) was signed into law. The legislation has multiple effective dates, with certain provisions effective in 2025 and others effective through 2027. The Company regularly monitors developments in its jurisdictions and considers the impact of the tax-related proposals as they arise.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regulations, which could negatively impact our business.</w:t>
      </w:r>
    </w:p>
    <w:p>
      <w:pPr>
        <w:spacing w:after="0" w:line="20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Our operations are regulated and licensed by various governmental agencies at the local, state and federal levels in the U.S. and in the foreign countries where we operate. These regulatory agencies have authority and oversight of domestic and international activities. Our subsidiaries must also comply with applicable regulations and requirements of various agencies.</w:t>
      </w:r>
    </w:p>
    <w:p>
      <w:pPr>
        <w:spacing w:after="0" w:line="14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The regulatory landscape in which we operate is constantly evolving and subject to significant change, including as a result of evolving political and social pressures. Future laws, regulations and regulatory reforms may be more stringent and may require changes to our operating practices that influence the demand for our services or require us to incur significant additional costs. We are unable to predict the impact that recently enacted and future regulations may have on our business. If higher costs are incurred by us as a result of future changes in regulations, this could adversely affect our results of operations to the extent we are unable to obtain a corresponding increase in price from our customers.</w:t>
      </w:r>
    </w:p>
    <w:p>
      <w:pPr>
        <w:spacing w:after="0" w:line="160"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Proposed or pending legislative or regulatory changes, or future legislative or regulatory changes, at the federal, state or local level may decrease demand for our services, increase our costs, including our labor costs, and negatively affect our business and our results of operations.</w:t>
      </w:r>
    </w:p>
    <w:p>
      <w:pPr>
        <w:spacing w:after="0" w:line="14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business is subject to possible regulatory and legislative changes that may impact our operations, including but not limited to changes that would encourage workers to unionize, make it easier for workers to collectively bargain, increase operational requirements on our business or mandate certain restrictions on the terms of employment for individual workers, including how often they can work or how long they can work in any individual shift. Any and all of these changes or other similar changes could have significant implications for our business model, including increasing our labor costs, reducing our operational flexibility and restricting our ability to meet our customers’ expectations and demands, any of which could negatively affect our business and our results of operations. If such regulations are adopted, they could increase our cost of operations or hinder our ability to meet our customers’ expectations and demands, either of which would negatively affect our business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18" w:name="page19"/>
    <w:bookmarkEnd w:id="18"/>
    <w:p>
      <w:pPr>
        <w:ind w:right="280"/>
        <w:spacing w:after="0" w:line="287" w:lineRule="auto"/>
        <w:rPr>
          <w:sz w:val="20"/>
          <w:szCs w:val="20"/>
          <w:color w:val="auto"/>
        </w:rPr>
      </w:pPr>
      <w:r>
        <w:rPr>
          <w:rFonts w:ascii="Times New Roman" w:cs="Times New Roman" w:eastAsia="Times New Roman" w:hAnsi="Times New Roman"/>
          <w:sz w:val="14"/>
          <w:szCs w:val="14"/>
          <w:color w:val="auto"/>
        </w:rPr>
        <w:t>Additionally, significant regulatory changes at the federal, state or local level may negatively affect economic output, cause growth to slow, reduce consumer spending and sentiment and result in decreased demand for our services, negatively affecting our business and our results of operations.</w:t>
      </w:r>
    </w:p>
    <w:p>
      <w:pPr>
        <w:spacing w:after="0" w:line="143"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Economic recessions and other factors, such as heightened geopolitical tensions or conflict, that reduce consumer spending, both in North America and Europe, could have a material adverse impact on our business.</w:t>
      </w:r>
    </w:p>
    <w:p>
      <w:pPr>
        <w:spacing w:after="0" w:line="1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Our performance is affected by recessionary economic cycles, downturns in customers’ business cycles and changes in customers’ business practices. Our customers experience cyclical fluctuations in demand for their products due to economic recessions, which reduces the demand for our services and could adversely affect our business, results of operations, cash flows and financial condition. The ramifications of any period of heightened geopolitical tensions or conflicts, including increased international trade sanctions or tariffs, may negatively impact regional and global economic markets, including where we operate, may cause supply chain disruptions, may reduce consumer demand and may cause inflation with increased costs for labor, transportation and energy. Any period of heightened geopolitical tensions or conflict can increase financial market volatility and could negatively affect our ability to raise additional capital when required.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Risks Related to Environmental, Social and Governance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Compliance with ESG laws and regulations could result in significant costs that adversely affect our consolidated results of operations.</w:t>
      </w:r>
    </w:p>
    <w:p>
      <w:pPr>
        <w:spacing w:after="0" w:line="2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Our operating locations are subject to environmental laws and regulations relating to the protection of the environment and health and safety matters, including those governing discharges of pollutants into the air and water, the management and disposal of hazardous substances and wastes and the clean-up of contaminated sites. The operation of our businesses entails risks under environmental laws and regulations. We could incur significant costs, including clean-up costs, fines and sanctions and claims by third parties for property damage and personal injury, as a result of violations of or liabilities under these laws and regulations. In addition, potentially significant expenditures could be required to comply with environmental laws and regulations, including requirements that may be adopted or imposed in the future.</w:t>
      </w:r>
    </w:p>
    <w:p>
      <w:pPr>
        <w:spacing w:after="0" w:line="1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Additionally, various jurisdictions, such as the State of California, the United Kingdom, and the European Union, have enacted legislation requiring certain companies to disclose climate-related financial risk as well as GHG emissions, and other non-financial information. The requirements differ across regulations, increasing the cost of compliance. We may incur additional expenses both in the management of disclosure as well as potential changes in company operations to comply with the regulations. Certain jurisdictions have enacted legislation requiring certain companies to look into their supply chain and more actively manage risk and disclose non-financial metrics such as GHG emissions and health and safety. Managing bespoke customer requests related to ESG regulation may also increase our expenses. As the nature, scope and complexity of ESG reporting, diligence and disclosure requirements expand, we may have to undertake additional costs to control, assess and report on ESG metrics. Any failure or perceived failure to satisfy various ESG reporting standards within the timelines we announce, or at all, could increase the risk of litigation.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achieve our ESG goals is subject to risks, many of which are outside our control, and our reputation could be harmed if we fail to meet such goals.</w:t>
      </w:r>
    </w:p>
    <w:p>
      <w:pPr>
        <w:spacing w:after="0" w:line="20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color w:val="auto"/>
        </w:rPr>
        <w:t>Our ability to achieve our ESG goals, including our goal to achieve 30% reduction in Greenhouse Gas (“GHG”) emissions by 2030, and to accurately and transparently report our progress presents numerous operational, financial, legal and other risks and may be dependent on the actions of suppliers and other third parties, all of which are outside our control. Additionally, as we focus on growth the cost to meet our ESG goals, specifically decarbonization, may increase. If we are unable to meet our ESG goals or evolving stakeholder expectations and industry standards, our reputation could be negatively impacted. If, as a result of their assessment of our ESG practices, certain investors are unsatisfied with our actions or progress, they may reconsider their investment in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stockholder’s percentage of ownership in GXO may be diluted in the future at any given time.</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In the future, existing holders of our common stock may be diluted because of equity issuances for acquisitions, capital market transactions or otherwise, including any equity awards that we will grant to our directors, officers and employees. Our employees have stock-based awards that correspond to shares of our common stock and the compensation committee of our board of directors has granted and is likely to continue to grant additional stock-based awards to our employees under our employee benefits plans. Such awards will have a dilutive effect on the number of GXO shares outstanding and therefore on our earnings per share, which could adversely affect the market price of our common stock.</w:t>
      </w:r>
    </w:p>
    <w:p>
      <w:pPr>
        <w:spacing w:after="0" w:line="160"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Certain provisions in GXO’s amended and restated certificate of incorporation and amended and restated bylaws, and of Delaware law, may prevent or delay an acquisition of GXO, which could decrease the trading price of GXO’s common stock.</w:t>
      </w:r>
    </w:p>
    <w:p>
      <w:pPr>
        <w:spacing w:after="0" w:line="14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include:</w:t>
      </w:r>
    </w:p>
    <w:p>
      <w:pPr>
        <w:spacing w:after="0" w:line="157" w:lineRule="exact"/>
        <w:rPr>
          <w:sz w:val="20"/>
          <w:szCs w:val="20"/>
          <w:color w:val="auto"/>
        </w:rPr>
      </w:pPr>
    </w:p>
    <w:p>
      <w:pPr>
        <w:ind w:left="520" w:hanging="194"/>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remaining directors to fill vacancies on our board of directors;</w:t>
      </w:r>
    </w:p>
    <w:p>
      <w:pPr>
        <w:spacing w:after="0" w:line="23" w:lineRule="exact"/>
        <w:rPr>
          <w:rFonts w:ascii="Times New Roman" w:cs="Times New Roman" w:eastAsia="Times New Roman" w:hAnsi="Times New Roman"/>
          <w:sz w:val="14"/>
          <w:szCs w:val="14"/>
          <w:color w:val="auto"/>
        </w:rPr>
      </w:pPr>
    </w:p>
    <w:p>
      <w:pPr>
        <w:ind w:left="520" w:hanging="194"/>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stockholders’ ability to call a special stockholder meeting or act by written consent;</w:t>
      </w:r>
    </w:p>
    <w:p>
      <w:pPr>
        <w:spacing w:after="0" w:line="8" w:lineRule="exact"/>
        <w:rPr>
          <w:rFonts w:ascii="Times New Roman" w:cs="Times New Roman" w:eastAsia="Times New Roman" w:hAnsi="Times New Roman"/>
          <w:sz w:val="14"/>
          <w:szCs w:val="14"/>
          <w:color w:val="auto"/>
        </w:rPr>
      </w:pPr>
    </w:p>
    <w:p>
      <w:pPr>
        <w:ind w:left="520" w:hanging="194"/>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rules regarding how stockholders may present proposals or nominate directors for election at stockholder meetings; and</w:t>
      </w:r>
    </w:p>
    <w:p>
      <w:pPr>
        <w:spacing w:after="0" w:line="8" w:lineRule="exact"/>
        <w:rPr>
          <w:rFonts w:ascii="Times New Roman" w:cs="Times New Roman" w:eastAsia="Times New Roman" w:hAnsi="Times New Roman"/>
          <w:sz w:val="14"/>
          <w:szCs w:val="14"/>
          <w:color w:val="auto"/>
        </w:rPr>
      </w:pPr>
    </w:p>
    <w:p>
      <w:pPr>
        <w:ind w:left="520" w:hanging="194"/>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of our board of directors to issue preferred stock without stockholder approval.</w:t>
      </w:r>
    </w:p>
    <w:p>
      <w:pPr>
        <w:spacing w:after="0" w:line="18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In addition, we are subject to Section 203 of the Delaware General Corporation Law (the “DGCL”), which could have the effect of delaying or preventing a change of control. Section 203 provides that, subject to limited exceptions, persons that acquire, or are affiliated with persons that acquire, more than 15% of the outstanding voting stock of a Delaware corporation may not engage in a business combination with that corporation, including by merger, consolidation or acquisitions of additional shares, for a three-year period following the date on which that person or any of its affiliates become the holder of more than 15% of the corporation’s outstanding voting stock.</w:t>
      </w:r>
    </w:p>
    <w:p>
      <w:pPr>
        <w:spacing w:after="0" w:line="16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GXO immune from takeovers; however, these provisions will apply even if the offer may be considered beneficial by some stockholders and could delay or prevent an acquisition that our board of directors determines is not in the best interests of GXO and our stockholders. These provisions may also prevent or discourage attempts to remove and replace incumbent directors.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GXO’s amended and restated certificate of incorporation contains an exclusive forum provision that may discourage lawsuits against GXO and GXO’s directors and officers.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unless the board of directors otherwise determines, the state courts within the State of Delaware (or, if no state court located within the State of Delaware has jurisdiction, the federal district court for the District of Delaware) will be the sole and exclusive forum for any derivative action or proceeding brought on behalf of GXO, any action asserting a claim for or based on a breach of a fiduciary duty owed by any current or former director or officer of GXO to GXO or to GXO stockholders, including a claim alleging the aiding and abetting of such a breach of fiduciary duty, any action asserting a claim against GXO or any current or former director or officer of GXO arising pursuant to any provision of the DGCL or our amended and restated certificate of incorporation or amended and restated bylaws, any action asserting a claim relating 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color w:val="auto"/>
        </w:rPr>
        <w:t>involving GXO governed by the internal affairs doctrine or any action asserting an “internal corporate claim” as that term is defined in Section 115 of the DGCL.</w:t>
      </w:r>
    </w:p>
    <w:p>
      <w:pPr>
        <w:spacing w:after="0" w:line="20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To the fullest extent permitted by law, this exclusive forum provision will apply to state and federal law claims, including claims under the federal securities laws, including the Securities Act and the Exchange Act, although GXO stockholders will not be deemed to have waived GXO’s compliance with the federal securities laws and the rules and regulations thereunder.</w:t>
      </w:r>
    </w:p>
    <w:p>
      <w:pPr>
        <w:spacing w:after="0" w:line="1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This exclusive forum provision may limit the ability of our stockholders to bring a claim in a judicial forum that such stockholders find favorable for disputes with GXO or our directors or officers, which may discourage such lawsuits against GXO or our directors or officers. Alternatively, if a court were to find this exclusive forum provision inapplicable to, or unenforceable in respect of, one or more of the specified types of actions or proceedings described above, we may incur additional costs associated with resolving such matters in other jurisdictions, which could negatively affect our business, results of operations and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cannot guarantee that our share repurchase program will be fully implemented or that it will enhance long-term shareholder value.</w:t>
      </w:r>
    </w:p>
    <w:p>
      <w:pPr>
        <w:spacing w:after="0" w:line="20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In February 2025, our board of directors authorized the repurchase by the Company of up to $500 million of our common stock. The share repurchase plan permits repurchases of our common stock to be made from time to time in management’s discretion, through a variety of methods, including a 10b5-1 trading plan, open market purchases, privately negotiated transactions or otherwise. The timing and number of shares of common stock repurchased will depend on a variety of factors, including price, general business and market conditions, alternative investment opportunities and funding considerations. As a result, there can be no guarantee regarding the timing or volume of our share repurchases. The share repurchase program could affect the price of our common stock, increase volatility and diminish our cash reserves. The repurchase program may be suspended or discontinued at any time and, even if fully implemented, may not enhance long-term shareholder value. As of December 31, 2025, the remaining authorization under the Repurchase Plan was $300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9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We believe that cybersecurity is fundamental to how we operate and, as such, we place significant focus on defining and managing our cybersecurity risk. With the ever-changing cybersecurity landscape and continual emergence of new threats, our Board of Directors, Audit Committee and senior management team ensure that significant resources are devoted to cybersecurity risk management and the technologies, processes and people that support it. We have an Enterprise Risk Management Committee, comprising senior leaders from key functions, and a Cybersecurity Risk Committee which utilize the National Institute of Standards and Technology (“NIST”) framework to ensure that these risks are clearly and effectively categorized and treated.</w:t>
      </w:r>
    </w:p>
    <w:p>
      <w:pPr>
        <w:spacing w:after="0" w:line="17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We utilize comprehensive and widespread information sources and services (including third-party threat intelligence) to understand the threat landscape faced by the Company and design our protective controls accordingly using a defense-in-depth approach. The layers of these defenses are aligned to the NIST framework; Govern, Identify, Protect, Detect, Respond and Recover. The Enterprise Risk Management Committee and Cybersecurity Risk Management Committee meet regularly to consider any change to risk levels and ensure that the Company’s cybersecurity controls remain commensurate with those risk levels. These controls and their performance are constantly evaluated and evolved to ensure that the Company remains well protected against any new threats.</w:t>
      </w:r>
    </w:p>
    <w:p>
      <w:pPr>
        <w:spacing w:after="0" w:line="151"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color w:val="auto"/>
        </w:rPr>
        <w:t>The Company’s Chief Information Security Officer (“CISO”) is responsible for developing and implementing our cybersecurity program and reporting on related matters to our Board of Directors. The CISO has over two decades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81" w:right="359" w:bottom="1440" w:gutter="0" w:footer="0" w:header="0"/>
        </w:sectPr>
      </w:pPr>
    </w:p>
    <w:bookmarkStart w:id="21" w:name="page22"/>
    <w:bookmarkEnd w:id="21"/>
    <w:p>
      <w:pPr>
        <w:spacing w:after="0" w:line="245" w:lineRule="auto"/>
        <w:rPr>
          <w:sz w:val="20"/>
          <w:szCs w:val="20"/>
          <w:color w:val="auto"/>
        </w:rPr>
      </w:pPr>
      <w:r>
        <w:rPr>
          <w:rFonts w:ascii="Times New Roman" w:cs="Times New Roman" w:eastAsia="Times New Roman" w:hAnsi="Times New Roman"/>
          <w:sz w:val="14"/>
          <w:szCs w:val="14"/>
          <w:color w:val="auto"/>
        </w:rPr>
        <w:t>of cyber security experience in a variety of industries including banking, aerospace, manufacturing and defense. A decade of this experience has been in senior leadership roles. The CISO leads a global team of highly trained experts covering all major cybersecurity functions including Technical Engineering and Architecture, Governance, Risk and Compliance, Security Operations and Incident Response, Threat and Vulnerability Management and Security Awareness. The technologies, policies and processes associated with these functions are tested by third parties at least annually to ensure continued effectiveness and identify any opportunities for improvement. These tests and assessments are useful tools for maintaining a robust cybersecurity program to protect our investors, customers, employees, vendors and intellectual property.</w:t>
      </w:r>
    </w:p>
    <w:p>
      <w:pPr>
        <w:spacing w:after="0" w:line="17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A full suite of cybersecurity policies exists and is applicable to all employees globally. These policies are reviewed annually and approved by relevant senior leaders. All Company employees are required to complete cybersecurity training annually, with quarterly “refreshers” throughout the year. An advanced phishing simulation program exists at the Company and all employees are tested at least monthly on their ability to identify phishing emails.</w:t>
      </w:r>
    </w:p>
    <w:p>
      <w:pPr>
        <w:spacing w:after="0" w:line="15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4"/>
          <w:szCs w:val="14"/>
          <w:color w:val="auto"/>
        </w:rPr>
        <w:t>We invest in our cybersecurity defenses and have implemented multiple layers of protection against all known critical threats. We have high levels of compliance to protective controls on our technical estate, robust perimeter defenses, industry-leading filtering and analysis of web and email traffic, widespread multi-factor authentication, continuous training of our employees through educational material or simulation (e.g., phishing) and 24/7 monitoring of the IT estate. We have a robust and up-to-date Cyber Incident Response Plan (“CIRP”) that is performed as a table-top exercise at least annually. A range of dashboards has been designed for use by the cybersecurity management team to monitor the day-to-day performance of the cybersecurity defenses and immediately remediate any sign of concern.</w:t>
      </w:r>
    </w:p>
    <w:p>
      <w:pPr>
        <w:spacing w:after="0" w:line="16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All third-party vendors utilized by GXO undergo a cybersecurity assessment at the time of engagement. This assessment scrutinizes the third party’s cybersecurity maturity to ascertain the level of risk the third party may present to the systems and data of GXO and its customers. Additionally, these vendors’ security maturity is constantly monitored via a third-party service.</w:t>
      </w:r>
    </w:p>
    <w:p>
      <w:pPr>
        <w:spacing w:after="0" w:line="14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Our Audit Committee and our Board of Directors actively participate in discussions with management and among themselves regarding cybersecurity risks. In addition, our Board receives regular cybersecurity reports, which include a review of key performance and risk indicators, test results and related remediation, and recent threats and how the Company is managing those threats.</w:t>
      </w:r>
    </w:p>
    <w:p>
      <w:pPr>
        <w:spacing w:after="0" w:line="145"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4"/>
          <w:szCs w:val="14"/>
          <w:color w:val="auto"/>
        </w:rPr>
        <w:t>Despite the continuous risk faced by the Company, we have suffered no incidents that have materially affected or are reasonably likely to materially affect the Company, including our business strategy, results of operations, or financial condition, nor have we had any widespread intrusion or incident. Notwithstanding the exhaustive approach we take to cybersecurity, we may not be successful in preventing or mitigating a cybersecurity incident that could have a material adverse effect on our business, results of operations and financial condition. While GXO maintains cybersecurity insurance, the costs related to cybersecurity threats or disruptions may not be fully insured. See Item 1A. “Risk Factors” for a discussion of cybersecurity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corporate headquarters is located in Greenwich, Connecticut.</w:t>
      </w:r>
    </w:p>
    <w:p>
      <w:pPr>
        <w:spacing w:after="0" w:line="200"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As of December 31, 2025, we operated 1,043 facilities, including our corporate and administrative offices. Of these, 479 facilities were owned or leased by our customers. Overall, we occupied approximately 221 million square feet across our locations.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3"/>
                <w:szCs w:val="13"/>
                <w:b w:val="1"/>
                <w:bCs w:val="1"/>
                <w:color w:val="auto"/>
                <w:w w:val="96"/>
              </w:rPr>
              <w:t>Facilities</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Square Footage</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80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1"/>
                <w:szCs w:val="11"/>
                <w:b w:val="1"/>
                <w:bCs w:val="1"/>
                <w:color w:val="auto"/>
              </w:rPr>
              <w:t>Locations</w:t>
            </w:r>
          </w:p>
        </w:tc>
        <w:tc>
          <w:tcPr>
            <w:tcW w:w="104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rPr>
              <w:t>Leased</w:t>
            </w:r>
          </w:p>
        </w:tc>
        <w:tc>
          <w:tcPr>
            <w:tcW w:w="1320" w:type="dxa"/>
            <w:vAlign w:val="bottom"/>
            <w:gridSpan w:val="3"/>
          </w:tcPr>
          <w:p>
            <w:pPr>
              <w:jc w:val="center"/>
              <w:ind w:right="360"/>
              <w:spacing w:after="0" w:line="100" w:lineRule="exact"/>
              <w:rPr>
                <w:sz w:val="20"/>
                <w:szCs w:val="20"/>
                <w:color w:val="auto"/>
              </w:rPr>
            </w:pPr>
            <w:r>
              <w:rPr>
                <w:rFonts w:ascii="Times New Roman" w:cs="Times New Roman" w:eastAsia="Times New Roman" w:hAnsi="Times New Roman"/>
                <w:sz w:val="11"/>
                <w:szCs w:val="11"/>
                <w:b w:val="1"/>
                <w:bCs w:val="1"/>
                <w:color w:val="auto"/>
              </w:rPr>
              <w:t>Owned</w:t>
            </w:r>
          </w:p>
        </w:tc>
        <w:tc>
          <w:tcPr>
            <w:tcW w:w="900" w:type="dxa"/>
            <w:vAlign w:val="bottom"/>
            <w:gridSpan w:val="2"/>
          </w:tcPr>
          <w:p>
            <w:pPr>
              <w:jc w:val="center"/>
              <w:ind w:right="380"/>
              <w:spacing w:after="0" w:line="100" w:lineRule="exact"/>
              <w:rPr>
                <w:sz w:val="20"/>
                <w:szCs w:val="20"/>
                <w:color w:val="auto"/>
              </w:rPr>
            </w:pPr>
            <w:r>
              <w:rPr>
                <w:rFonts w:ascii="Times New Roman" w:cs="Times New Roman" w:eastAsia="Times New Roman" w:hAnsi="Times New Roman"/>
                <w:sz w:val="11"/>
                <w:szCs w:val="11"/>
                <w:b w:val="1"/>
                <w:bCs w:val="1"/>
                <w:color w:val="auto"/>
              </w:rPr>
              <w:t>Customer</w:t>
            </w:r>
          </w:p>
        </w:tc>
        <w:tc>
          <w:tcPr>
            <w:tcW w:w="10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40" w:type="dxa"/>
            <w:vAlign w:val="bottom"/>
            <w:gridSpan w:val="2"/>
          </w:tcPr>
          <w:p>
            <w:pPr>
              <w:jc w:val="center"/>
              <w:ind w:right="80"/>
              <w:spacing w:after="0" w:line="100" w:lineRule="exact"/>
              <w:rPr>
                <w:sz w:val="20"/>
                <w:szCs w:val="20"/>
                <w:color w:val="auto"/>
              </w:rPr>
            </w:pPr>
            <w:r>
              <w:rPr>
                <w:rFonts w:ascii="Times New Roman" w:cs="Times New Roman" w:eastAsia="Times New Roman" w:hAnsi="Times New Roman"/>
                <w:sz w:val="11"/>
                <w:szCs w:val="11"/>
                <w:b w:val="1"/>
                <w:bCs w:val="1"/>
                <w:color w:val="auto"/>
                <w:w w:val="96"/>
              </w:rPr>
              <w:t>Leased</w:t>
            </w:r>
          </w:p>
        </w:tc>
        <w:tc>
          <w:tcPr>
            <w:tcW w:w="1040" w:type="dxa"/>
            <w:vAlign w:val="bottom"/>
            <w:gridSpan w:val="2"/>
          </w:tcPr>
          <w:p>
            <w:pPr>
              <w:jc w:val="center"/>
              <w:ind w:right="80"/>
              <w:spacing w:after="0" w:line="100" w:lineRule="exact"/>
              <w:rPr>
                <w:sz w:val="20"/>
                <w:szCs w:val="20"/>
                <w:color w:val="auto"/>
              </w:rPr>
            </w:pPr>
            <w:r>
              <w:rPr>
                <w:rFonts w:ascii="Times New Roman" w:cs="Times New Roman" w:eastAsia="Times New Roman" w:hAnsi="Times New Roman"/>
                <w:sz w:val="11"/>
                <w:szCs w:val="11"/>
                <w:b w:val="1"/>
                <w:bCs w:val="1"/>
                <w:color w:val="auto"/>
              </w:rPr>
              <w:t>Owned</w:t>
            </w:r>
          </w:p>
        </w:tc>
        <w:tc>
          <w:tcPr>
            <w:tcW w:w="1140" w:type="dxa"/>
            <w:vAlign w:val="bottom"/>
            <w:gridSpan w:val="2"/>
          </w:tcPr>
          <w:p>
            <w:pPr>
              <w:jc w:val="center"/>
              <w:ind w:right="60"/>
              <w:spacing w:after="0" w:line="100" w:lineRule="exact"/>
              <w:rPr>
                <w:sz w:val="20"/>
                <w:szCs w:val="20"/>
                <w:color w:val="auto"/>
              </w:rPr>
            </w:pPr>
            <w:r>
              <w:rPr>
                <w:rFonts w:ascii="Times New Roman" w:cs="Times New Roman" w:eastAsia="Times New Roman" w:hAnsi="Times New Roman"/>
                <w:sz w:val="11"/>
                <w:szCs w:val="11"/>
                <w:b w:val="1"/>
                <w:bCs w:val="1"/>
                <w:color w:val="auto"/>
              </w:rPr>
              <w:t>Customer</w:t>
            </w:r>
          </w:p>
        </w:tc>
        <w:tc>
          <w:tcPr>
            <w:tcW w:w="940" w:type="dxa"/>
            <w:vAlign w:val="bottom"/>
            <w:vMerge w:val="restart"/>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8"/>
        </w:trPr>
        <w:tc>
          <w:tcPr>
            <w:tcW w:w="2800" w:type="dxa"/>
            <w:vAlign w:val="bottom"/>
            <w:gridSpan w:val="2"/>
            <w:vMerge w:val="continue"/>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Facilities</w:t>
            </w: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Facilities</w:t>
            </w:r>
          </w:p>
        </w:tc>
        <w:tc>
          <w:tcPr>
            <w:tcW w:w="900" w:type="dxa"/>
            <w:vAlign w:val="bottom"/>
            <w:gridSpan w:val="2"/>
          </w:tcPr>
          <w:p>
            <w:pPr>
              <w:jc w:val="center"/>
              <w:ind w:right="380"/>
              <w:spacing w:after="0" w:line="159" w:lineRule="exact"/>
              <w:rPr>
                <w:sz w:val="20"/>
                <w:szCs w:val="20"/>
                <w:color w:val="auto"/>
              </w:rPr>
            </w:pPr>
            <w:r>
              <w:rPr>
                <w:rFonts w:ascii="Times New Roman" w:cs="Times New Roman" w:eastAsia="Times New Roman" w:hAnsi="Times New Roman"/>
                <w:sz w:val="11"/>
                <w:szCs w:val="11"/>
                <w:b w:val="1"/>
                <w:bCs w:val="1"/>
                <w:color w:val="auto"/>
                <w:w w:val="97"/>
              </w:rPr>
              <w:t>Facilities</w:t>
            </w:r>
            <w:r>
              <w:rPr>
                <w:rFonts w:ascii="Times New Roman" w:cs="Times New Roman" w:eastAsia="Times New Roman" w:hAnsi="Times New Roman"/>
                <w:sz w:val="14"/>
                <w:szCs w:val="14"/>
                <w:b w:val="1"/>
                <w:bCs w:val="1"/>
                <w:color w:val="auto"/>
                <w:w w:val="97"/>
                <w:vertAlign w:val="superscript"/>
              </w:rPr>
              <w:t>(1)</w:t>
            </w:r>
          </w:p>
        </w:tc>
        <w:tc>
          <w:tcPr>
            <w:tcW w:w="1020" w:type="dxa"/>
            <w:vAlign w:val="bottom"/>
            <w:gridSpan w:val="2"/>
            <w:vMerge w:val="continue"/>
          </w:tcPr>
          <w:p>
            <w:pPr>
              <w:spacing w:after="0"/>
              <w:rPr>
                <w:sz w:val="13"/>
                <w:szCs w:val="13"/>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Facilities</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Facilities</w:t>
            </w:r>
          </w:p>
        </w:tc>
        <w:tc>
          <w:tcPr>
            <w:tcW w:w="1140" w:type="dxa"/>
            <w:vAlign w:val="bottom"/>
            <w:gridSpan w:val="2"/>
          </w:tcPr>
          <w:p>
            <w:pPr>
              <w:jc w:val="center"/>
              <w:ind w:right="60"/>
              <w:spacing w:after="0" w:line="159" w:lineRule="exact"/>
              <w:rPr>
                <w:sz w:val="20"/>
                <w:szCs w:val="20"/>
                <w:color w:val="auto"/>
              </w:rPr>
            </w:pPr>
            <w:r>
              <w:rPr>
                <w:rFonts w:ascii="Times New Roman" w:cs="Times New Roman" w:eastAsia="Times New Roman" w:hAnsi="Times New Roman"/>
                <w:sz w:val="11"/>
                <w:szCs w:val="11"/>
                <w:b w:val="1"/>
                <w:bCs w:val="1"/>
                <w:color w:val="auto"/>
                <w:w w:val="97"/>
              </w:rPr>
              <w:t>Facilities</w:t>
            </w:r>
            <w:r>
              <w:rPr>
                <w:rFonts w:ascii="Times New Roman" w:cs="Times New Roman" w:eastAsia="Times New Roman" w:hAnsi="Times New Roman"/>
                <w:sz w:val="14"/>
                <w:szCs w:val="14"/>
                <w:b w:val="1"/>
                <w:bCs w:val="1"/>
                <w:color w:val="auto"/>
                <w:w w:val="97"/>
                <w:vertAlign w:val="superscript"/>
              </w:rPr>
              <w:t>(1)</w:t>
            </w: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2180" w:type="dxa"/>
            <w:vAlign w:val="bottom"/>
            <w:tcBorders>
              <w:top w:val="single" w:sz="8" w:color="auto"/>
              <w:bottom w:val="single" w:sz="8" w:color="auto"/>
            </w:tcBorders>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940" w:type="dxa"/>
            <w:vAlign w:val="bottom"/>
            <w:tcBorders>
              <w:top w:val="single" w:sz="8" w:color="auto"/>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8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80"/>
        </w:trPr>
        <w:tc>
          <w:tcPr>
            <w:tcW w:w="28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5"/>
                <w:szCs w:val="15"/>
                <w:color w:val="auto"/>
              </w:rPr>
            </w:pP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80"/>
        </w:trPr>
        <w:tc>
          <w:tcPr>
            <w:tcW w:w="28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1"/>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60" w:hanging="155"/>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Locations owned or leased by our customers.</w:t>
      </w:r>
    </w:p>
    <w:p>
      <w:pPr>
        <w:spacing w:after="0" w:line="20"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Europe exclusive of the United Kingdom.</w:t>
      </w:r>
    </w:p>
    <w:p>
      <w:pPr>
        <w:spacing w:after="0" w:line="1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Locations are in Asia, Canada and Latin America.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Item 8 of Part II, “Financial Statements and Supplementary Data” — Note 18. “Commitments and Contingencies” to the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9" w:right="339" w:bottom="1440" w:gutter="0" w:footer="0" w:header="0"/>
        </w:sectPr>
      </w:pPr>
    </w:p>
    <w:bookmarkStart w:id="23" w:name="page24"/>
    <w:bookmarkEnd w:id="23"/>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and Dividends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traded on the New York Stock Exchange under the symbol “GXO.” On February 20, 2026, there were approximately 58 record holders of our common stock.</w:t>
      </w:r>
    </w:p>
    <w:p>
      <w:pPr>
        <w:spacing w:after="0" w:line="200"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We have never declared or paid cash dividends on our common stock. Any determination to pay dividends on our common stock will be at the discretion of our board of directors, subject to applicable laws, and will depend on our financial condition, results of operations, capital requirements, general business conditions, and other factors that our board of directors considers relevant.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On February 18, 2025, our Board of Directors approved the repurchase of up to $500 million of GXO’s common stock (the “Repurchase Plan”). The Repurchase Plan allows shares of common stock to be repurchased from time to time in management’s discretion, through various methods, including a 10b5-1 trading plan, open market purchases, privately negotiated transactions, or otherwise. The Repurchase Plan does not obligate us to repurchase any specific number of shares and may be suspended or discontinued at any time. As of December 31, 2025, $300 million remained available for repurchases under the plan. No shares were repurchased during the fourth quarter of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GXO became a standalone publicly traded company on August 2, 2021. The following graph sets forth the cumulative total stockholder return to GXO’s stockholders for the period beginning August 2, 2021, through December 31, 2025, as well as the corresponding returns on the S&amp;P 400 MidCap Index, the S&amp;P 500 Technology Index and the S&amp;P 500 Transportation Index.</w:t>
      </w:r>
    </w:p>
    <w:p>
      <w:pPr>
        <w:spacing w:after="0" w:line="14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stock performance assumes $100.00 was invested on August 2, 2021, in our common stock, the S&amp;P 400 MidCap Index, the S&amp;P 500 Technology Index and the S&amp;P 500 Transportation Index, including reinvestment of dividends through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9" w:right="35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2181225</wp:posOffset>
            </wp:positionH>
            <wp:positionV relativeFrom="page">
              <wp:posOffset>822960</wp:posOffset>
            </wp:positionV>
            <wp:extent cx="3186430" cy="16167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3186430" cy="161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8/2/21</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rPr>
              <w:t>12/31/21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rPr>
              <w:t>12/31/22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rPr>
              <w:t>12/31/23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rPr>
              <w:t>12/31/24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rPr>
              <w:t>12/31/25</w:t>
            </w:r>
          </w:p>
        </w:tc>
      </w:tr>
      <w:tr>
        <w:trPr>
          <w:trHeight w:val="163"/>
        </w:trPr>
        <w:tc>
          <w:tcPr>
            <w:tcW w:w="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GXO</w:t>
            </w:r>
          </w:p>
        </w:tc>
        <w:tc>
          <w:tcPr>
            <w:tcW w:w="28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100.00</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144.01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96.97</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83.46</w:t>
            </w:r>
          </w:p>
        </w:tc>
      </w:tr>
      <w:tr>
        <w:trPr>
          <w:trHeight w:val="168"/>
        </w:trPr>
        <w:tc>
          <w:tcPr>
            <w:tcW w:w="5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7"/>
              </w:rPr>
              <w:t>S&amp;P 400</w:t>
            </w: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MidCap Index</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9"/>
              </w:rPr>
              <w:t>100.00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122.78</w:t>
            </w:r>
          </w:p>
        </w:tc>
      </w:tr>
      <w:tr>
        <w:trPr>
          <w:trHeight w:val="172"/>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S&amp;P 500</w:t>
            </w: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Technology Index</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100.00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171.76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211.80</w:t>
            </w:r>
          </w:p>
        </w:tc>
      </w:tr>
      <w:tr>
        <w:trPr>
          <w:trHeight w:val="176"/>
        </w:trPr>
        <w:tc>
          <w:tcPr>
            <w:tcW w:w="5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7"/>
              </w:rPr>
              <w:t>S&amp;P 500</w:t>
            </w: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Transportation Index</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9"/>
              </w:rPr>
              <w:t>100.00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110.27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00"/>
          </w:cols>
          <w:pgMar w:left="640" w:top="1440" w:right="6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20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Consolidated Financial Statements and related notes included elsewhere in this Annual Report. This Form 10-K contains certain forward-looking statements that are intended to be covered by the safe harbors created by The Private Securities Litigation Reform Act of 1995. Please see “Cautionary Statement Regarding Forward-Looking Statements” and “Risk Factors” for a discussion of the uncertainties, risks and assumptions associated with these statements.</w:t>
      </w:r>
    </w:p>
    <w:p>
      <w:pPr>
        <w:spacing w:after="0" w:line="159" w:lineRule="exact"/>
        <w:rPr>
          <w:sz w:val="20"/>
          <w:szCs w:val="20"/>
          <w:color w:val="auto"/>
        </w:rPr>
      </w:pPr>
    </w:p>
    <w:p>
      <w:pPr>
        <w:ind w:right="40"/>
        <w:spacing w:after="0" w:line="271" w:lineRule="auto"/>
        <w:rPr>
          <w:rFonts w:ascii="Times New Roman" w:cs="Times New Roman" w:eastAsia="Times New Roman" w:hAnsi="Times New Roman"/>
          <w:sz w:val="14"/>
          <w:szCs w:val="14"/>
          <w:i w:val="1"/>
          <w:iCs w:val="1"/>
          <w:color w:val="0000FF"/>
        </w:rPr>
      </w:pPr>
      <w:r>
        <w:rPr>
          <w:rFonts w:ascii="Times New Roman" w:cs="Times New Roman" w:eastAsia="Times New Roman" w:hAnsi="Times New Roman"/>
          <w:sz w:val="14"/>
          <w:szCs w:val="14"/>
          <w:i w:val="1"/>
          <w:iCs w:val="1"/>
          <w:color w:val="auto"/>
        </w:rPr>
        <w:t xml:space="preserve">Also, the following discussion and analysis of our financial condition and results of operations generally discusses 2025 and 2024 items and year-to-year comparisons between 2025 and 2024. </w:t>
      </w:r>
      <w:hyperlink r:id="rId35">
        <w:r>
          <w:rPr>
            <w:rFonts w:ascii="Times New Roman" w:cs="Times New Roman" w:eastAsia="Times New Roman" w:hAnsi="Times New Roman"/>
            <w:sz w:val="14"/>
            <w:szCs w:val="14"/>
            <w:i w:val="1"/>
            <w:iCs w:val="1"/>
            <w:color w:val="auto"/>
          </w:rPr>
          <w:t>Discussions of 2023 financial condition and year-to-year comparisons between 2024 and 2023 are not included in this Annual Report and can be found in Part II, Item 7, “</w:t>
        </w:r>
        <w:r>
          <w:rPr>
            <w:rFonts w:ascii="Times New Roman" w:cs="Times New Roman" w:eastAsia="Times New Roman" w:hAnsi="Times New Roman"/>
            <w:sz w:val="14"/>
            <w:szCs w:val="14"/>
            <w:i w:val="1"/>
            <w:iCs w:val="1"/>
            <w:u w:val="single" w:color="auto"/>
            <w:color w:val="0000FF"/>
          </w:rPr>
          <w:t>Management’s Discussion</w:t>
        </w:r>
      </w:hyperlink>
      <w:r>
        <w:rPr>
          <w:rFonts w:ascii="Times New Roman" w:cs="Times New Roman" w:eastAsia="Times New Roman" w:hAnsi="Times New Roman"/>
          <w:sz w:val="14"/>
          <w:szCs w:val="14"/>
          <w:i w:val="1"/>
          <w:iCs w:val="1"/>
          <w:color w:val="auto"/>
        </w:rPr>
        <w:t xml:space="preserve"> </w:t>
      </w:r>
      <w:hyperlink r:id="rId35">
        <w:r>
          <w:rPr>
            <w:rFonts w:ascii="Times New Roman" w:cs="Times New Roman" w:eastAsia="Times New Roman" w:hAnsi="Times New Roman"/>
            <w:sz w:val="14"/>
            <w:szCs w:val="14"/>
            <w:i w:val="1"/>
            <w:iCs w:val="1"/>
            <w:u w:val="single" w:color="auto"/>
            <w:color w:val="0000FF"/>
          </w:rPr>
          <w:t>and Analysis of Financial Condition and Results of Operations</w:t>
        </w:r>
        <w:r>
          <w:rPr>
            <w:rFonts w:ascii="Times New Roman" w:cs="Times New Roman" w:eastAsia="Times New Roman" w:hAnsi="Times New Roman"/>
            <w:sz w:val="14"/>
            <w:szCs w:val="14"/>
            <w:i w:val="1"/>
            <w:iCs w:val="1"/>
            <w:color w:val="000000"/>
          </w:rPr>
          <w:t>” in our Annual Report on Form 10-K for the year ended December 31, 2024.</w:t>
        </w:r>
      </w:hyperlink>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GXO Logistics, Inc., together with its subsidiaries (“GXO,” the “Company,” “our” or “we”), is the largest pure-play contract logistics provider in the world and a foremost innovator in the industry. We provide our customers with high-value-added warehousing and distribution, order fulfillment, e-commerce, reverse logistics and other supply chain services differentiated by our ability to deliver technology-enabled, customized solutions at scale. Our customers rely on us to move their goods with high efficiency through their supply chains — from the moment goods arrive at our warehouses through fulfillment and distribution, and the management of returned products. Our customer base includes many blue-chip leaders in sectors that demonstrate high growth and/or durable demand, with significant growth potential through customer outsourcing of logistics services.</w:t>
      </w:r>
    </w:p>
    <w:p>
      <w:pPr>
        <w:spacing w:after="0" w:line="164"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We strive to provide all customers with consistent quality service and cutting-edge automation. We also collaborate with our largest customers on planning and forecasting and assist with network optimization, working with these customers to design or redesign their supply chains to meet specific goals, such as environmental, social and governance. Our multidisciplinary, consultative approach has led to many of our key customer relationships extending for years and expanding in scope.</w:t>
      </w:r>
    </w:p>
    <w:p>
      <w:pPr>
        <w:spacing w:after="0" w:line="157"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 most dramatic growth in demand in recent years has been in e-commerce and related sectors, including omnichannel retail and other direct-to-consumer channels. We expect to attract new customers and expand the services we provide to existing customers through new projects; thus earning more of their logistics spending. We use technology to manage advanced automation, labor productivity, sustainability, safety and the complex flow of goods within sophisticated warehouse environments.</w:t>
      </w:r>
    </w:p>
    <w:p>
      <w:pPr>
        <w:spacing w:after="0" w:line="15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business model is asset-light and historically resilient in cycles, with high returns, strong free cash flow and visibility into revenue and earnings. The vast majority of our contracts with customers are long-term in nature, and our warehouse lease arrangements generally align with contract length. The Company has both fixed-price contracts (closed book or hybrid contracts) and cost-plus contracts (open book contracts)</w:t>
      </w:r>
      <w:r>
        <w:rPr>
          <w:rFonts w:ascii="Times New Roman" w:cs="Times New Roman" w:eastAsia="Times New Roman" w:hAnsi="Times New Roman"/>
          <w:sz w:val="14"/>
          <w:szCs w:val="14"/>
          <w:color w:val="0E32E1"/>
        </w:rPr>
        <w:t>.</w:t>
      </w:r>
      <w:r>
        <w:rPr>
          <w:rFonts w:ascii="Times New Roman" w:cs="Times New Roman" w:eastAsia="Times New Roman" w:hAnsi="Times New Roman"/>
          <w:sz w:val="14"/>
          <w:szCs w:val="14"/>
          <w:color w:val="auto"/>
        </w:rPr>
        <w:t xml:space="preserve"> Most of our customer contracts contain both fixed and variable components. The fixed component is typically designed to cover warehouse, technology and equipment costs, while the variable component is determined based on expected volumes and associated labor costs. Under fixed-price contracts, the Company agrees to perform the specified work for a pre-determined price. To the extent the Company’s actual costs vary from the estimates upon which the price was negotiated, the Company will generate more or less profit. Cost-plus contracts provide for the payment of allowable costs incurred during the performance of the contract plus a specified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Acquisition</w:t>
      </w:r>
    </w:p>
    <w:p>
      <w:pPr>
        <w:spacing w:after="0" w:line="202"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In April 2024, the Company completed the acquisition of Wincanton plc (now “Wincanton Limited”), a U.K. logistics provider specializing in both warehousing and transportation solutions (“the Wincanton Acquisition”). The Wincanton Acquisition was subject to review by the U.K. Competition and Markets Authority (the “CMA”). In June 2025, the CMA approved the Wincanton Acquisition, subject to the divestment of certain grocery contracts in the U.K. We expect to complete the Wincanton Divestment in 2026.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Due to the acquisition of Wincanton in 2024, comparisons in our results of operations between 2025 and 2024 are less meaningful. For additional information regarding our acquisitions, see Note 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“Acquisition and Divestiture” to the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2"/>
        </w:trPr>
        <w:tc>
          <w:tcPr>
            <w:tcW w:w="4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80" w:type="dxa"/>
            <w:vAlign w:val="bottom"/>
            <w:tcBorders>
              <w:bottom w:val="single" w:sz="8" w:color="auto"/>
            </w:tcBorders>
          </w:tcPr>
          <w:p>
            <w:pPr>
              <w:spacing w:after="0"/>
              <w:rPr>
                <w:sz w:val="17"/>
                <w:szCs w:val="17"/>
                <w:color w:val="auto"/>
              </w:rPr>
            </w:pPr>
          </w:p>
        </w:tc>
      </w:tr>
      <w:tr>
        <w:trPr>
          <w:trHeight w:val="171"/>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8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1"/>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13,178</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11,709</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8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 operating expense</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180"/>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80"/>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Restructuring costs and other</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80"/>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Regulatory matter and litigation expense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80"/>
        </w:trPr>
        <w:tc>
          <w:tcPr>
            <w:tcW w:w="4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Net loss on divestiture of business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1"/>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8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0"/>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 net</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171"/>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0"/>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1"/>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Revenue for 2025 increased by 13%, or $1.5 billion, to $13.2 billion, up from $11.7 billion in 2024. The increase primarily reflects $655 million from the Wincanton Acquisition and growth in our business from new contract implementations and pricing. Favorable foreign currency movements increased revenue by $352 million in 2025.</w:t>
      </w:r>
    </w:p>
    <w:p>
      <w:pPr>
        <w:spacing w:after="0" w:line="14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Direct operating expense comprises both fixed and variable costs and include operating expenses related to our warehouse operations, including personnel costs, rent expenses, utility costs, equipment maintenance and repair costs, transportation costs, costs of materials and supplies, and information technology expenses. Direct operating expense for 2025 increased by 14%, or $1.3 billion, to $11.2 billion, up from $9.9 billion in 2024. The increase primarily reflects $595 million from the Wincanton Acquisition and higher personnel and temporary labor costs driven by business growth. As a percentage of revenue, direct operating expense was 84.9% in 2025 and 84.1% in 2024.</w:t>
      </w:r>
    </w:p>
    <w:p>
      <w:pPr>
        <w:spacing w:after="0" w:line="16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Selling, general and administrative expense (“SG&amp;A”) primarily consists of salary and benefit costs for executive and certain administrative functions, professional fees, bad-debt expense and legal costs. SG&amp;A for 2025 increased by 4%, or $45 million, to $1,106 million, up from $1,061 million in 2024. The increase was primarily driven by the Wincanton Acquisition and higher personnel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27" w:name="page28"/>
    <w:bookmarkEnd w:id="27"/>
    <w:p>
      <w:pPr>
        <w:ind w:right="220"/>
        <w:spacing w:after="0" w:line="287" w:lineRule="auto"/>
        <w:rPr>
          <w:sz w:val="20"/>
          <w:szCs w:val="20"/>
          <w:color w:val="auto"/>
        </w:rPr>
      </w:pPr>
      <w:r>
        <w:rPr>
          <w:rFonts w:ascii="Times New Roman" w:cs="Times New Roman" w:eastAsia="Times New Roman" w:hAnsi="Times New Roman"/>
          <w:sz w:val="14"/>
          <w:szCs w:val="14"/>
          <w:color w:val="auto"/>
        </w:rPr>
        <w:t>Depreciation and amortization expense for 2025 increased by $42 million, to $457 million, up from $415 million in 2024. Amortization expense totaled $119 million and $108 million in 2025 and 2024, respectively. Depreciation and amortization expense increased primarily due to the Wincanton Acquisition.</w:t>
      </w:r>
    </w:p>
    <w:p>
      <w:pPr>
        <w:spacing w:after="0" w:line="14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Transaction and integration costs totaled $54 million in 2025, compared with $76 million in 2024. Transaction and integration costs in 2025 primarily included $48 million related to the Wincanton Acquisition. Transaction and integration costs in 2024 primarily included $61 million related to the Wincanton Acquisition and $8 million for the PFSweb, Inc. integration.</w:t>
      </w:r>
    </w:p>
    <w:p>
      <w:pPr>
        <w:spacing w:after="0" w:line="1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engage in restructuring actions as part of our ongoing efforts to best use our resources and infrastructure. These costs are primarily related to severance, including projects to optimize human resources, finance and information technology activities, and are not associated with customer attrition. Restructuring costs and other were $27 million for 2025, compared with $25 million for 2024. Restructuring costs and other in 2025 consisted of severance paid to exiting individuals from the Company’s leadership team and severance paid as part of an initiative to optimize corporate expenses. Restructuring costs and other for 2024 related to a restructuring plan designed to centralize certain finance, human resource and IT functions from regional teams.</w:t>
      </w:r>
    </w:p>
    <w:p>
      <w:pPr>
        <w:spacing w:after="0" w:line="162"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Regulatory matter and litigation expense totaled $65 million in 2025, compared with $59 million in 2024. In 2025, we recorded $65 million of expense related to a regulatory matter regarding the deductibility of value-added tax payments we made to certain third-party service providers, which were challenged by the Italian authorities. In 2024, we recorded $59 million of litigation expense related to a settlement agreement with one of our customers.</w:t>
      </w:r>
    </w:p>
    <w:p>
      <w:pPr>
        <w:spacing w:after="0" w:line="15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Net loss on divestiture of business in 2025 and 2024 was $34 million and $2 million, respectively. In 2025, net loss on divestiture of business was primarily due to the write-down of certain grocery contract assets planned to be divested in 2026 as required under the CMA approval we received in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(expense), net decreased from income to expense, primarily due to foreign currency loss on foreign currency contracts.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income (expense), net was as follows: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80" w:type="dxa"/>
            <w:vAlign w:val="bottom"/>
            <w:tcBorders>
              <w:bottom w:val="single" w:sz="8" w:color="auto"/>
            </w:tcBorders>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8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1"/>
        </w:trPr>
        <w:tc>
          <w:tcPr>
            <w:tcW w:w="20" w:type="dxa"/>
            <w:vAlign w:val="bottom"/>
          </w:tcPr>
          <w:p>
            <w:pPr>
              <w:spacing w:after="0"/>
              <w:rPr>
                <w:sz w:val="14"/>
                <w:szCs w:val="14"/>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periodic pension income</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20" w:type="dxa"/>
            <w:vAlign w:val="bottom"/>
          </w:tcPr>
          <w:p>
            <w:pPr>
              <w:spacing w:after="0"/>
              <w:rPr>
                <w:sz w:val="15"/>
                <w:szCs w:val="15"/>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gain (loss):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Realized loss on foreign currency contracts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0"/>
        </w:trPr>
        <w:tc>
          <w:tcPr>
            <w:tcW w:w="20" w:type="dxa"/>
            <w:vAlign w:val="bottom"/>
          </w:tcPr>
          <w:p>
            <w:pPr>
              <w:spacing w:after="0"/>
              <w:rPr>
                <w:sz w:val="15"/>
                <w:szCs w:val="15"/>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Unrealized gain (loss) on foreign currency contracts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44"/>
        </w:trPr>
        <w:tc>
          <w:tcPr>
            <w:tcW w:w="20" w:type="dxa"/>
            <w:vAlign w:val="bottom"/>
          </w:tcPr>
          <w:p>
            <w:pPr>
              <w:spacing w:after="0"/>
              <w:rPr>
                <w:sz w:val="12"/>
                <w:szCs w:val="12"/>
                <w:color w:val="auto"/>
              </w:rPr>
            </w:pPr>
          </w:p>
        </w:tc>
        <w:tc>
          <w:tcPr>
            <w:tcW w:w="4660" w:type="dxa"/>
            <w:vAlign w:val="bottom"/>
            <w:gridSpan w:val="2"/>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Foreign currency transaction and remeasurement loss, net of intercompany</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84"/>
        </w:trPr>
        <w:tc>
          <w:tcPr>
            <w:tcW w:w="20" w:type="dxa"/>
            <w:vAlign w:val="bottom"/>
          </w:tcPr>
          <w:p>
            <w:pPr>
              <w:spacing w:after="0"/>
              <w:rPr>
                <w:sz w:val="16"/>
                <w:szCs w:val="16"/>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71"/>
        </w:trPr>
        <w:tc>
          <w:tcPr>
            <w:tcW w:w="20" w:type="dxa"/>
            <w:vAlign w:val="bottom"/>
          </w:tcPr>
          <w:p>
            <w:pPr>
              <w:spacing w:after="0"/>
              <w:rPr>
                <w:sz w:val="14"/>
                <w:szCs w:val="14"/>
                <w:color w:val="auto"/>
              </w:rPr>
            </w:pPr>
          </w:p>
        </w:tc>
        <w:tc>
          <w:tcPr>
            <w:tcW w:w="4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 foreign currency gain (loss)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1"/>
        </w:trPr>
        <w:tc>
          <w:tcPr>
            <w:tcW w:w="20" w:type="dxa"/>
            <w:vAlign w:val="bottom"/>
          </w:tcPr>
          <w:p>
            <w:pPr>
              <w:spacing w:after="0"/>
              <w:rPr>
                <w:sz w:val="14"/>
                <w:szCs w:val="14"/>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1"/>
        </w:trPr>
        <w:tc>
          <w:tcPr>
            <w:tcW w:w="2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income (expense), net</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color w:val="auto"/>
        </w:rPr>
        <w:t>Interest expense, net increased due to the debt incurred for the Wincanton Acquisition. Interest expense, net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80" w:type="dxa"/>
            <w:vAlign w:val="bottom"/>
            <w:tcBorders>
              <w:bottom w:val="single" w:sz="8" w:color="auto"/>
            </w:tcBorders>
          </w:tcPr>
          <w:p>
            <w:pPr>
              <w:spacing w:after="0"/>
              <w:rPr>
                <w:sz w:val="16"/>
                <w:szCs w:val="16"/>
                <w:color w:val="auto"/>
              </w:rPr>
            </w:pPr>
          </w:p>
        </w:tc>
      </w:tr>
      <w:tr>
        <w:trPr>
          <w:trHeight w:val="171"/>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360" w:type="dxa"/>
            <w:vAlign w:val="bottom"/>
          </w:tcPr>
          <w:p>
            <w:pPr>
              <w:spacing w:after="0"/>
              <w:rPr>
                <w:sz w:val="14"/>
                <w:szCs w:val="14"/>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8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1"/>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and capital leases</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8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Cross-currency swaps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171"/>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 net</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Income before income taxes for 2025 decreased by $42 million, to $104 million, compared with $146 million in 2024. The decrease was mainly driven by increased Other expense, net and Interest expense, net, partially offset by increased Operating income in 2025.</w:t>
      </w:r>
    </w:p>
    <w:p>
      <w:pPr>
        <w:spacing w:after="0" w:line="145"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Income before income taxes for our domestic operations was $11 million for 2025, compared with an $88 million loss in 2024. In 2024, our transaction and integration costs were higher, and we reached a settlement agreement with one of our domestic customers, resulting in a $59 million expense.</w:t>
      </w:r>
    </w:p>
    <w:p>
      <w:pPr>
        <w:spacing w:after="0" w:line="145"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Income before income taxes for our foreign operations was $93 million for 2025, compared with $234 million in 2024. In 2025, we incurred a $65 million expense related to the settlement of a foreign regulatory matter and recorded a $34 million loss primarily due to a write-down loss on the divestment of certain grocery contracts.</w:t>
      </w:r>
    </w:p>
    <w:p>
      <w:pPr>
        <w:spacing w:after="0" w:line="145"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Income tax expense was $68 million in 2025, compared with $8 million in 2024. Our effective tax rate was 65.4% in 2025 and 5.6% in 2024. The change in the Company’s effective tax rate was primarily driven by non-deductible regulatory matter and transaction costs in 2025 and the release of a valuation allowance in France in 2024.</w:t>
      </w:r>
    </w:p>
    <w:p>
      <w:pPr>
        <w:spacing w:after="0" w:line="1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Organisation for Economic Co-operation and Development (“OECD”) has introduced the Pillar Two Global Anti-Base Erosion rules (“Pillar Two”), which generally imposes a 15% global minimum tax on multinational companies. While the Company expects to meet transitional safe harbor requirements in most jurisdictions, there are a limited number of jurisdictions where the Company expects Pillar Two taxes to apply. The income tax provision for the year ended December 31, 2025, includes the effects of Pillar Two taxes. This did not have a material impact on our fiscal 2024 or 2025 tax provision, and the Company continues to monitor Pillar Two developments, including the impact of the Side-by-Side Package published by the OECD on January 5, 2026, as it relates to the interplay between the U.S. international tax system and Pillar Two for U.S. headquartered companies.</w:t>
      </w:r>
    </w:p>
    <w:p>
      <w:pPr>
        <w:spacing w:after="0" w:line="164"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On July 4, 2025, the One Big Beautiful Bill Act (“OBBBA”) was signed into law. The legislation includes reinstatement of favorable tax treatment for certain business provisions, including 100% bonus depreciation for qualified property placed in service after January 19, 2025, immediate expensing of domestic research and experimental costs, and revisions to the business interest expense limitations. The impact of OBBBA was limited to our current and deferred provision and did not have a material impact on the Company’s income tax expenses for the year ended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Our ability to fund our operations and anticipated capital needs is reliant upon the generation of cash from operations, supplemented as necessary by periodic utilization of our revolving credit facility and factoring programs.</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principal uses of cash in the future will be primarily to fund our operations, working capital needs, capital expenditures, repayment of borrowings and strategic business development transactions. The timing and magnitude of our new contract start-ups can vary and may positively or negatively impact our cash flows. We continually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color w:val="auto"/>
        </w:rPr>
        <w:t>evaluate our liquidity requirements and capital structure in light of our operating needs, growth initiatives and capital resources.</w:t>
      </w:r>
    </w:p>
    <w:p>
      <w:pPr>
        <w:spacing w:after="0" w:line="20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As of December 31, 2025, we held cash and cash equivalents of $854 million and restricted cash of $3 million, and we have $794 million of borrowing capacity available, net of letters of credit under our revolving credit facility.</w:t>
      </w:r>
    </w:p>
    <w:p>
      <w:pPr>
        <w:spacing w:after="0" w:line="14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On February 18, 2025, our board of directors authorized and announced the repurchase of up to $500 million (the “Repurchase Plan”) of our common stock. The Repurchase Plan permits shares of common stock to be repurchased from time to time in management’s discretion, through a variety of methods, including a 10b5-1 trading plan, open market purchases, privately negotiated transactions or otherwise. The timing and number of shares of common stock repurchased will depend on a variety of factors, including price, general business and market conditions, alternative investment opportunities and funding considerations. We expect to fund any remaining repurchases with existing cash on hand, borrowings on our revolving credit facility, and/or other financing sources. The Repurchase Plan does not obligate the Company to repurchase any specific number of shares of common stock and may be suspended or discontinued at any time. As of December 31, 2025, the remaining authorization under the Repurchase Plan was $300 million.</w:t>
      </w:r>
    </w:p>
    <w:p>
      <w:pPr>
        <w:spacing w:after="0" w:line="16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We believe that our cash and cash equivalents on hand, cash flows generated by our operations, borrowings available under our revolving credit facility, the use of our factoring programs, and refinancing options available to us in the capital markets, will provide sufficient liquidity to operate our business and meet our obligations for at least the next twelve months and for the foreseeable future thereafter.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regarding our cash requirements from contractual obligations, indebtedness and lease obligations, and legal matters, see “Contractual Obligations”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Expenditures</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Our future capital spending includes fulfillment costs and investments in technology and automation to improve the speed and accuracy of order fulfillment and the resiliency of our supply chains. The level and the timing of the Company’s capital expenditures within these categories can vary as a result of a variety of factors outside our control, such as the timing of new contracts, availability of labor and materials and foreign currency fluctuations. We believe that we have significant discretion over the amount and timing of our capital expenditures as we are not subject to any agreement that would require significant capital expenditures on a designated schedule or upon the occurrence of designated events.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Condition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asset and liability balances as of December 31, 2025 and 2024:</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71"/>
        </w:trPr>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340" w:type="dxa"/>
            <w:vAlign w:val="bottom"/>
          </w:tcPr>
          <w:p>
            <w:pPr>
              <w:spacing w:after="0"/>
              <w:rPr>
                <w:sz w:val="14"/>
                <w:szCs w:val="14"/>
                <w:color w:val="auto"/>
              </w:rPr>
            </w:pPr>
          </w:p>
        </w:tc>
        <w:tc>
          <w:tcPr>
            <w:tcW w:w="116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4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1"/>
        </w:trPr>
        <w:tc>
          <w:tcPr>
            <w:tcW w:w="4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r>
      <w:tr>
        <w:trPr>
          <w:trHeight w:val="180"/>
        </w:trPr>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assets</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184"/>
        </w:trPr>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liabilities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r>
    </w:tbl>
    <w:p>
      <w:pPr>
        <w:spacing w:after="0" w:line="247" w:lineRule="exact"/>
        <w:rPr>
          <w:sz w:val="20"/>
          <w:szCs w:val="20"/>
          <w:color w:val="auto"/>
        </w:rPr>
      </w:pPr>
    </w:p>
    <w:p>
      <w:pPr>
        <w:jc w:val="both"/>
        <w:ind w:right="360"/>
        <w:spacing w:after="0" w:line="270" w:lineRule="auto"/>
        <w:rPr>
          <w:sz w:val="20"/>
          <w:szCs w:val="20"/>
          <w:color w:val="auto"/>
        </w:rPr>
      </w:pPr>
      <w:r>
        <w:rPr>
          <w:rFonts w:ascii="Times New Roman" w:cs="Times New Roman" w:eastAsia="Times New Roman" w:hAnsi="Times New Roman"/>
          <w:sz w:val="14"/>
          <w:szCs w:val="14"/>
          <w:color w:val="auto"/>
        </w:rPr>
        <w:t>Current assets increased mainly due to higher cash balances from the issuance of long-term debt and increased accounts receivable, net of factoring. Current liabilities increased primarily due to accrued expenses and the current portion of our long-term debt. Additionally, both assets and liabilities increased due to foreign currency translation, specifically the strengthening of the British pound sterling and the Euro against the U.S. dollar compared to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6"/>
        </w:trPr>
        <w:tc>
          <w:tcPr>
            <w:tcW w:w="4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Cash Flow Activity</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61"/>
        </w:trPr>
        <w:tc>
          <w:tcPr>
            <w:tcW w:w="96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Our cash flows from operating, investing and financing activities, as reflected in our Consolidated Statements of Cash Flows, were summarized as follows:</w:t>
            </w:r>
          </w:p>
        </w:tc>
        <w:tc>
          <w:tcPr>
            <w:tcW w:w="164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40" w:type="dxa"/>
            <w:vAlign w:val="bottom"/>
            <w:tcBorders>
              <w:bottom w:val="single" w:sz="8" w:color="auto"/>
            </w:tcBorders>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340" w:type="dxa"/>
            <w:vAlign w:val="bottom"/>
          </w:tcPr>
          <w:p>
            <w:pPr>
              <w:spacing w:after="0"/>
              <w:rPr>
                <w:sz w:val="14"/>
                <w:szCs w:val="14"/>
                <w:color w:val="auto"/>
              </w:rPr>
            </w:pPr>
          </w:p>
        </w:tc>
        <w:tc>
          <w:tcPr>
            <w:tcW w:w="116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4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1"/>
        </w:trPr>
        <w:tc>
          <w:tcPr>
            <w:tcW w:w="20" w:type="dxa"/>
            <w:vAlign w:val="bottom"/>
          </w:tcPr>
          <w:p>
            <w:pPr>
              <w:spacing w:after="0"/>
              <w:rPr>
                <w:sz w:val="14"/>
                <w:szCs w:val="14"/>
                <w:color w:val="auto"/>
              </w:rPr>
            </w:pPr>
          </w:p>
        </w:tc>
        <w:tc>
          <w:tcPr>
            <w:tcW w:w="4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2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80"/>
        </w:trPr>
        <w:tc>
          <w:tcPr>
            <w:tcW w:w="20" w:type="dxa"/>
            <w:vAlign w:val="bottom"/>
          </w:tcPr>
          <w:p>
            <w:pPr>
              <w:spacing w:after="0"/>
              <w:rPr>
                <w:sz w:val="15"/>
                <w:szCs w:val="15"/>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201"/>
        </w:trPr>
        <w:tc>
          <w:tcPr>
            <w:tcW w:w="20" w:type="dxa"/>
            <w:vAlign w:val="bottom"/>
          </w:tcPr>
          <w:p>
            <w:pPr>
              <w:spacing w:after="0"/>
              <w:rPr>
                <w:sz w:val="17"/>
                <w:szCs w:val="17"/>
                <w:color w:val="auto"/>
              </w:rPr>
            </w:pPr>
          </w:p>
        </w:tc>
        <w:tc>
          <w:tcPr>
            <w:tcW w:w="4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6"/>
        </w:trPr>
        <w:tc>
          <w:tcPr>
            <w:tcW w:w="20" w:type="dxa"/>
            <w:vAlign w:val="bottom"/>
          </w:tcPr>
          <w:p>
            <w:pPr>
              <w:spacing w:after="0"/>
              <w:rPr>
                <w:sz w:val="16"/>
                <w:szCs w:val="16"/>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increase in cash, restricted cash and cash equivalents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202"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Cash flows from operating activities decreased by $115 million in 2025 compared to 2024. The decrease was due to lower net income adjusted for the net effect of non-cash items and increased working capital consumption in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Investing activities used $196 million of cash in 2025 compared with $1.2 billion in 2024. In 2025, we used $324 million to purchase property and equipment, paid $24 million to settle net investment hedges, and received $149 million from the sale of property and equipment. In 2024, we used $863 million, net of cash received, to fund the Wincanton Acquisition, used $359 million to purchase property and equipment, received $61 million from the sale of property and equipment, and received $4 million from the settlement of net investment hedges.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Financing activities generated $111 million of cash in 2025 compared with $636 million in 2024. In 2025, we received $577 million in proceeds from the issuance of long-term debt, used $200 million to repurchase shares of our common stock under the stock repurchase plan, used $180 million to repay debt, used $50 million to repay finance lease obligations, used $25 million to repay revolving credit facilities, used $9 million to pay employee taxes on net settlement of equity awards, and used $2 million to pay debt issuance costs. In 2024, we received $1.1 billion in proceeds from the issuance of long-term debt, used $286 million to repay debt, used $122 million to repay revolving credit facilities, used $45 million to repay finance lease obligations, used $9 million to pay debt issuance costs, and used $8 million to pay employee taxes on net settlement of equity awards.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202"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20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As of December 31, 2025, our outstanding obligations included $2.8 billion in operating leases, $326 million in finance leases, and $2.8 billion in long-term debt, including the current portion. In addition, we have obligations under agreements to purchase goods or services entered into during the ordinary course of business, which are enforceable and legally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31" w:name="page32"/>
    <w:bookmarkEnd w:id="31"/>
    <w:p>
      <w:pPr>
        <w:ind w:right="120"/>
        <w:spacing w:after="0" w:line="287" w:lineRule="auto"/>
        <w:rPr>
          <w:sz w:val="20"/>
          <w:szCs w:val="20"/>
          <w:color w:val="auto"/>
        </w:rPr>
      </w:pPr>
      <w:r>
        <w:rPr>
          <w:rFonts w:ascii="Times New Roman" w:cs="Times New Roman" w:eastAsia="Times New Roman" w:hAnsi="Times New Roman"/>
          <w:sz w:val="14"/>
          <w:szCs w:val="14"/>
          <w:color w:val="auto"/>
        </w:rPr>
        <w:t>For additional information regarding our cash requirements for operating and finance leases, indebtedness, and commitments and contingencies, see Note 9. “Leases,” Note 10. “Debt and Financing Arrangements,” and Note 18. “Commitments and Contingencies” to the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Guaranteed Securities: Summarized Financial Information</w:t>
      </w:r>
    </w:p>
    <w:p>
      <w:pPr>
        <w:spacing w:after="0" w:line="202" w:lineRule="exact"/>
        <w:rPr>
          <w:sz w:val="20"/>
          <w:szCs w:val="20"/>
          <w:color w:val="auto"/>
        </w:rPr>
      </w:pPr>
    </w:p>
    <w:p>
      <w:pPr>
        <w:jc w:val="both"/>
        <w:ind w:right="180"/>
        <w:spacing w:after="0" w:line="287" w:lineRule="auto"/>
        <w:rPr>
          <w:sz w:val="20"/>
          <w:szCs w:val="20"/>
          <w:color w:val="auto"/>
        </w:rPr>
      </w:pPr>
      <w:r>
        <w:rPr>
          <w:rFonts w:ascii="Times New Roman" w:cs="Times New Roman" w:eastAsia="Times New Roman" w:hAnsi="Times New Roman"/>
          <w:sz w:val="14"/>
          <w:szCs w:val="14"/>
          <w:color w:val="auto"/>
        </w:rPr>
        <w:t>The following information is provided to comply with Rule 13-01 of Regulation S-X under the Securities Exchange Act of 1934, as amended for the €500 million 3.750% notes due 2030 issued by GXO Logistics Capital B.V. (“GXO Capital”), a subsidiary of the Company incorporated under the laws of the Netherlands. GXO Capital was incorporated on October 15, 2025.</w:t>
      </w:r>
    </w:p>
    <w:p>
      <w:pPr>
        <w:spacing w:after="0" w:line="145"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The €500 million 3.750% notes due 2030 are fully and unconditionally guaranteed on an unsecured and unsubordinated basis by GXO Logistics, Inc. (“GXO”). The €500 million 3.750% notes due 2030 are not guaranteed by any of GXO’s or GXO Capital’s subsidiaries (all GXO subsidiaries other than GXO Capital are referred to herein as "non-guarantor subsidiaries"). Holders of the €500 million 3.750% notes due 2030 will have a direct claim only against GXO Capital, as issuer, and GXO, as guarantor.</w:t>
      </w:r>
    </w:p>
    <w:p>
      <w:pPr>
        <w:spacing w:after="0" w:line="15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following tables set forth the summarized financial information as of and for the years ended December 31, 2025 and 2024 of GXO, and as of and for the period ended December 31, 2025, of GXO Capital, on a standalone basis, which does not include the consolidated impact of the assets, liabilities, and financial results of their subsidiaries except as noted on the tables below, nor does it include any impact of intercompany eliminations as there were no intercompany transactions between GXO and GXO Capital. This summarized financial information is not intended to present the financial position or results of operations of GXO or GXO Capital in accordance with U.S. generally accepted accounting principles (“GAAP”).</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 additional information, see “Note 10. Debt and Financing Arrangements” to the Consolidated Financial Statements.</w:t>
            </w: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8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GXO</w:t>
            </w: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Summarized Results of Operations</w:t>
            </w: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4"/>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Standalone and Unconsolidated (Unaudited)</w:t>
            </w: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6"/>
        </w:trPr>
        <w:tc>
          <w:tcPr>
            <w:tcW w:w="7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Borders>
              <w:bottom w:val="single" w:sz="8" w:color="auto"/>
            </w:tcBorders>
          </w:tcPr>
          <w:p>
            <w:pPr>
              <w:spacing w:after="0"/>
              <w:rPr>
                <w:sz w:val="23"/>
                <w:szCs w:val="23"/>
                <w:color w:val="auto"/>
              </w:rPr>
            </w:pPr>
          </w:p>
        </w:tc>
      </w:tr>
      <w:tr>
        <w:trPr>
          <w:trHeight w:val="171"/>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Pr>
          <w:p>
            <w:pPr>
              <w:spacing w:after="0"/>
              <w:rPr>
                <w:sz w:val="14"/>
                <w:szCs w:val="14"/>
                <w:color w:val="auto"/>
              </w:rPr>
            </w:pPr>
          </w:p>
        </w:tc>
        <w:tc>
          <w:tcPr>
            <w:tcW w:w="142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71"/>
        </w:trPr>
        <w:tc>
          <w:tcPr>
            <w:tcW w:w="7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71"/>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4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income and other income from non-guarantor subsidiaries</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18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GXO standalone</w:t>
            </w: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4"/>
                <w:szCs w:val="14"/>
                <w:color w:val="auto"/>
              </w:rPr>
            </w:pPr>
          </w:p>
        </w:tc>
        <w:tc>
          <w:tcPr>
            <w:tcW w:w="7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
        </w:trPr>
        <w:tc>
          <w:tcPr>
            <w:tcW w:w="7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4"/>
          <w:szCs w:val="14"/>
          <w:b w:val="1"/>
          <w:bCs w:val="1"/>
          <w:color w:val="auto"/>
        </w:rPr>
        <w:t>GXO</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Summarized Assets and Liabilities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Standalone and Unconsolidated (Unaudited)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right"/>
              <w:ind w:right="14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Pr>
          <w:p>
            <w:pPr>
              <w:spacing w:after="0"/>
              <w:rPr>
                <w:sz w:val="14"/>
                <w:szCs w:val="14"/>
                <w:color w:val="auto"/>
              </w:rPr>
            </w:pPr>
          </w:p>
        </w:tc>
        <w:tc>
          <w:tcPr>
            <w:tcW w:w="112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1"/>
        </w:trPr>
        <w:tc>
          <w:tcPr>
            <w:tcW w:w="7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8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Investments in non-guarantor subsidiaries</w:t>
            </w:r>
          </w:p>
        </w:tc>
        <w:tc>
          <w:tcPr>
            <w:tcW w:w="44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2,361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3,819</w:t>
            </w:r>
          </w:p>
        </w:tc>
        <w:tc>
          <w:tcPr>
            <w:tcW w:w="0" w:type="dxa"/>
            <w:vAlign w:val="bottom"/>
          </w:tcPr>
          <w:p>
            <w:pPr>
              <w:spacing w:after="0"/>
              <w:rPr>
                <w:sz w:val="1"/>
                <w:szCs w:val="1"/>
                <w:color w:val="auto"/>
              </w:rPr>
            </w:pPr>
          </w:p>
        </w:tc>
      </w:tr>
      <w:tr>
        <w:trPr>
          <w:trHeight w:val="18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receivable from non-guarantor subsidiaries</w:t>
            </w:r>
          </w:p>
        </w:tc>
        <w:tc>
          <w:tcPr>
            <w:tcW w:w="44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3,983</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to non-guarantor subsidiaries</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8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debt</w:t>
            </w:r>
          </w:p>
        </w:tc>
        <w:tc>
          <w:tcPr>
            <w:tcW w:w="44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44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8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44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0" w:type="dxa"/>
            <w:vAlign w:val="bottom"/>
          </w:tcPr>
          <w:p>
            <w:pPr>
              <w:spacing w:after="0"/>
              <w:rPr>
                <w:sz w:val="1"/>
                <w:szCs w:val="1"/>
                <w:color w:val="auto"/>
              </w:rPr>
            </w:pPr>
          </w:p>
        </w:tc>
      </w:tr>
      <w:tr>
        <w:trPr>
          <w:trHeight w:val="18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 to non-guarantor subsidiaries</w:t>
            </w:r>
          </w:p>
        </w:tc>
        <w:tc>
          <w:tcPr>
            <w:tcW w:w="44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80"/>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GXO Capital</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4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Summarized Results of Operations</w:t>
            </w: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Standalone and Unconsolidated (Unaudited)</w:t>
            </w: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7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6"/>
        </w:trPr>
        <w:tc>
          <w:tcPr>
            <w:tcW w:w="7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71"/>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44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 attributable to GXO Capital standalone</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4"/>
          <w:szCs w:val="14"/>
          <w:b w:val="1"/>
          <w:bCs w:val="1"/>
          <w:color w:val="auto"/>
        </w:rPr>
        <w:t>GXO Capital</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Summarized Assets and Liabilities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Standalone and Unconsolidated (Unaudited)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Pr>
          <w:p>
            <w:pPr>
              <w:spacing w:after="0"/>
              <w:rPr>
                <w:sz w:val="16"/>
                <w:szCs w:val="16"/>
                <w:color w:val="auto"/>
              </w:rPr>
            </w:pPr>
          </w:p>
        </w:tc>
        <w:tc>
          <w:tcPr>
            <w:tcW w:w="1780" w:type="dxa"/>
            <w:vAlign w:val="bottom"/>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1"/>
        </w:trPr>
        <w:tc>
          <w:tcPr>
            <w:tcW w:w="9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Investments in non-guarantor subsidiaries</w:t>
            </w:r>
          </w:p>
        </w:tc>
        <w:tc>
          <w:tcPr>
            <w:tcW w:w="3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w:t>
            </w:r>
          </w:p>
        </w:tc>
      </w:tr>
      <w:tr>
        <w:trPr>
          <w:trHeight w:val="180"/>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38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2,354</w:t>
            </w:r>
          </w:p>
        </w:tc>
      </w:tr>
      <w:tr>
        <w:trPr>
          <w:trHeight w:val="20"/>
        </w:trPr>
        <w:tc>
          <w:tcPr>
            <w:tcW w:w="9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63"/>
        </w:trPr>
        <w:tc>
          <w:tcPr>
            <w:tcW w:w="9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180"/>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8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w:t>
            </w:r>
          </w:p>
        </w:tc>
      </w:tr>
      <w:tr>
        <w:trPr>
          <w:trHeight w:val="171"/>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w:t>
            </w:r>
          </w:p>
        </w:tc>
      </w:tr>
      <w:tr>
        <w:trPr>
          <w:trHeight w:val="20"/>
        </w:trPr>
        <w:tc>
          <w:tcPr>
            <w:tcW w:w="9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We prepare our Consolidated Financial Statements in accordance with GAAP. We make assumptions, estimates and judgments that affect our reported amounts of assets, liabilities, revenues, expenses, gains and losses. Material changes in these assumptions, estimates and/or judgments have the potential to materially alter our results of operations. We have identified the following accounting policies to be the most critical as they are important to our financial condition and results of operations and require significant judgment and estimates on the part of management in their application.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20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We record tangible and intangible assets acquired and liabilities assumed in business combinations under the purchase method of accounting. We allocate the fair value of purchase consideration to tangible and intangible assets acquired and liabilities assumed based on their estimated fair values. The excess of the fair value of purchase consideration over the fair values of these identifiable assets and liabilities is allocated to goodwill.</w:t>
      </w:r>
    </w:p>
    <w:p>
      <w:pPr>
        <w:spacing w:after="0" w:line="15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Accounting for business combinations requires us to make significant estimates and assumptions, especially at the acquisition date with respect to tangible and intangible assets acquired and liabilities assumed. We use our best estimates and assumptions to accurately assign fair value to the tangible and intangible assets acquired and liabilities assumed at the acquisition date as well as the useful lives of those acquired intangible assets. Significant assumptions utilized in the allocation of the purchase price related to intangible assets include future expected cash flows from acquired intangibles and discount rates.</w:t>
      </w:r>
    </w:p>
    <w:p>
      <w:pPr>
        <w:spacing w:after="0" w:line="16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Our estimates of fair value are based upon reasonable assumptions but are inherently uncertain and unpredictable, and as a result, actual results may differ from these estimates. During the measurement period, which is up to one year from the acquisition date, we may record adjustments to the assets acquired and liabilities assumed with the corresponding offset to goodwill. Upon the conclusion of the measurement period, any subsequent adjustments are recorded to earnings. For additional information, see Note 5. “Acquisition and Divestiture” to the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Goodwill</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We allocate goodwill to reporting units based on the reporting unit expected to benefit from the business combination. Goodwill is tested at the reporting unit level, which is an operating segment or one level below, on an annual basis and between annual tests if an event occurs or circumstances change that would more likely than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color w:val="auto"/>
        </w:rPr>
        <w:t>reduce the fair value of a reporting unit below its carrying value. We have three reporting units: i) Americas and Asia-Pacific, ii) United Kingdom and Ireland and iii) Continental Europe.</w:t>
      </w:r>
    </w:p>
    <w:p>
      <w:pPr>
        <w:spacing w:after="0" w:line="200"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color w:val="auto"/>
        </w:rPr>
        <w:t>For each reporting unit, we first assess qualitative factors that are specific to the reporting unit as well as industry and macroeconomic factors to determine whether it is necessary to perform a quantitative goodwill impairment test. The qualitative factors could include a significant change in the business climate, legal factors, operating performance indicators, competition or the sale or disposition of a significant portion of a reporting unit. If the qualitative assessment indicates that it is more likely than not that an impairment exists, then a quantitative assessment is performed.</w:t>
      </w:r>
    </w:p>
    <w:p>
      <w:pPr>
        <w:spacing w:after="0" w:line="15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A quantitative goodwill impairment test, when performed, includes estimating the fair value of a reporting unit using the income and/or market approach. The income approach of determining fair value is based on the present value of estimated future cash flows, which requires us to make various assumptions, including assumptions about the timing and amount of future cash flows, growth rates and discount rates. The discount rates reflect management’s judgment and are based on a risk-adjusted weighted-average cost of capital utilizing industry market data of businesses similar to the reporting units. Inherent in our preparation of cash flow projections are assumptions and estimates derived from a review of our operating results, business plans, expected growth rates, cost of capital and tax rates. Our forecasts also reflect expectations concerning future economic conditions, interest rates and other market data. The market approach of determining fair value is based on comparable market multiples for companies engaged in similar businesses, as well as recent transactions within our industry. We believe using these valuation techniques yields the most appropriate evidence of the reporting unit’s fair value.</w:t>
      </w:r>
    </w:p>
    <w:p>
      <w:pPr>
        <w:spacing w:after="0" w:line="16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Many of the factors used in assessing fair value are outside the control of management, and these assumptions and estimates may change in future periods. Changes in assumptions or estimates could materially affect the estimate of the fair value of a reporting unit and therefore could affect the likelihood and amount of any potential impairment.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Benefit Plans</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We sponsor various retirement plans, with the most significant plans held in the U.K. (the “U.K. Retirement Plans”). Assumptions used in the accounting for these employee benefit plans include the discount rate and expected return on plan assets. Assumptions are determined based on company data and appropriate market indicators and are evaluated each year at December 31. The December 31, 2025 pension funded status and 2026 expense are affected by year-end 2025 assumptions. A change in any of these assumptions would have an effect on the net periodic pension cost reported in the Consolidated Financial Statements.</w:t>
      </w:r>
    </w:p>
    <w:p>
      <w:pPr>
        <w:spacing w:after="0" w:line="16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i w:val="1"/>
          <w:iCs w:val="1"/>
          <w:color w:val="auto"/>
        </w:rPr>
        <w:t>Sensitivity Analysis</w:t>
      </w:r>
      <w:r>
        <w:rPr>
          <w:rFonts w:ascii="Times New Roman" w:cs="Times New Roman" w:eastAsia="Times New Roman" w:hAnsi="Times New Roman"/>
          <w:sz w:val="14"/>
          <w:szCs w:val="14"/>
          <w:color w:val="auto"/>
        </w:rPr>
        <w:t>. The discount rate is determined based on the yield on a portfolio of high-quality bonds, constructed to provide cash flows necessary to meet our pension plans’ expected future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benefit payments, as determined for the accumulated benefit obligation. A 50-basis-point decrease in the discount rate of the U.K. Retirement Plans would have resulted in an estimated increase in the accumulated benefit obligation of approximately $94 million in 2025. The expected return on plan assets assumption is derived from the current and expected asset allocation of the pension plan assets, and it considers historical and expected returns for various classes of plan assets. An increase or decrease of 50 basis points in the expected return on plan assets for the U.K. Retirement Plans would have decreased or increased our net periodic pension cost by approximately $9 million in 2026. For additional information, see Note 15. “Employee Benefit Plans” to the Consolidated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Accounting Standards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related to new accounting standards is included in Note 2. “Basis of Presentation and Significant Accounting Policies”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20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i w:val="1"/>
          <w:iCs w:val="1"/>
          <w:color w:val="auto"/>
        </w:rPr>
        <w:t>Our market risk disclosures involve forward-looking statements. Actual results could differ materially from those projected in such forward-looking statements. We are exposed to market risk related to changes in interest rates and foreign currency exchange rates.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As of December 31, 2025, our long-term debt included $2.5 billion in fixed-rate notes and $275 million in a Secured Overnight Financing Rate (SOFR)-based variable-rate term loan, excluding finance leases and other debt. A hypothetical 1% increase in SOFR as of December 31, 2025, would have increased our interest expense by approximately $3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Exchange Rate Risk</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 significant proportion of our net assets and income is in non-USD currencies. These are mainly the British pound sterling (“GBP”) and the Euro (“EUR”). We are exposed to currency risk from changes in the value of these currencies. Our foreign currency-denominated assets, liabilities, and cash flows are affected by such changes. If the EUR or GBP depreciates against the USD, it could adversely impact our financial results.</w:t>
      </w:r>
    </w:p>
    <w:p>
      <w:pPr>
        <w:spacing w:after="0" w:line="157"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We entered into cross-currency swap agreements to manage our foreign currency exchange risk by effectively converting a portion of the fixed-rate USD-denominated debt, including interest payments, into fixed-rate EUR-denominated debt and a portion of the floating-rate USD-denominated loan, including interest payments, into floating-rate EUR-denominated debt.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use foreign currency options contracts to mitigate the risk of a reduction in the value of earnings from our operations that use the EUR or GBP as their functional currency.</w:t>
      </w:r>
    </w:p>
    <w:p>
      <w:pPr>
        <w:spacing w:after="0" w:line="200"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As of December 31, 2025, a uniform 10% strengthening in the USD relative to the EUR and GBP would have decreased our net assets by $29 million and $96 million, respectively, net of foreign currency hedging. These theoretical calculations assume an instantaneous, parallel shift in the GBP and EUR rates.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11. “Fair Value Measurements and Financial Instruments” to the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79"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38"/>
        </w:trPr>
        <w:tc>
          <w:tcPr>
            <w:tcW w:w="10340" w:type="dxa"/>
            <w:vAlign w:val="bottom"/>
            <w:gridSpan w:val="25"/>
          </w:tcPr>
          <w:p>
            <w:pPr>
              <w:spacing w:after="0" w:line="138" w:lineRule="exact"/>
              <w:rPr>
                <w:sz w:val="20"/>
                <w:szCs w:val="20"/>
                <w:color w:val="auto"/>
              </w:rPr>
            </w:pPr>
            <w:r>
              <w:rPr>
                <w:rFonts w:ascii="Times New Roman" w:cs="Times New Roman" w:eastAsia="Times New Roman" w:hAnsi="Times New Roman"/>
                <w:sz w:val="13"/>
                <w:szCs w:val="13"/>
                <w:color w:val="0000FF"/>
              </w:rPr>
              <w:t>Report of Independent Registered Public Accounting Firm</w:t>
            </w: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1"/>
              </w:rPr>
              <w:t>34</w:t>
            </w:r>
          </w:p>
        </w:tc>
      </w:tr>
      <w:tr>
        <w:trPr>
          <w:trHeight w:val="20"/>
        </w:trPr>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0"/>
        </w:trPr>
        <w:tc>
          <w:tcPr>
            <w:tcW w:w="51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3"/>
                <w:szCs w:val="13"/>
                <w:color w:val="0000FF"/>
              </w:rPr>
              <w:t>Consolidated Statements of Operations for the Years Ended December 31, 2025, 2024 and 2023</w:t>
            </w:r>
          </w:p>
        </w:tc>
        <w:tc>
          <w:tcPr>
            <w:tcW w:w="5180" w:type="dxa"/>
            <w:vAlign w:val="bottom"/>
            <w:gridSpan w:val="4"/>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37</w:t>
            </w:r>
          </w:p>
        </w:tc>
      </w:tr>
      <w:tr>
        <w:trPr>
          <w:trHeight w:val="160"/>
        </w:trPr>
        <w:tc>
          <w:tcPr>
            <w:tcW w:w="58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3"/>
                <w:szCs w:val="13"/>
                <w:color w:val="0000FF"/>
              </w:rPr>
              <w:t>Consolidated Statements of Comprehensive Income for the Years Ended December 31, 2025, 2024 and 2023</w:t>
            </w:r>
          </w:p>
        </w:tc>
        <w:tc>
          <w:tcPr>
            <w:tcW w:w="45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38</w:t>
            </w:r>
          </w:p>
        </w:tc>
      </w:tr>
      <w:tr>
        <w:trPr>
          <w:trHeight w:val="160"/>
        </w:trPr>
        <w:tc>
          <w:tcPr>
            <w:tcW w:w="10340" w:type="dxa"/>
            <w:vAlign w:val="bottom"/>
            <w:gridSpan w:val="25"/>
          </w:tcPr>
          <w:p>
            <w:pPr>
              <w:spacing w:after="0"/>
              <w:rPr>
                <w:sz w:val="20"/>
                <w:szCs w:val="20"/>
                <w:color w:val="auto"/>
              </w:rPr>
            </w:pPr>
            <w:r>
              <w:rPr>
                <w:rFonts w:ascii="Times New Roman" w:cs="Times New Roman" w:eastAsia="Times New Roman" w:hAnsi="Times New Roman"/>
                <w:sz w:val="13"/>
                <w:szCs w:val="13"/>
                <w:color w:val="0000FF"/>
              </w:rPr>
              <w:t>Consolidated Balance Sheets as of December 31, 2025 and 2024</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39</w:t>
            </w:r>
          </w:p>
        </w:tc>
      </w:tr>
      <w:tr>
        <w:trPr>
          <w:trHeight w:val="20"/>
        </w:trPr>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0"/>
        </w:trPr>
        <w:tc>
          <w:tcPr>
            <w:tcW w:w="52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3"/>
                <w:szCs w:val="13"/>
                <w:color w:val="0000FF"/>
              </w:rPr>
              <w:t>Consolidated Statements of Cash Flows for the Years Ended December 31, 2025, 2024 and 2023</w:t>
            </w:r>
          </w:p>
        </w:tc>
        <w:tc>
          <w:tcPr>
            <w:tcW w:w="5140" w:type="dxa"/>
            <w:vAlign w:val="bottom"/>
            <w:gridSpan w:val="3"/>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40</w:t>
            </w:r>
          </w:p>
        </w:tc>
      </w:tr>
      <w:tr>
        <w:trPr>
          <w:trHeight w:val="160"/>
        </w:trPr>
        <w:tc>
          <w:tcPr>
            <w:tcW w:w="55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3"/>
                <w:szCs w:val="13"/>
                <w:color w:val="0000FF"/>
              </w:rPr>
              <w:t>Consolidated Statements of Changes in Equity for the Years Ended December 31, 2025, 2024 and 2023</w:t>
            </w:r>
          </w:p>
        </w:tc>
        <w:tc>
          <w:tcPr>
            <w:tcW w:w="4780" w:type="dxa"/>
            <w:vAlign w:val="bottom"/>
            <w:gridSpan w:val="2"/>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42</w:t>
            </w:r>
          </w:p>
        </w:tc>
      </w:tr>
      <w:tr>
        <w:trPr>
          <w:trHeight w:val="160"/>
        </w:trPr>
        <w:tc>
          <w:tcPr>
            <w:tcW w:w="10340" w:type="dxa"/>
            <w:vAlign w:val="bottom"/>
            <w:gridSpan w:val="25"/>
          </w:tcPr>
          <w:p>
            <w:pPr>
              <w:spacing w:after="0"/>
              <w:rPr>
                <w:sz w:val="20"/>
                <w:szCs w:val="20"/>
                <w:color w:val="auto"/>
              </w:rPr>
            </w:pPr>
            <w:r>
              <w:rPr>
                <w:rFonts w:ascii="Times New Roman" w:cs="Times New Roman" w:eastAsia="Times New Roman" w:hAnsi="Times New Roman"/>
                <w:sz w:val="13"/>
                <w:szCs w:val="13"/>
                <w:color w:val="0000FF"/>
              </w:rPr>
              <w:t>Notes to Consolidated Financial Statements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43</w:t>
            </w:r>
          </w:p>
        </w:tc>
      </w:tr>
      <w:tr>
        <w:trPr>
          <w:trHeight w:val="160"/>
        </w:trPr>
        <w:tc>
          <w:tcPr>
            <w:tcW w:w="11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3"/>
                <w:szCs w:val="13"/>
                <w:color w:val="0000FF"/>
              </w:rPr>
              <w:t>Note 1 - Organization</w:t>
            </w:r>
          </w:p>
        </w:tc>
        <w:tc>
          <w:tcPr>
            <w:tcW w:w="1160" w:type="dxa"/>
            <w:vAlign w:val="bottom"/>
            <w:tcBorders>
              <w:top w:val="single" w:sz="8" w:color="0000FF"/>
            </w:tcBorders>
            <w:gridSpan w:val="12"/>
          </w:tcPr>
          <w:p>
            <w:pPr>
              <w:spacing w:after="0"/>
              <w:rPr>
                <w:sz w:val="13"/>
                <w:szCs w:val="13"/>
                <w:color w:val="auto"/>
              </w:rPr>
            </w:pPr>
          </w:p>
        </w:tc>
        <w:tc>
          <w:tcPr>
            <w:tcW w:w="8000" w:type="dxa"/>
            <w:vAlign w:val="bottom"/>
            <w:gridSpan w:val="10"/>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43</w:t>
            </w:r>
          </w:p>
        </w:tc>
      </w:tr>
      <w:tr>
        <w:trPr>
          <w:trHeight w:val="160"/>
        </w:trPr>
        <w:tc>
          <w:tcPr>
            <w:tcW w:w="35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3"/>
                <w:szCs w:val="13"/>
                <w:color w:val="0000FF"/>
              </w:rPr>
              <w:t>Note 2 - Basis of Presentation and Significant Accounting Policies</w:t>
            </w:r>
          </w:p>
        </w:tc>
        <w:tc>
          <w:tcPr>
            <w:tcW w:w="6760" w:type="dxa"/>
            <w:vAlign w:val="bottom"/>
            <w:gridSpan w:val="5"/>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43</w:t>
            </w:r>
          </w:p>
        </w:tc>
      </w:tr>
      <w:tr>
        <w:trPr>
          <w:trHeight w:val="160"/>
        </w:trPr>
        <w:tc>
          <w:tcPr>
            <w:tcW w:w="1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3"/>
                <w:szCs w:val="13"/>
                <w:color w:val="0000FF"/>
              </w:rPr>
              <w:t>Note 3 - Revenue Recognition</w:t>
            </w:r>
          </w:p>
        </w:tc>
        <w:tc>
          <w:tcPr>
            <w:tcW w:w="8700" w:type="dxa"/>
            <w:vAlign w:val="bottom"/>
            <w:gridSpan w:val="17"/>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49</w:t>
            </w:r>
          </w:p>
        </w:tc>
      </w:tr>
      <w:tr>
        <w:trPr>
          <w:trHeight w:val="160"/>
        </w:trPr>
        <w:tc>
          <w:tcPr>
            <w:tcW w:w="1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3"/>
                <w:szCs w:val="13"/>
                <w:color w:val="0000FF"/>
              </w:rPr>
              <w:t>Note 4 - Segment Information</w:t>
            </w:r>
          </w:p>
        </w:tc>
        <w:tc>
          <w:tcPr>
            <w:tcW w:w="8720" w:type="dxa"/>
            <w:vAlign w:val="bottom"/>
            <w:gridSpan w:val="18"/>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50</w:t>
            </w:r>
          </w:p>
        </w:tc>
      </w:tr>
      <w:tr>
        <w:trPr>
          <w:trHeight w:val="160"/>
        </w:trPr>
        <w:tc>
          <w:tcPr>
            <w:tcW w:w="19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3"/>
                <w:szCs w:val="13"/>
                <w:color w:val="0000FF"/>
              </w:rPr>
              <w:t>Note 5 - Acquisition and Divestiture</w:t>
            </w:r>
          </w:p>
        </w:tc>
        <w:tc>
          <w:tcPr>
            <w:tcW w:w="8380" w:type="dxa"/>
            <w:vAlign w:val="bottom"/>
            <w:gridSpan w:val="13"/>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51</w:t>
            </w:r>
          </w:p>
        </w:tc>
      </w:tr>
      <w:tr>
        <w:trPr>
          <w:trHeight w:val="160"/>
        </w:trPr>
        <w:tc>
          <w:tcPr>
            <w:tcW w:w="9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3"/>
                <w:szCs w:val="13"/>
                <w:color w:val="0000FF"/>
              </w:rPr>
              <w:t>Note 6 - Goodwill</w:t>
            </w:r>
          </w:p>
        </w:tc>
        <w:tc>
          <w:tcPr>
            <w:tcW w:w="9360" w:type="dxa"/>
            <w:vAlign w:val="bottom"/>
            <w:gridSpan w:val="23"/>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53</w:t>
            </w:r>
          </w:p>
        </w:tc>
      </w:tr>
      <w:tr>
        <w:trPr>
          <w:trHeight w:val="160"/>
        </w:trPr>
        <w:tc>
          <w:tcPr>
            <w:tcW w:w="10340" w:type="dxa"/>
            <w:vAlign w:val="bottom"/>
            <w:gridSpan w:val="25"/>
          </w:tcPr>
          <w:p>
            <w:pPr>
              <w:spacing w:after="0"/>
              <w:rPr>
                <w:sz w:val="20"/>
                <w:szCs w:val="20"/>
                <w:color w:val="auto"/>
              </w:rPr>
            </w:pPr>
            <w:r>
              <w:rPr>
                <w:rFonts w:ascii="Times New Roman" w:cs="Times New Roman" w:eastAsia="Times New Roman" w:hAnsi="Times New Roman"/>
                <w:sz w:val="13"/>
                <w:szCs w:val="13"/>
                <w:color w:val="0000FF"/>
              </w:rPr>
              <w:t>Note 7 - Intangible Assets</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53</w:t>
            </w:r>
          </w:p>
        </w:tc>
      </w:tr>
      <w:tr>
        <w:trPr>
          <w:trHeight w:val="20"/>
        </w:trPr>
        <w:tc>
          <w:tcPr>
            <w:tcW w:w="8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00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0"/>
        </w:trPr>
        <w:tc>
          <w:tcPr>
            <w:tcW w:w="10340" w:type="dxa"/>
            <w:vAlign w:val="bottom"/>
            <w:gridSpan w:val="25"/>
          </w:tcPr>
          <w:p>
            <w:pPr>
              <w:spacing w:after="0"/>
              <w:rPr>
                <w:sz w:val="20"/>
                <w:szCs w:val="20"/>
                <w:color w:val="auto"/>
              </w:rPr>
            </w:pPr>
            <w:r>
              <w:rPr>
                <w:rFonts w:ascii="Times New Roman" w:cs="Times New Roman" w:eastAsia="Times New Roman" w:hAnsi="Times New Roman"/>
                <w:sz w:val="13"/>
                <w:szCs w:val="13"/>
                <w:color w:val="0000FF"/>
              </w:rPr>
              <w:t>Note 8 - Property and Equipment</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54</w:t>
            </w:r>
          </w:p>
        </w:tc>
      </w:tr>
      <w:tr>
        <w:trPr>
          <w:trHeight w:val="160"/>
        </w:trPr>
        <w:tc>
          <w:tcPr>
            <w:tcW w:w="8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rPr>
              <w:t>Note 9 - Leases</w:t>
            </w:r>
          </w:p>
        </w:tc>
        <w:tc>
          <w:tcPr>
            <w:tcW w:w="940" w:type="dxa"/>
            <w:vAlign w:val="bottom"/>
            <w:tcBorders>
              <w:top w:val="single" w:sz="8" w:color="0000FF"/>
            </w:tcBorders>
            <w:gridSpan w:val="9"/>
          </w:tcPr>
          <w:p>
            <w:pPr>
              <w:spacing w:after="0"/>
              <w:rPr>
                <w:sz w:val="13"/>
                <w:szCs w:val="13"/>
                <w:color w:val="auto"/>
              </w:rPr>
            </w:pPr>
          </w:p>
        </w:tc>
        <w:tc>
          <w:tcPr>
            <w:tcW w:w="8560" w:type="dxa"/>
            <w:vAlign w:val="bottom"/>
            <w:gridSpan w:val="15"/>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54</w:t>
            </w:r>
          </w:p>
        </w:tc>
      </w:tr>
      <w:tr>
        <w:trPr>
          <w:trHeight w:val="160"/>
        </w:trPr>
        <w:tc>
          <w:tcPr>
            <w:tcW w:w="2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3"/>
                <w:szCs w:val="13"/>
                <w:color w:val="0000FF"/>
              </w:rPr>
              <w:t>Note 10 - Debt and Financing Arrangements</w:t>
            </w:r>
          </w:p>
        </w:tc>
        <w:tc>
          <w:tcPr>
            <w:tcW w:w="7940" w:type="dxa"/>
            <w:vAlign w:val="bottom"/>
            <w:gridSpan w:val="9"/>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56</w:t>
            </w:r>
          </w:p>
        </w:tc>
      </w:tr>
      <w:tr>
        <w:trPr>
          <w:trHeight w:val="160"/>
        </w:trPr>
        <w:tc>
          <w:tcPr>
            <w:tcW w:w="33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3"/>
                <w:szCs w:val="13"/>
                <w:color w:val="0000FF"/>
              </w:rPr>
              <w:t>Note 11 - Fair Value Measurements and Financial Instruments</w:t>
            </w:r>
          </w:p>
        </w:tc>
        <w:tc>
          <w:tcPr>
            <w:tcW w:w="7000" w:type="dxa"/>
            <w:vAlign w:val="bottom"/>
            <w:gridSpan w:val="7"/>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58</w:t>
            </w:r>
          </w:p>
        </w:tc>
      </w:tr>
      <w:tr>
        <w:trPr>
          <w:trHeight w:val="160"/>
        </w:trPr>
        <w:tc>
          <w:tcPr>
            <w:tcW w:w="15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3"/>
                <w:szCs w:val="13"/>
                <w:color w:val="0000FF"/>
              </w:rPr>
              <w:t>Note 12 - Accrued Expenses</w:t>
            </w:r>
          </w:p>
        </w:tc>
        <w:tc>
          <w:tcPr>
            <w:tcW w:w="8800" w:type="dxa"/>
            <w:vAlign w:val="bottom"/>
            <w:gridSpan w:val="19"/>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61</w:t>
            </w:r>
          </w:p>
        </w:tc>
      </w:tr>
      <w:tr>
        <w:trPr>
          <w:trHeight w:val="171"/>
        </w:trPr>
        <w:tc>
          <w:tcPr>
            <w:tcW w:w="16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3"/>
                <w:szCs w:val="13"/>
                <w:color w:val="0000FF"/>
              </w:rPr>
              <w:t>Note 13 - Stockholders</w:t>
            </w:r>
            <w:r>
              <w:rPr>
                <w:rFonts w:ascii="Times New Roman" w:cs="Times New Roman" w:eastAsia="Times New Roman" w:hAnsi="Times New Roman"/>
                <w:sz w:val="14"/>
                <w:szCs w:val="14"/>
                <w:color w:val="0000FF"/>
              </w:rPr>
              <w:t>’</w:t>
            </w:r>
            <w:r>
              <w:rPr>
                <w:rFonts w:ascii="Times New Roman" w:cs="Times New Roman" w:eastAsia="Times New Roman" w:hAnsi="Times New Roman"/>
                <w:sz w:val="13"/>
                <w:szCs w:val="13"/>
                <w:color w:val="0000FF"/>
              </w:rPr>
              <w:t xml:space="preserve"> Equity</w:t>
            </w:r>
          </w:p>
        </w:tc>
        <w:tc>
          <w:tcPr>
            <w:tcW w:w="8660" w:type="dxa"/>
            <w:vAlign w:val="bottom"/>
            <w:gridSpan w:val="16"/>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61</w:t>
            </w:r>
          </w:p>
        </w:tc>
      </w:tr>
      <w:tr>
        <w:trPr>
          <w:trHeight w:val="160"/>
        </w:trPr>
        <w:tc>
          <w:tcPr>
            <w:tcW w:w="10340" w:type="dxa"/>
            <w:vAlign w:val="bottom"/>
            <w:gridSpan w:val="25"/>
          </w:tcPr>
          <w:p>
            <w:pPr>
              <w:spacing w:after="0"/>
              <w:rPr>
                <w:sz w:val="20"/>
                <w:szCs w:val="20"/>
                <w:color w:val="auto"/>
              </w:rPr>
            </w:pPr>
            <w:r>
              <w:rPr>
                <w:rFonts w:ascii="Times New Roman" w:cs="Times New Roman" w:eastAsia="Times New Roman" w:hAnsi="Times New Roman"/>
                <w:sz w:val="13"/>
                <w:szCs w:val="13"/>
                <w:color w:val="0000FF"/>
              </w:rPr>
              <w:t>Note 14 - Stock-Based Compensation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62</w:t>
            </w:r>
          </w:p>
        </w:tc>
      </w:tr>
      <w:tr>
        <w:trPr>
          <w:trHeight w:val="160"/>
        </w:trPr>
        <w:tc>
          <w:tcPr>
            <w:tcW w:w="18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3"/>
                <w:szCs w:val="13"/>
                <w:color w:val="0000FF"/>
              </w:rPr>
              <w:t>Note 15 - Employee Benefit Plans</w:t>
            </w:r>
          </w:p>
        </w:tc>
        <w:tc>
          <w:tcPr>
            <w:tcW w:w="180" w:type="dxa"/>
            <w:vAlign w:val="bottom"/>
            <w:tcBorders>
              <w:top w:val="single" w:sz="8" w:color="0000FF"/>
            </w:tcBorders>
            <w:gridSpan w:val="2"/>
          </w:tcPr>
          <w:p>
            <w:pPr>
              <w:spacing w:after="0"/>
              <w:rPr>
                <w:sz w:val="13"/>
                <w:szCs w:val="13"/>
                <w:color w:val="auto"/>
              </w:rPr>
            </w:pPr>
          </w:p>
        </w:tc>
        <w:tc>
          <w:tcPr>
            <w:tcW w:w="8320" w:type="dxa"/>
            <w:vAlign w:val="bottom"/>
            <w:gridSpan w:val="12"/>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65</w:t>
            </w:r>
          </w:p>
        </w:tc>
      </w:tr>
      <w:tr>
        <w:trPr>
          <w:trHeight w:val="160"/>
        </w:trPr>
        <w:tc>
          <w:tcPr>
            <w:tcW w:w="10340" w:type="dxa"/>
            <w:vAlign w:val="bottom"/>
            <w:gridSpan w:val="25"/>
          </w:tcPr>
          <w:p>
            <w:pPr>
              <w:spacing w:after="0"/>
              <w:rPr>
                <w:sz w:val="20"/>
                <w:szCs w:val="20"/>
                <w:color w:val="auto"/>
              </w:rPr>
            </w:pPr>
            <w:r>
              <w:rPr>
                <w:rFonts w:ascii="Times New Roman" w:cs="Times New Roman" w:eastAsia="Times New Roman" w:hAnsi="Times New Roman"/>
                <w:sz w:val="13"/>
                <w:szCs w:val="13"/>
                <w:color w:val="0000FF"/>
              </w:rPr>
              <w:t>Note 16 - Restructuring Costs and Other</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67</w:t>
            </w:r>
          </w:p>
        </w:tc>
      </w:tr>
      <w:tr>
        <w:trPr>
          <w:trHeight w:val="160"/>
        </w:trPr>
        <w:tc>
          <w:tcPr>
            <w:tcW w:w="21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3"/>
                <w:szCs w:val="13"/>
                <w:color w:val="0000FF"/>
              </w:rPr>
              <w:t>Note 17 - Income Taxes</w:t>
            </w:r>
          </w:p>
        </w:tc>
        <w:tc>
          <w:tcPr>
            <w:tcW w:w="8180" w:type="dxa"/>
            <w:vAlign w:val="bottom"/>
            <w:gridSpan w:val="11"/>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68</w:t>
            </w:r>
          </w:p>
        </w:tc>
      </w:tr>
      <w:tr>
        <w:trPr>
          <w:trHeight w:val="20"/>
        </w:trPr>
        <w:tc>
          <w:tcPr>
            <w:tcW w:w="1280" w:type="dxa"/>
            <w:vAlign w:val="bottom"/>
            <w:gridSpan w:val="4"/>
            <w:shd w:val="clear" w:color="auto" w:fill="0000FF"/>
          </w:tcPr>
          <w:p>
            <w:pPr>
              <w:spacing w:after="0" w:line="20" w:lineRule="exact"/>
              <w:rPr>
                <w:sz w:val="1"/>
                <w:szCs w:val="1"/>
                <w:color w:val="auto"/>
              </w:rPr>
            </w:pPr>
          </w:p>
        </w:tc>
        <w:tc>
          <w:tcPr>
            <w:tcW w:w="1060" w:type="dxa"/>
            <w:vAlign w:val="bottom"/>
            <w:gridSpan w:val="11"/>
          </w:tcPr>
          <w:p>
            <w:pPr>
              <w:spacing w:after="0" w:line="20" w:lineRule="exact"/>
              <w:rPr>
                <w:sz w:val="1"/>
                <w:szCs w:val="1"/>
                <w:color w:val="auto"/>
              </w:rPr>
            </w:pPr>
          </w:p>
        </w:tc>
        <w:tc>
          <w:tcPr>
            <w:tcW w:w="800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0"/>
        </w:trPr>
        <w:tc>
          <w:tcPr>
            <w:tcW w:w="23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3"/>
                <w:szCs w:val="13"/>
                <w:color w:val="0000FF"/>
              </w:rPr>
              <w:t>Note 18 - Commitments and Contingencies</w:t>
            </w:r>
          </w:p>
        </w:tc>
        <w:tc>
          <w:tcPr>
            <w:tcW w:w="8000" w:type="dxa"/>
            <w:vAlign w:val="bottom"/>
            <w:gridSpan w:val="10"/>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7" w:name="page38"/>
    <w:bookmarkEnd w:id="37"/>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GXO Logistics, Inc.:</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Opinions on the Consolidated Financial Statements and Internal Control Over Financial Reporting</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sheets of GXO Logistics, Inc. and subsidiaries (the Company) as of December 31, 2025 and 2024, the related consolidated statements of operations, comprehensive income, cash flows, and changes in equity for each of the years in the three-year period ended December 31, 2025, and the related notes (collectively,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(2013) </w:t>
      </w:r>
      <w:r>
        <w:rPr>
          <w:rFonts w:ascii="Times New Roman" w:cs="Times New Roman" w:eastAsia="Times New Roman" w:hAnsi="Times New Roman"/>
          <w:sz w:val="14"/>
          <w:szCs w:val="14"/>
          <w:color w:val="auto"/>
        </w:rPr>
        <w:t>issued by the Committee of Sponsoring Organizations of the Treadway Commission.</w:t>
      </w:r>
    </w:p>
    <w:p>
      <w:pPr>
        <w:spacing w:after="0" w:line="16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(2013) </w:t>
      </w:r>
      <w:r>
        <w:rPr>
          <w:rFonts w:ascii="Times New Roman" w:cs="Times New Roman" w:eastAsia="Times New Roman" w:hAnsi="Times New Roman"/>
          <w:sz w:val="14"/>
          <w:szCs w:val="14"/>
          <w:color w:val="auto"/>
        </w:rPr>
        <w:t>issued by the Committee of Sponsoring Organizations of the Treadway Commission.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color w:val="auto"/>
        </w:rPr>
        <w:t>Definition and Limitations of Internal Control Over Financial Reporting</w:t>
      </w:r>
    </w:p>
    <w:p>
      <w:pPr>
        <w:spacing w:after="0" w:line="20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Sufficiency of audit evidence over revenue from contracts with customers</w:t>
      </w:r>
    </w:p>
    <w:p>
      <w:pPr>
        <w:spacing w:after="0" w:line="202" w:lineRule="exact"/>
        <w:rPr>
          <w:sz w:val="20"/>
          <w:szCs w:val="20"/>
          <w:color w:val="auto"/>
        </w:rPr>
      </w:pPr>
    </w:p>
    <w:p>
      <w:pPr>
        <w:ind w:left="320" w:right="400"/>
        <w:spacing w:after="0" w:line="287" w:lineRule="auto"/>
        <w:rPr>
          <w:sz w:val="20"/>
          <w:szCs w:val="20"/>
          <w:color w:val="auto"/>
        </w:rPr>
      </w:pPr>
      <w:r>
        <w:rPr>
          <w:rFonts w:ascii="Times New Roman" w:cs="Times New Roman" w:eastAsia="Times New Roman" w:hAnsi="Times New Roman"/>
          <w:sz w:val="14"/>
          <w:szCs w:val="14"/>
          <w:color w:val="auto"/>
        </w:rPr>
        <w:t>As discussed in Notes 2 and 3 to the consolidated financial statements, revenue is recognized over the period in which services are provided under the terms of the Company’s contractual relationship with its customers. For the year ended December 31, 2025, the Company reported $13.2 billion of revenue.</w:t>
      </w:r>
    </w:p>
    <w:p>
      <w:pPr>
        <w:spacing w:after="0" w:line="145" w:lineRule="exact"/>
        <w:rPr>
          <w:sz w:val="20"/>
          <w:szCs w:val="20"/>
          <w:color w:val="auto"/>
        </w:rPr>
      </w:pPr>
    </w:p>
    <w:p>
      <w:pPr>
        <w:ind w:left="320" w:right="660"/>
        <w:spacing w:after="0" w:line="270" w:lineRule="auto"/>
        <w:rPr>
          <w:sz w:val="20"/>
          <w:szCs w:val="20"/>
          <w:color w:val="auto"/>
        </w:rPr>
      </w:pPr>
      <w:r>
        <w:rPr>
          <w:rFonts w:ascii="Times New Roman" w:cs="Times New Roman" w:eastAsia="Times New Roman" w:hAnsi="Times New Roman"/>
          <w:sz w:val="14"/>
          <w:szCs w:val="14"/>
          <w:color w:val="auto"/>
        </w:rPr>
        <w:t>We identified the evaluation of the sufficiency of audit evidence over revenue from contracts with customers (revenue) as a critical audit matter. Subjective auditor judgment and IT professionals with specialized skills and knowledge were required to evaluate the sufficiency of audit evidence obtained over revenue due to the number and dispersion of warehouse management and other IT systems used in the processing and recording of revenue.</w:t>
      </w:r>
    </w:p>
    <w:p>
      <w:pPr>
        <w:spacing w:after="0" w:line="157" w:lineRule="exact"/>
        <w:rPr>
          <w:sz w:val="20"/>
          <w:szCs w:val="20"/>
          <w:color w:val="auto"/>
        </w:rPr>
      </w:pPr>
    </w:p>
    <w:p>
      <w:pPr>
        <w:ind w:left="320" w:right="60"/>
        <w:spacing w:after="0" w:line="257"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applied auditor judgment to determine the nature and extent of procedures to be performed over the processing and recording of revenue. We evaluated the design and tested the operating effectiveness of certain internal controls related to the processing and recording of revenue, including manual controls related to the examination of revenue contracts and detection of revenues recorded outside of expectations. We involved IT professionals with specialized skills and knowledge to test certain manual and automated controls, including general IT controls, over multiple relevant IT systems and information used in internal control. We compared certain revenue activity recorded during the year to cash received, adjusted for reconciling items. We evaluated the relevance and reliability of certain reconciling items to underlying documentation, including the changes in accounts receivable and deferred revenue. We examined a selection of revenue contracts and transactions to assess that revenue was recorded in accordance with the Company’s accounting policy. Additionally, for a sample of accrued revenue at year-end, we confirmed with the Company’s customers the amount of revenue billed subsequent to year-end and compared the result to the Company’s accounting records. We evaluated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39" w:name="page40"/>
    <w:bookmarkEnd w:id="39"/>
    <w:p>
      <w:pPr>
        <w:ind w:left="320"/>
        <w:spacing w:after="0"/>
        <w:rPr>
          <w:sz w:val="20"/>
          <w:szCs w:val="20"/>
          <w:color w:val="auto"/>
        </w:rPr>
      </w:pPr>
      <w:r>
        <w:rPr>
          <w:rFonts w:ascii="Times New Roman" w:cs="Times New Roman" w:eastAsia="Times New Roman" w:hAnsi="Times New Roman"/>
          <w:sz w:val="14"/>
          <w:szCs w:val="14"/>
          <w:color w:val="auto"/>
        </w:rPr>
        <w:t>sufficiency of audit evidence obtained by assessing the results of procedures performed, including the appropriateness of the nature and extent of such evidence.</w:t>
      </w:r>
    </w:p>
    <w:p>
      <w:pPr>
        <w:spacing w:after="0" w:line="39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/s/ KPMG LLP</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143"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4"/>
          <w:szCs w:val="14"/>
          <w:b w:val="1"/>
          <w:bCs w:val="1"/>
          <w:color w:val="auto"/>
        </w:rPr>
        <w:t>GXO Logistics,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millions, shares in thousands, except per share amounts)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13,178</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11,709</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9,778</w:t>
            </w:r>
          </w:p>
        </w:tc>
      </w:tr>
      <w:tr>
        <w:trPr>
          <w:trHeight w:val="180"/>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 operating expense</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8,035</w:t>
            </w:r>
          </w:p>
        </w:tc>
      </w:tr>
      <w:tr>
        <w:trPr>
          <w:trHeight w:val="18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r>
      <w:tr>
        <w:trPr>
          <w:trHeight w:val="180"/>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r>
      <w:tr>
        <w:trPr>
          <w:trHeight w:val="18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0"/>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Restructuring costs and other</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Regulatory matter and litigation expense</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4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Net loss on divestiture of business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1"/>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180"/>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 net</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18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18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attributable to Noncontrolling Interests (“NCI”)</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GXO</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3"/>
        </w:trPr>
        <w:tc>
          <w:tcPr>
            <w:tcW w:w="6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180"/>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202"/>
        </w:trPr>
        <w:tc>
          <w:tcPr>
            <w:tcW w:w="6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shares outstanding used in computation of earnings per share</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115,677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119,413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118,908</w:t>
            </w:r>
          </w:p>
        </w:tc>
      </w:tr>
      <w:tr>
        <w:trPr>
          <w:trHeight w:val="184"/>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116,303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119,798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119,490</w:t>
            </w:r>
          </w:p>
        </w:tc>
      </w:tr>
    </w:tbl>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4"/>
          <w:szCs w:val="14"/>
          <w:b w:val="1"/>
          <w:bCs w:val="1"/>
          <w:color w:val="auto"/>
        </w:rPr>
        <w:t>GXO Logistics,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 net of tax</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6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6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Cash flow hedges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6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Fair value hedges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4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Pension plans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 net of tax</w:t>
            </w: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net of tax</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Comprehensive income attributable to NCI</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attributable to GXO</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70"/>
        </w:trPr>
        <w:tc>
          <w:tcPr>
            <w:tcW w:w="8060" w:type="dxa"/>
            <w:vAlign w:val="bottom"/>
            <w:gridSpan w:val="2"/>
          </w:tcPr>
          <w:p>
            <w:pPr>
              <w:ind w:left="5300"/>
              <w:spacing w:after="0"/>
              <w:rPr>
                <w:sz w:val="20"/>
                <w:szCs w:val="20"/>
                <w:color w:val="auto"/>
              </w:rPr>
            </w:pPr>
            <w:r>
              <w:rPr>
                <w:rFonts w:ascii="Times New Roman" w:cs="Times New Roman" w:eastAsia="Times New Roman" w:hAnsi="Times New Roman"/>
                <w:sz w:val="14"/>
                <w:szCs w:val="14"/>
                <w:b w:val="1"/>
                <w:bCs w:val="1"/>
                <w:color w:val="auto"/>
              </w:rPr>
              <w:t>GXO Logistics, Inc.</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60" w:type="dxa"/>
            <w:vAlign w:val="bottom"/>
            <w:gridSpan w:val="2"/>
          </w:tcPr>
          <w:p>
            <w:pPr>
              <w:ind w:left="478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7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millions, shares in thousands, except per share amounts)</w:t>
            </w:r>
          </w:p>
        </w:tc>
        <w:tc>
          <w:tcPr>
            <w:tcW w:w="360" w:type="dxa"/>
            <w:vAlign w:val="bottom"/>
          </w:tcPr>
          <w:p>
            <w:pPr>
              <w:spacing w:after="0"/>
              <w:rPr>
                <w:sz w:val="14"/>
                <w:szCs w:val="14"/>
                <w:color w:val="auto"/>
              </w:rPr>
            </w:pPr>
          </w:p>
        </w:tc>
        <w:tc>
          <w:tcPr>
            <w:tcW w:w="120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62"/>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0" w:type="dxa"/>
            <w:vAlign w:val="bottom"/>
          </w:tcPr>
          <w:p>
            <w:pPr>
              <w:spacing w:after="0"/>
              <w:rPr>
                <w:sz w:val="1"/>
                <w:szCs w:val="1"/>
                <w:color w:val="auto"/>
              </w:rPr>
            </w:pP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Accounts receivable, net of allowance of $15 and $15</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w:t>
            </w:r>
          </w:p>
        </w:tc>
        <w:tc>
          <w:tcPr>
            <w:tcW w:w="0" w:type="dxa"/>
            <w:vAlign w:val="bottom"/>
          </w:tcPr>
          <w:p>
            <w:pPr>
              <w:spacing w:after="0"/>
              <w:rPr>
                <w:sz w:val="1"/>
                <w:szCs w:val="1"/>
                <w:color w:val="auto"/>
              </w:rPr>
            </w:pP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current assets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0" w:type="dxa"/>
            <w:vAlign w:val="bottom"/>
          </w:tcPr>
          <w:p>
            <w:pPr>
              <w:spacing w:after="0"/>
              <w:rPr>
                <w:sz w:val="1"/>
                <w:szCs w:val="1"/>
                <w:color w:val="auto"/>
              </w:rPr>
            </w:pPr>
          </w:p>
        </w:tc>
      </w:tr>
      <w:tr>
        <w:trPr>
          <w:trHeight w:val="158"/>
        </w:trPr>
        <w:tc>
          <w:tcPr>
            <w:tcW w:w="8060" w:type="dxa"/>
            <w:vAlign w:val="bottom"/>
            <w:tcBorders>
              <w:bottom w:val="single" w:sz="8" w:color="CCEEFF"/>
            </w:tcBorders>
            <w:gridSpan w:val="2"/>
          </w:tcPr>
          <w:p>
            <w:pPr>
              <w:ind w:left="400"/>
              <w:spacing w:after="0" w:line="147"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3,288</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2,641</w:t>
            </w:r>
          </w:p>
        </w:tc>
        <w:tc>
          <w:tcPr>
            <w:tcW w:w="0" w:type="dxa"/>
            <w:vAlign w:val="bottom"/>
          </w:tcPr>
          <w:p>
            <w:pPr>
              <w:spacing w:after="0"/>
              <w:rPr>
                <w:sz w:val="1"/>
                <w:szCs w:val="1"/>
                <w:color w:val="auto"/>
              </w:rPr>
            </w:pPr>
          </w:p>
        </w:tc>
      </w:tr>
      <w:tr>
        <w:trPr>
          <w:trHeight w:val="152"/>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assets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Property and equipment, net of accumulated depreciation of $2,126 and $1,732</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0" w:type="dxa"/>
            <w:vAlign w:val="bottom"/>
          </w:tcPr>
          <w:p>
            <w:pPr>
              <w:spacing w:after="0"/>
              <w:rPr>
                <w:sz w:val="1"/>
                <w:szCs w:val="1"/>
                <w:color w:val="auto"/>
              </w:rPr>
            </w:pP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lease assets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2,329</w:t>
            </w:r>
          </w:p>
        </w:tc>
        <w:tc>
          <w:tcPr>
            <w:tcW w:w="0" w:type="dxa"/>
            <w:vAlign w:val="bottom"/>
          </w:tcPr>
          <w:p>
            <w:pPr>
              <w:spacing w:after="0"/>
              <w:rPr>
                <w:sz w:val="1"/>
                <w:szCs w:val="1"/>
                <w:color w:val="auto"/>
              </w:rPr>
            </w:pP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Goodwill</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3,549</w:t>
            </w:r>
          </w:p>
        </w:tc>
        <w:tc>
          <w:tcPr>
            <w:tcW w:w="0" w:type="dxa"/>
            <w:vAlign w:val="bottom"/>
          </w:tcPr>
          <w:p>
            <w:pPr>
              <w:spacing w:after="0"/>
              <w:rPr>
                <w:sz w:val="1"/>
                <w:szCs w:val="1"/>
                <w:color w:val="auto"/>
              </w:rPr>
            </w:pPr>
          </w:p>
        </w:tc>
      </w:tr>
      <w:tr>
        <w:trPr>
          <w:trHeight w:val="172"/>
        </w:trPr>
        <w:tc>
          <w:tcPr>
            <w:tcW w:w="8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Intangible assets, net of accumulated amortization of $781 and $618</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0" w:type="dxa"/>
            <w:vAlign w:val="bottom"/>
          </w:tcPr>
          <w:p>
            <w:pPr>
              <w:spacing w:after="0"/>
              <w:rPr>
                <w:sz w:val="1"/>
                <w:szCs w:val="1"/>
                <w:color w:val="auto"/>
              </w:rPr>
            </w:pPr>
          </w:p>
        </w:tc>
      </w:tr>
      <w:tr>
        <w:trPr>
          <w:trHeight w:val="168"/>
        </w:trPr>
        <w:tc>
          <w:tcPr>
            <w:tcW w:w="8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Other long-term assets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0" w:type="dxa"/>
            <w:vAlign w:val="bottom"/>
          </w:tcPr>
          <w:p>
            <w:pPr>
              <w:spacing w:after="0"/>
              <w:rPr>
                <w:sz w:val="1"/>
                <w:szCs w:val="1"/>
                <w:color w:val="auto"/>
              </w:rPr>
            </w:pPr>
          </w:p>
        </w:tc>
      </w:tr>
      <w:tr>
        <w:trPr>
          <w:trHeight w:val="163"/>
        </w:trPr>
        <w:tc>
          <w:tcPr>
            <w:tcW w:w="8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long-term assets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8,974</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8,625</w:t>
            </w:r>
          </w:p>
        </w:tc>
        <w:tc>
          <w:tcPr>
            <w:tcW w:w="0" w:type="dxa"/>
            <w:vAlign w:val="bottom"/>
          </w:tcPr>
          <w:p>
            <w:pPr>
              <w:spacing w:after="0"/>
              <w:rPr>
                <w:sz w:val="1"/>
                <w:szCs w:val="1"/>
                <w:color w:val="auto"/>
              </w:rPr>
            </w:pPr>
          </w:p>
        </w:tc>
      </w:tr>
      <w:tr>
        <w:trPr>
          <w:trHeight w:val="158"/>
        </w:trPr>
        <w:tc>
          <w:tcPr>
            <w:tcW w:w="8060" w:type="dxa"/>
            <w:vAlign w:val="bottom"/>
            <w:gridSpan w:val="2"/>
          </w:tcPr>
          <w:p>
            <w:pPr>
              <w:ind w:left="600"/>
              <w:spacing w:after="0" w:line="147"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12,262</w:t>
            </w: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11,266</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060" w:type="dxa"/>
            <w:vAlign w:val="bottom"/>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0" w:type="dxa"/>
            <w:vAlign w:val="bottom"/>
          </w:tcPr>
          <w:p>
            <w:pPr>
              <w:spacing w:after="0"/>
              <w:rPr>
                <w:sz w:val="1"/>
                <w:szCs w:val="1"/>
                <w:color w:val="auto"/>
              </w:rPr>
            </w:pP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Accrued expenses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1,271</w:t>
            </w:r>
          </w:p>
        </w:tc>
        <w:tc>
          <w:tcPr>
            <w:tcW w:w="0" w:type="dxa"/>
            <w:vAlign w:val="bottom"/>
          </w:tcPr>
          <w:p>
            <w:pPr>
              <w:spacing w:after="0"/>
              <w:rPr>
                <w:sz w:val="1"/>
                <w:szCs w:val="1"/>
                <w:color w:val="auto"/>
              </w:rPr>
            </w:pP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Current debt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0" w:type="dxa"/>
            <w:vAlign w:val="bottom"/>
          </w:tcPr>
          <w:p>
            <w:pPr>
              <w:spacing w:after="0"/>
              <w:rPr>
                <w:sz w:val="1"/>
                <w:szCs w:val="1"/>
                <w:color w:val="auto"/>
              </w:rPr>
            </w:pP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Current operating lease liabilities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0" w:type="dxa"/>
            <w:vAlign w:val="bottom"/>
          </w:tcPr>
          <w:p>
            <w:pPr>
              <w:spacing w:after="0"/>
              <w:rPr>
                <w:sz w:val="1"/>
                <w:szCs w:val="1"/>
                <w:color w:val="auto"/>
              </w:rPr>
            </w:pP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0" w:type="dxa"/>
            <w:vAlign w:val="bottom"/>
          </w:tcPr>
          <w:p>
            <w:pPr>
              <w:spacing w:after="0"/>
              <w:rPr>
                <w:sz w:val="1"/>
                <w:szCs w:val="1"/>
                <w:color w:val="auto"/>
              </w:rPr>
            </w:pPr>
          </w:p>
        </w:tc>
      </w:tr>
      <w:tr>
        <w:trPr>
          <w:trHeight w:val="158"/>
        </w:trPr>
        <w:tc>
          <w:tcPr>
            <w:tcW w:w="8060" w:type="dxa"/>
            <w:vAlign w:val="bottom"/>
            <w:tcBorders>
              <w:bottom w:val="single" w:sz="8" w:color="CCEEFF"/>
            </w:tcBorders>
            <w:gridSpan w:val="2"/>
          </w:tcPr>
          <w:p>
            <w:pPr>
              <w:ind w:left="400"/>
              <w:spacing w:after="0" w:line="147"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3,875</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3,189</w:t>
            </w:r>
          </w:p>
        </w:tc>
        <w:tc>
          <w:tcPr>
            <w:tcW w:w="0" w:type="dxa"/>
            <w:vAlign w:val="bottom"/>
          </w:tcPr>
          <w:p>
            <w:pPr>
              <w:spacing w:after="0"/>
              <w:rPr>
                <w:sz w:val="1"/>
                <w:szCs w:val="1"/>
                <w:color w:val="auto"/>
              </w:rPr>
            </w:pPr>
          </w:p>
        </w:tc>
      </w:tr>
      <w:tr>
        <w:trPr>
          <w:trHeight w:val="152"/>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liabilities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Long-term debt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2,521</w:t>
            </w:r>
          </w:p>
        </w:tc>
        <w:tc>
          <w:tcPr>
            <w:tcW w:w="0" w:type="dxa"/>
            <w:vAlign w:val="bottom"/>
          </w:tcPr>
          <w:p>
            <w:pPr>
              <w:spacing w:after="0"/>
              <w:rPr>
                <w:sz w:val="1"/>
                <w:szCs w:val="1"/>
                <w:color w:val="auto"/>
              </w:rPr>
            </w:pP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1,898</w:t>
            </w:r>
          </w:p>
        </w:tc>
        <w:tc>
          <w:tcPr>
            <w:tcW w:w="0" w:type="dxa"/>
            <w:vAlign w:val="bottom"/>
          </w:tcPr>
          <w:p>
            <w:pPr>
              <w:spacing w:after="0"/>
              <w:rPr>
                <w:sz w:val="1"/>
                <w:szCs w:val="1"/>
                <w:color w:val="auto"/>
              </w:rPr>
            </w:pPr>
          </w:p>
        </w:tc>
      </w:tr>
      <w:tr>
        <w:trPr>
          <w:trHeight w:val="168"/>
        </w:trPr>
        <w:tc>
          <w:tcPr>
            <w:tcW w:w="8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709</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623</w:t>
            </w:r>
          </w:p>
        </w:tc>
        <w:tc>
          <w:tcPr>
            <w:tcW w:w="0" w:type="dxa"/>
            <w:vAlign w:val="bottom"/>
          </w:tcPr>
          <w:p>
            <w:pPr>
              <w:spacing w:after="0"/>
              <w:rPr>
                <w:sz w:val="1"/>
                <w:szCs w:val="1"/>
                <w:color w:val="auto"/>
              </w:rPr>
            </w:pPr>
          </w:p>
        </w:tc>
      </w:tr>
      <w:tr>
        <w:trPr>
          <w:trHeight w:val="163"/>
        </w:trPr>
        <w:tc>
          <w:tcPr>
            <w:tcW w:w="8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long-term liabilities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5,372</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5,042</w:t>
            </w:r>
          </w:p>
        </w:tc>
        <w:tc>
          <w:tcPr>
            <w:tcW w:w="0" w:type="dxa"/>
            <w:vAlign w:val="bottom"/>
          </w:tcPr>
          <w:p>
            <w:pPr>
              <w:spacing w:after="0"/>
              <w:rPr>
                <w:sz w:val="1"/>
                <w:szCs w:val="1"/>
                <w:color w:val="auto"/>
              </w:rPr>
            </w:pPr>
          </w:p>
        </w:tc>
      </w:tr>
      <w:tr>
        <w:trPr>
          <w:trHeight w:val="149"/>
        </w:trPr>
        <w:tc>
          <w:tcPr>
            <w:tcW w:w="80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Commitments and Contingencies (Note 18)</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060" w:type="dxa"/>
            <w:vAlign w:val="bottom"/>
            <w:gridSpan w:val="2"/>
          </w:tcPr>
          <w:p>
            <w:pPr>
              <w:ind w:left="180"/>
              <w:spacing w:after="0" w:line="128" w:lineRule="exact"/>
              <w:rPr>
                <w:sz w:val="20"/>
                <w:szCs w:val="20"/>
                <w:color w:val="auto"/>
              </w:rPr>
            </w:pPr>
            <w:r>
              <w:rPr>
                <w:rFonts w:ascii="Times New Roman" w:cs="Times New Roman" w:eastAsia="Times New Roman" w:hAnsi="Times New Roman"/>
                <w:sz w:val="13"/>
                <w:szCs w:val="13"/>
                <w:color w:val="auto"/>
                <w:w w:val="99"/>
              </w:rPr>
              <w:t>Common Stock, $0.01 par value per share; 300,000 shares authorized, 119,868 and 119,496 shares issued and 114,512 and 119,496 shares outstanding,</w:t>
            </w:r>
          </w:p>
        </w:tc>
        <w:tc>
          <w:tcPr>
            <w:tcW w:w="36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respectively</w:t>
            </w: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Treasury stock, at cost; 5,356 and 0 shares, respectively</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Preferred Stock, $0.01 par value per share; 10,000 shares authorized, 0 issued and outstanding</w:t>
            </w:r>
          </w:p>
        </w:tc>
        <w:tc>
          <w:tcPr>
            <w:tcW w:w="36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Additional Paid-In Capital (“APIC”)</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2,629</w:t>
            </w:r>
          </w:p>
        </w:tc>
        <w:tc>
          <w:tcPr>
            <w:tcW w:w="0" w:type="dxa"/>
            <w:vAlign w:val="bottom"/>
          </w:tcPr>
          <w:p>
            <w:pPr>
              <w:spacing w:after="0"/>
              <w:rPr>
                <w:sz w:val="1"/>
                <w:szCs w:val="1"/>
                <w:color w:val="auto"/>
              </w:rPr>
            </w:pP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Retained earnings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w:t>
            </w:r>
          </w:p>
        </w:tc>
        <w:tc>
          <w:tcPr>
            <w:tcW w:w="0" w:type="dxa"/>
            <w:vAlign w:val="bottom"/>
          </w:tcPr>
          <w:p>
            <w:pPr>
              <w:spacing w:after="0"/>
              <w:rPr>
                <w:sz w:val="1"/>
                <w:szCs w:val="1"/>
                <w:color w:val="auto"/>
              </w:rPr>
            </w:pP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Income (Loss) (“AOCIL”)</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0" w:type="dxa"/>
            <w:vAlign w:val="bottom"/>
          </w:tcPr>
          <w:p>
            <w:pPr>
              <w:spacing w:after="0"/>
              <w:rPr>
                <w:sz w:val="1"/>
                <w:szCs w:val="1"/>
                <w:color w:val="auto"/>
              </w:rPr>
            </w:pPr>
          </w:p>
        </w:tc>
      </w:tr>
      <w:tr>
        <w:trPr>
          <w:trHeight w:val="158"/>
        </w:trPr>
        <w:tc>
          <w:tcPr>
            <w:tcW w:w="8060" w:type="dxa"/>
            <w:vAlign w:val="bottom"/>
            <w:tcBorders>
              <w:bottom w:val="single" w:sz="8" w:color="CCEEFF"/>
            </w:tcBorders>
            <w:gridSpan w:val="2"/>
          </w:tcPr>
          <w:p>
            <w:pPr>
              <w:ind w:left="400"/>
              <w:spacing w:after="0" w:line="147" w:lineRule="exact"/>
              <w:rPr>
                <w:sz w:val="20"/>
                <w:szCs w:val="20"/>
                <w:color w:val="auto"/>
              </w:rPr>
            </w:pPr>
            <w:r>
              <w:rPr>
                <w:rFonts w:ascii="Times New Roman" w:cs="Times New Roman" w:eastAsia="Times New Roman" w:hAnsi="Times New Roman"/>
                <w:sz w:val="13"/>
                <w:szCs w:val="13"/>
                <w:b w:val="1"/>
                <w:bCs w:val="1"/>
                <w:color w:val="auto"/>
              </w:rPr>
              <w:t>Total stockholders’ equity before NCI</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2,983</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3,003</w:t>
            </w:r>
          </w:p>
        </w:tc>
        <w:tc>
          <w:tcPr>
            <w:tcW w:w="0" w:type="dxa"/>
            <w:vAlign w:val="bottom"/>
          </w:tcPr>
          <w:p>
            <w:pPr>
              <w:spacing w:after="0"/>
              <w:rPr>
                <w:sz w:val="1"/>
                <w:szCs w:val="1"/>
                <w:color w:val="auto"/>
              </w:rPr>
            </w:pPr>
          </w:p>
        </w:tc>
      </w:tr>
      <w:tr>
        <w:trPr>
          <w:trHeight w:val="163"/>
        </w:trPr>
        <w:tc>
          <w:tcPr>
            <w:tcW w:w="8060" w:type="dxa"/>
            <w:vAlign w:val="bottom"/>
            <w:gridSpan w:val="2"/>
            <w:shd w:val="clear" w:color="auto" w:fill="CCEEFF"/>
          </w:tcPr>
          <w:p>
            <w:pPr>
              <w:ind w:left="180"/>
              <w:spacing w:after="0" w:line="147" w:lineRule="exact"/>
              <w:rPr>
                <w:sz w:val="20"/>
                <w:szCs w:val="20"/>
                <w:color w:val="auto"/>
              </w:rPr>
            </w:pPr>
            <w:r>
              <w:rPr>
                <w:rFonts w:ascii="Times New Roman" w:cs="Times New Roman" w:eastAsia="Times New Roman" w:hAnsi="Times New Roman"/>
                <w:sz w:val="13"/>
                <w:szCs w:val="13"/>
                <w:color w:val="auto"/>
              </w:rPr>
              <w:t>NCI</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58"/>
        </w:trPr>
        <w:tc>
          <w:tcPr>
            <w:tcW w:w="8060" w:type="dxa"/>
            <w:vAlign w:val="bottom"/>
            <w:tcBorders>
              <w:bottom w:val="single" w:sz="8" w:color="CCEEFF"/>
            </w:tcBorders>
            <w:gridSpan w:val="2"/>
          </w:tcPr>
          <w:p>
            <w:pPr>
              <w:ind w:left="400"/>
              <w:spacing w:after="0" w:line="147" w:lineRule="exact"/>
              <w:rPr>
                <w:sz w:val="20"/>
                <w:szCs w:val="20"/>
                <w:color w:val="auto"/>
              </w:rPr>
            </w:pPr>
            <w:r>
              <w:rPr>
                <w:rFonts w:ascii="Times New Roman" w:cs="Times New Roman" w:eastAsia="Times New Roman" w:hAnsi="Times New Roman"/>
                <w:sz w:val="13"/>
                <w:szCs w:val="13"/>
                <w:b w:val="1"/>
                <w:bCs w:val="1"/>
                <w:color w:val="auto"/>
              </w:rPr>
              <w:t>Total equity</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3,015</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3,035</w:t>
            </w:r>
          </w:p>
        </w:tc>
        <w:tc>
          <w:tcPr>
            <w:tcW w:w="0" w:type="dxa"/>
            <w:vAlign w:val="bottom"/>
          </w:tcPr>
          <w:p>
            <w:pPr>
              <w:spacing w:after="0"/>
              <w:rPr>
                <w:sz w:val="1"/>
                <w:szCs w:val="1"/>
                <w:color w:val="auto"/>
              </w:rPr>
            </w:pPr>
          </w:p>
        </w:tc>
      </w:tr>
      <w:tr>
        <w:trPr>
          <w:trHeight w:val="185"/>
        </w:trPr>
        <w:tc>
          <w:tcPr>
            <w:tcW w:w="80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b w:val="1"/>
                <w:bCs w:val="1"/>
                <w:color w:val="auto"/>
              </w:rPr>
              <w:t>Total liabilities and equity</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12,262</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43" w:name="page44"/>
    <w:bookmarkEnd w:id="4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GXO Logistics,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64"/>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16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6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r>
      <w:tr>
        <w:trPr>
          <w:trHeight w:val="169"/>
        </w:trPr>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4"/>
                <w:szCs w:val="14"/>
                <w:color w:val="auto"/>
              </w:rPr>
            </w:pP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4"/>
                <w:szCs w:val="14"/>
                <w:color w:val="auto"/>
              </w:rPr>
            </w:pP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r>
      <w:tr>
        <w:trPr>
          <w:trHeight w:val="171"/>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 to reconcile net income to net cash provided by operating activities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Goodwill and intangibles write-down loss held for sale</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tax benefit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Changes in operating assets and liabilities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assets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58"/>
        </w:trPr>
        <w:tc>
          <w:tcPr>
            <w:tcW w:w="6480" w:type="dxa"/>
            <w:vAlign w:val="bottom"/>
            <w:tcBorders>
              <w:bottom w:val="single" w:sz="8" w:color="CCEEFF"/>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558</w:t>
            </w:r>
          </w:p>
        </w:tc>
      </w:tr>
      <w:tr>
        <w:trPr>
          <w:trHeight w:val="152"/>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Capital expenditures</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sale of property and equipment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Acquisition of business, net of cash acquired</w:t>
            </w:r>
          </w:p>
        </w:tc>
        <w:tc>
          <w:tcPr>
            <w:tcW w:w="36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investment hedges settlement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6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w:t>
            </w:r>
          </w:p>
        </w:tc>
      </w:tr>
      <w:tr>
        <w:trPr>
          <w:trHeight w:val="149"/>
        </w:trPr>
        <w:tc>
          <w:tcPr>
            <w:tcW w:w="64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71"/>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Common stock repurchased</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Proceeds from long-term debt, net of issuance discount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Payments for debt issue costs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Net borrowings under revolving credit facilities</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Repayments of debt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Repayments of finance lease obligations</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Taxes paid related to net share settlement of equity awards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3"/>
        </w:trPr>
        <w:tc>
          <w:tcPr>
            <w:tcW w:w="6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r>
      <w:tr>
        <w:trPr>
          <w:trHeight w:val="158"/>
        </w:trPr>
        <w:tc>
          <w:tcPr>
            <w:tcW w:w="6480" w:type="dxa"/>
            <w:vAlign w:val="bottom"/>
            <w:tcBorders>
              <w:bottom w:val="single" w:sz="8" w:color="CCEEFF"/>
            </w:tcBorders>
            <w:gridSpan w:val="2"/>
          </w:tcPr>
          <w:p>
            <w:pPr>
              <w:ind w:left="20"/>
              <w:spacing w:after="0" w:line="146" w:lineRule="exact"/>
              <w:rPr>
                <w:sz w:val="20"/>
                <w:szCs w:val="20"/>
                <w:color w:val="auto"/>
              </w:rPr>
            </w:pPr>
            <w:r>
              <w:rPr>
                <w:rFonts w:ascii="Times New Roman" w:cs="Times New Roman" w:eastAsia="Times New Roman" w:hAnsi="Times New Roman"/>
                <w:sz w:val="13"/>
                <w:szCs w:val="13"/>
                <w:color w:val="auto"/>
              </w:rPr>
              <w:t>Effect of exchange rates on cash and cash equivalents</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3"/>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restricted cash and cash equivalents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69"/>
        </w:trPr>
        <w:tc>
          <w:tcPr>
            <w:tcW w:w="6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Cash, restricted cash and cash equivalents, beginning of year</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495</w:t>
            </w:r>
          </w:p>
        </w:tc>
      </w:tr>
      <w:tr>
        <w:trPr>
          <w:trHeight w:val="184"/>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restricted cash and cash equivalents, end of year</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6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cash, restricted cash and cash equivalents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854</w:t>
            </w:r>
          </w:p>
        </w:tc>
        <w:tc>
          <w:tcPr>
            <w:tcW w:w="100" w:type="dxa"/>
            <w:vAlign w:val="bottom"/>
          </w:tcPr>
          <w:p>
            <w:pPr>
              <w:spacing w:after="0"/>
              <w:rPr>
                <w:sz w:val="14"/>
                <w:szCs w:val="14"/>
                <w:color w:val="auto"/>
              </w:rPr>
            </w:pP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00" w:type="dxa"/>
            <w:vAlign w:val="bottom"/>
          </w:tcPr>
          <w:p>
            <w:pPr>
              <w:spacing w:after="0"/>
              <w:rPr>
                <w:sz w:val="14"/>
                <w:szCs w:val="14"/>
                <w:color w:val="auto"/>
              </w:rPr>
            </w:pP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Restricted Cash (included in Other current assets)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4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Restricted cash (included in Other long-term assets)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5"/>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cash, restricted cash and cash equivalents</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1141" w:right="339" w:bottom="1440" w:gutter="0" w:footer="0" w:header="0"/>
        </w:sectPr>
      </w:pPr>
    </w:p>
    <w:bookmarkStart w:id="44" w:name="page45"/>
    <w:bookmarkEnd w:id="4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GXO Logistics,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4"/>
        </w:trPr>
        <w:tc>
          <w:tcPr>
            <w:tcW w:w="6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r>
      <w:tr>
        <w:trPr>
          <w:trHeight w:val="168"/>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Cash paid for interest, net</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72"/>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paid for income taxes, net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69"/>
        </w:trPr>
        <w:tc>
          <w:tcPr>
            <w:tcW w:w="6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Noncash financing activities: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Excise tax liability related to stock repurchases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141" w:right="319" w:bottom="1440" w:gutter="0" w:footer="0" w:header="0"/>
        </w:sectPr>
      </w:pPr>
    </w:p>
    <w:bookmarkStart w:id="45" w:name="page46"/>
    <w:bookmarkEnd w:id="4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GXO Logistics,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Equity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tcPr>
          <w:p>
            <w:pPr>
              <w:ind w:left="100"/>
              <w:spacing w:after="0" w:line="102"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tcPr>
          <w:p>
            <w:pPr>
              <w:ind w:left="160"/>
              <w:spacing w:after="0" w:line="102" w:lineRule="exact"/>
              <w:rPr>
                <w:sz w:val="20"/>
                <w:szCs w:val="20"/>
                <w:color w:val="auto"/>
              </w:rPr>
            </w:pPr>
            <w:r>
              <w:rPr>
                <w:rFonts w:ascii="Times New Roman" w:cs="Times New Roman" w:eastAsia="Times New Roman" w:hAnsi="Times New Roman"/>
                <w:sz w:val="10"/>
                <w:szCs w:val="10"/>
                <w:b w:val="1"/>
                <w:bCs w:val="1"/>
                <w:color w:val="auto"/>
              </w:rPr>
              <w:t>Equity</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jc w:val="right"/>
              <w:ind w:right="304"/>
              <w:spacing w:after="0" w:line="102"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6"/>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i w:val="1"/>
                <w:iCs w:val="1"/>
                <w:color w:val="auto"/>
              </w:rPr>
              <w:t>(Shares in thousands, dollars in millions)</w:t>
            </w:r>
          </w:p>
        </w:tc>
        <w:tc>
          <w:tcPr>
            <w:tcW w:w="1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0"/>
                <w:szCs w:val="10"/>
                <w:b w:val="1"/>
                <w:bCs w:val="1"/>
                <w:color w:val="auto"/>
                <w:w w:val="99"/>
              </w:rPr>
              <w:t>Treasury stock</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0"/>
                <w:szCs w:val="10"/>
                <w:b w:val="1"/>
                <w:bCs w:val="1"/>
                <w:color w:val="auto"/>
              </w:rPr>
              <w:t>APIC</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0"/>
                <w:szCs w:val="10"/>
                <w:b w:val="1"/>
                <w:bCs w:val="1"/>
                <w:color w:val="auto"/>
              </w:rPr>
              <w:t>AOCIL</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0"/>
                <w:szCs w:val="10"/>
                <w:b w:val="1"/>
                <w:bCs w:val="1"/>
                <w:color w:val="auto"/>
              </w:rPr>
              <w:t>Before NCI</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0"/>
                <w:szCs w:val="10"/>
                <w:b w:val="1"/>
                <w:bCs w:val="1"/>
                <w:color w:val="auto"/>
              </w:rPr>
              <w:t>NCI</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81"/>
        </w:trPr>
        <w:tc>
          <w:tcPr>
            <w:tcW w:w="2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118,728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2,645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2,678</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1"/>
                <w:szCs w:val="11"/>
                <w:color w:val="auto"/>
              </w:rPr>
              <w:t>Net income</w:t>
            </w:r>
          </w:p>
        </w:tc>
        <w:tc>
          <w:tcPr>
            <w:tcW w:w="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80" w:type="dxa"/>
            <w:vAlign w:val="bottom"/>
            <w:tcBorders>
              <w:top w:val="single" w:sz="8" w:color="CCEEFF"/>
            </w:tcBorders>
            <w:gridSpan w:val="2"/>
            <w:vMerge w:val="continue"/>
          </w:tcPr>
          <w:p>
            <w:pPr>
              <w:spacing w:after="0"/>
              <w:rPr>
                <w:sz w:val="10"/>
                <w:szCs w:val="10"/>
                <w:color w:val="auto"/>
              </w:rPr>
            </w:pPr>
          </w:p>
        </w:tc>
        <w:tc>
          <w:tcPr>
            <w:tcW w:w="84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229</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229</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233</w:t>
            </w:r>
          </w:p>
        </w:tc>
        <w:tc>
          <w:tcPr>
            <w:tcW w:w="0" w:type="dxa"/>
            <w:vAlign w:val="bottom"/>
          </w:tcPr>
          <w:p>
            <w:pPr>
              <w:spacing w:after="0"/>
              <w:rPr>
                <w:sz w:val="1"/>
                <w:szCs w:val="1"/>
                <w:color w:val="auto"/>
              </w:rPr>
            </w:pPr>
          </w:p>
        </w:tc>
      </w:tr>
      <w:tr>
        <w:trPr>
          <w:trHeight w:val="165"/>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53"/>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Stock-based compensation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0" w:type="dxa"/>
            <w:vAlign w:val="bottom"/>
          </w:tcPr>
          <w:p>
            <w:pPr>
              <w:spacing w:after="0"/>
              <w:rPr>
                <w:sz w:val="1"/>
                <w:szCs w:val="1"/>
                <w:color w:val="auto"/>
              </w:rPr>
            </w:pPr>
          </w:p>
        </w:tc>
      </w:tr>
      <w:tr>
        <w:trPr>
          <w:trHeight w:val="165"/>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Vesting of stock compensation awards</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555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0"/>
        </w:trPr>
        <w:tc>
          <w:tcPr>
            <w:tcW w:w="2280" w:type="dxa"/>
            <w:vAlign w:val="bottom"/>
            <w:gridSpan w:val="2"/>
          </w:tcPr>
          <w:p>
            <w:pPr>
              <w:spacing w:after="0" w:line="110" w:lineRule="exact"/>
              <w:rPr>
                <w:sz w:val="20"/>
                <w:szCs w:val="20"/>
                <w:color w:val="auto"/>
              </w:rPr>
            </w:pPr>
            <w:r>
              <w:rPr>
                <w:rFonts w:ascii="Times New Roman" w:cs="Times New Roman" w:eastAsia="Times New Roman" w:hAnsi="Times New Roman"/>
                <w:sz w:val="11"/>
                <w:szCs w:val="11"/>
                <w:color w:val="auto"/>
              </w:rPr>
              <w:t>Tax withholding on vesting of stock</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51"/>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compensation awards</w:t>
            </w: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Dividends to NCI</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0"/>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119,057</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2,598</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2,912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2,946</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0" w:type="dxa"/>
            <w:vAlign w:val="bottom"/>
          </w:tcPr>
          <w:p>
            <w:pPr>
              <w:spacing w:after="0"/>
              <w:rPr>
                <w:sz w:val="1"/>
                <w:szCs w:val="1"/>
                <w:color w:val="auto"/>
              </w:rPr>
            </w:pPr>
          </w:p>
        </w:tc>
      </w:tr>
      <w:tr>
        <w:trPr>
          <w:trHeight w:val="153"/>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comprehensive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0" w:type="dxa"/>
            <w:vAlign w:val="bottom"/>
          </w:tcPr>
          <w:p>
            <w:pPr>
              <w:spacing w:after="0"/>
              <w:rPr>
                <w:sz w:val="1"/>
                <w:szCs w:val="1"/>
                <w:color w:val="auto"/>
              </w:rPr>
            </w:pPr>
          </w:p>
        </w:tc>
      </w:tr>
      <w:tr>
        <w:trPr>
          <w:trHeight w:val="165"/>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Stock-based compensation</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0" w:type="dxa"/>
            <w:vAlign w:val="bottom"/>
          </w:tcPr>
          <w:p>
            <w:pPr>
              <w:spacing w:after="0"/>
              <w:rPr>
                <w:sz w:val="1"/>
                <w:szCs w:val="1"/>
                <w:color w:val="auto"/>
              </w:rPr>
            </w:pPr>
          </w:p>
        </w:tc>
      </w:tr>
      <w:tr>
        <w:trPr>
          <w:trHeight w:val="153"/>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Vesting of stock compensation awards</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607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6"/>
        </w:trPr>
        <w:tc>
          <w:tcPr>
            <w:tcW w:w="228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Tax withholding on vesting of stock</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55"/>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compensation awards</w:t>
            </w:r>
          </w:p>
        </w:tc>
        <w:tc>
          <w:tcPr>
            <w:tcW w:w="8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Dividends to NCI</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81"/>
        </w:trPr>
        <w:tc>
          <w:tcPr>
            <w:tcW w:w="2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119,496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3,003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3,035</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80" w:type="dxa"/>
            <w:vAlign w:val="bottom"/>
            <w:tcBorders>
              <w:top w:val="single" w:sz="8" w:color="CCEEFF"/>
            </w:tcBorders>
            <w:gridSpan w:val="2"/>
            <w:vMerge w:val="continue"/>
          </w:tcPr>
          <w:p>
            <w:pPr>
              <w:spacing w:after="0"/>
              <w:rPr>
                <w:sz w:val="10"/>
                <w:szCs w:val="10"/>
                <w:color w:val="auto"/>
              </w:rPr>
            </w:pPr>
          </w:p>
        </w:tc>
        <w:tc>
          <w:tcPr>
            <w:tcW w:w="84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36</w:t>
            </w:r>
          </w:p>
        </w:tc>
        <w:tc>
          <w:tcPr>
            <w:tcW w:w="0" w:type="dxa"/>
            <w:vAlign w:val="bottom"/>
          </w:tcPr>
          <w:p>
            <w:pPr>
              <w:spacing w:after="0"/>
              <w:rPr>
                <w:sz w:val="1"/>
                <w:szCs w:val="1"/>
                <w:color w:val="auto"/>
              </w:rPr>
            </w:pPr>
          </w:p>
        </w:tc>
      </w:tr>
      <w:tr>
        <w:trPr>
          <w:trHeight w:val="165"/>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112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112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0" w:type="dxa"/>
            <w:vAlign w:val="bottom"/>
          </w:tcPr>
          <w:p>
            <w:pPr>
              <w:spacing w:after="0"/>
              <w:rPr>
                <w:sz w:val="1"/>
                <w:szCs w:val="1"/>
                <w:color w:val="auto"/>
              </w:rPr>
            </w:pPr>
          </w:p>
        </w:tc>
      </w:tr>
      <w:tr>
        <w:trPr>
          <w:trHeight w:val="153"/>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Stock-based compensation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0" w:type="dxa"/>
            <w:vAlign w:val="bottom"/>
          </w:tcPr>
          <w:p>
            <w:pPr>
              <w:spacing w:after="0"/>
              <w:rPr>
                <w:sz w:val="1"/>
                <w:szCs w:val="1"/>
                <w:color w:val="auto"/>
              </w:rPr>
            </w:pPr>
          </w:p>
        </w:tc>
      </w:tr>
      <w:tr>
        <w:trPr>
          <w:trHeight w:val="165"/>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Vesting of stock compensation awards</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587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0"/>
        </w:trPr>
        <w:tc>
          <w:tcPr>
            <w:tcW w:w="2280" w:type="dxa"/>
            <w:vAlign w:val="bottom"/>
            <w:gridSpan w:val="2"/>
          </w:tcPr>
          <w:p>
            <w:pPr>
              <w:spacing w:after="0" w:line="110" w:lineRule="exact"/>
              <w:rPr>
                <w:sz w:val="20"/>
                <w:szCs w:val="20"/>
                <w:color w:val="auto"/>
              </w:rPr>
            </w:pPr>
            <w:r>
              <w:rPr>
                <w:rFonts w:ascii="Times New Roman" w:cs="Times New Roman" w:eastAsia="Times New Roman" w:hAnsi="Times New Roman"/>
                <w:sz w:val="11"/>
                <w:szCs w:val="11"/>
                <w:color w:val="auto"/>
              </w:rPr>
              <w:t>Tax withholding on vesting of stock-based</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51"/>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compensation awards</w:t>
            </w: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Common stock repurchased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(5,356)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0" w:type="dxa"/>
            <w:vAlign w:val="bottom"/>
          </w:tcPr>
          <w:p>
            <w:pPr>
              <w:spacing w:after="0"/>
              <w:rPr>
                <w:sz w:val="1"/>
                <w:szCs w:val="1"/>
                <w:color w:val="auto"/>
              </w:rPr>
            </w:pPr>
          </w:p>
        </w:tc>
      </w:tr>
      <w:tr>
        <w:trPr>
          <w:trHeight w:val="153"/>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Dividends to NCI</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81"/>
        </w:trPr>
        <w:tc>
          <w:tcPr>
            <w:tcW w:w="2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114,512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2,983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3,015</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460" w:top="1279" w:right="459" w:bottom="1440" w:gutter="0" w:footer="0" w:header="0"/>
        </w:sectPr>
      </w:pPr>
    </w:p>
    <w:bookmarkStart w:id="46" w:name="page47"/>
    <w:bookmarkEnd w:id="46"/>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GXO Logistics,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Nature of Operations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GXO Logistics, Inc., together with its subsidiaries (“GXO” or the “Company”), is the largest pure-play contract logistics provider in the world. The Company provides its customers with high-value-added warehousing and distribution, order fulfillment, e-commerce, reverse logistics, and other supply chain services differentiated by its ability to deliver technology-enabled, customized solutions at scale. GXO serves a broad range of customers across various industries, such as e-commerce, omnichannel retail, technology and consumer electronics, food and beverage, industrial and manufacturing, and consumer packaged goods, among others. The Company presents its operations in the Consolidated Financial Statements as one reportable segment.</w:t>
      </w:r>
    </w:p>
    <w:p>
      <w:pPr>
        <w:spacing w:after="0" w:line="16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The Company became a standalone publicly traded company on August 2, 2021, when XPO, Inc. spun off the Company to GXO’s stockholders and GXO’s common stock, par value of $0.01 per share, began trading independently on the New York Stock Exchange under the ticker symbol “GXO”. GXO was incorporated as a Delaware corporation in February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Basis of Presentation and 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Company’s Consolidated Financial Statements include the accounts of GXO Logistics, Inc. and its majority-owned subsidiaries and variable interest entities where the Company is the primary beneficiary. The Company has eliminated intercompany accounts and transactions. Certain amounts reported for prior years have been reclassified to conform to the current year’s presentation.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20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generally accepted accounting principles (“GAAP”) requires the use of estimates, judgments and assumptions that affect the reported amounts in the Consolidated Financial Statements and accompanying notes. The Company bases its estimates and judgments on historical information and on various other assumptions that it believes are reasonable under the circumstances. GAAP requires the Company to make estimates and judgments in several areas, including, but not limited to, those related to revenue recognition, income taxes, loss contingencies, defined benefit plans, valuation of long-lived assets including goodwill and intangible assets and their associated estimated useful lives, collectability of accounts receivable and the fair value of financial instruments. Actual results may vary from those estimates.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Restricted Cash and Cash Equivalents</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Company considers all highly liquid investments with an original maturity of three months or less on the date of purchase to be cash equivalents. Restricted cash relates to deposits in connection with the ordinary conduct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4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color w:val="auto"/>
        </w:rPr>
        <w:t>business. Restricted cash is recorded in Other current assets and Other long-term assets on the Consolidated Balance Sheets.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and Allowance for Credit Losses</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Accounts receivable represents the Company’s unconditional right to receive consideration from its customers. The Company records accounts receivable at the contractual amount and records an allowance for doubtful accounts for the amount it estimates it may not collect. In determining the allowance for doubtful accounts, the Company considers historical collection experience, the age of the accounts receivable balances, the credit quality and risk of its customers, any specific customer collection issues, current economic conditions and other factors that may impact its customers’ ability to pay. The Company writes off accounts receivable balances once the receivables are no longer deemed collectible.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roll forward of the allowance for doubtful accounts was as follows: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2"/>
        </w:trPr>
        <w:tc>
          <w:tcPr>
            <w:tcW w:w="6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center"/>
              <w:ind w:left="909"/>
              <w:spacing w:after="0"/>
              <w:rPr>
                <w:sz w:val="20"/>
                <w:szCs w:val="20"/>
                <w:color w:val="auto"/>
              </w:rPr>
            </w:pPr>
            <w:r>
              <w:rPr>
                <w:rFonts w:ascii="Times New Roman" w:cs="Times New Roman" w:eastAsia="Times New Roman" w:hAnsi="Times New Roman"/>
                <w:sz w:val="14"/>
                <w:szCs w:val="14"/>
                <w:color w:val="auto"/>
                <w:w w:val="99"/>
              </w:rPr>
              <w:t>11</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center"/>
              <w:ind w:left="869"/>
              <w:spacing w:after="0"/>
              <w:rPr>
                <w:sz w:val="20"/>
                <w:szCs w:val="20"/>
                <w:color w:val="auto"/>
              </w:rPr>
            </w:pPr>
            <w:r>
              <w:rPr>
                <w:rFonts w:ascii="Times New Roman" w:cs="Times New Roman" w:eastAsia="Times New Roman" w:hAnsi="Times New Roman"/>
                <w:sz w:val="14"/>
                <w:szCs w:val="14"/>
                <w:color w:val="auto"/>
                <w:w w:val="99"/>
              </w:rPr>
              <w:t>12</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Provisions charged to expense</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center"/>
              <w:ind w:left="909"/>
              <w:spacing w:after="0"/>
              <w:rPr>
                <w:sz w:val="20"/>
                <w:szCs w:val="20"/>
                <w:color w:val="auto"/>
              </w:rPr>
            </w:pPr>
            <w:r>
              <w:rPr>
                <w:rFonts w:ascii="Times New Roman" w:cs="Times New Roman" w:eastAsia="Times New Roman" w:hAnsi="Times New Roman"/>
                <w:sz w:val="14"/>
                <w:szCs w:val="14"/>
                <w:color w:val="auto"/>
                <w:w w:val="99"/>
              </w:rPr>
              <w:t>16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w w:val="99"/>
              </w:rPr>
              <w:t>10</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Write-offs, less recoveries, and foreign exchange translation</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center"/>
              <w:ind w:left="869"/>
              <w:spacing w:after="0"/>
              <w:rPr>
                <w:sz w:val="20"/>
                <w:szCs w:val="20"/>
                <w:color w:val="auto"/>
              </w:rPr>
            </w:pPr>
            <w:r>
              <w:rPr>
                <w:rFonts w:ascii="Times New Roman" w:cs="Times New Roman" w:eastAsia="Times New Roman" w:hAnsi="Times New Roman"/>
                <w:sz w:val="14"/>
                <w:szCs w:val="14"/>
                <w:color w:val="auto"/>
                <w:w w:val="94"/>
              </w:rPr>
              <w:t>(12)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center"/>
              <w:ind w:left="869"/>
              <w:spacing w:after="0"/>
              <w:rPr>
                <w:sz w:val="20"/>
                <w:szCs w:val="20"/>
                <w:color w:val="auto"/>
              </w:rPr>
            </w:pPr>
            <w:r>
              <w:rPr>
                <w:rFonts w:ascii="Times New Roman" w:cs="Times New Roman" w:eastAsia="Times New Roman" w:hAnsi="Times New Roman"/>
                <w:sz w:val="14"/>
                <w:szCs w:val="14"/>
                <w:color w:val="auto"/>
                <w:w w:val="94"/>
              </w:rPr>
              <w:t>(11)</w:t>
            </w: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center"/>
              <w:ind w:left="909"/>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center"/>
              <w:ind w:left="889"/>
              <w:spacing w:after="0"/>
              <w:rPr>
                <w:sz w:val="20"/>
                <w:szCs w:val="20"/>
                <w:color w:val="auto"/>
              </w:rPr>
            </w:pPr>
            <w:r>
              <w:rPr>
                <w:rFonts w:ascii="Times New Roman" w:cs="Times New Roman" w:eastAsia="Times New Roman" w:hAnsi="Times New Roman"/>
                <w:sz w:val="14"/>
                <w:szCs w:val="14"/>
                <w:color w:val="auto"/>
                <w:w w:val="85"/>
              </w:rPr>
              <w:t>11</w:t>
            </w: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202"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Property and equipment, which includes assets recorded under finance leases, are stated at cost less accumulated depreciation or, in the case of property and equipment acquired in a business combination, at fair value at the date of acquisition. Maintenance and repair expenditures are charged to expenses as incurred.</w:t>
      </w:r>
    </w:p>
    <w:p>
      <w:pPr>
        <w:spacing w:after="0" w:line="14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For internally developed computer software, all costs incurred during the planning and evaluation stages are expensed as incurred. Software development costs are capitalized once the preliminary project stage is complete, and it is probable that the project will be completed and the software will be used to perform the intended function.</w:t>
      </w:r>
    </w:p>
    <w:p>
      <w:pPr>
        <w:spacing w:after="0" w:line="145"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Depreciation is computed using the straight-line method over the estimated useful lives of the assets or the remaining lease term, whichever is shorter. Land and assets held within construction in progress are not depreciated.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estimated useful lives of property and equipment are described below:</w:t>
            </w:r>
          </w:p>
        </w:tc>
        <w:tc>
          <w:tcPr>
            <w:tcW w:w="4760" w:type="dxa"/>
            <w:vAlign w:val="bottom"/>
          </w:tcPr>
          <w:p>
            <w:pPr>
              <w:spacing w:after="0"/>
              <w:rPr>
                <w:sz w:val="16"/>
                <w:szCs w:val="16"/>
                <w:color w:val="auto"/>
              </w:rPr>
            </w:pPr>
          </w:p>
        </w:tc>
      </w:tr>
      <w:tr>
        <w:trPr>
          <w:trHeight w:val="202"/>
        </w:trPr>
        <w:tc>
          <w:tcPr>
            <w:tcW w:w="6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71"/>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Buildings</w:t>
            </w:r>
          </w:p>
        </w:tc>
        <w:tc>
          <w:tcPr>
            <w:tcW w:w="80" w:type="dxa"/>
            <w:vAlign w:val="bottom"/>
            <w:shd w:val="clear" w:color="auto" w:fill="CCEEFF"/>
          </w:tcPr>
          <w:p>
            <w:pPr>
              <w:spacing w:after="0"/>
              <w:rPr>
                <w:sz w:val="14"/>
                <w:szCs w:val="14"/>
                <w:color w:val="auto"/>
              </w:rPr>
            </w:pPr>
          </w:p>
        </w:tc>
        <w:tc>
          <w:tcPr>
            <w:tcW w:w="4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 years</w:t>
            </w:r>
          </w:p>
        </w:tc>
      </w:tr>
      <w:tr>
        <w:trPr>
          <w:trHeight w:val="18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Shorter of useful life or term of lease</w:t>
            </w:r>
          </w:p>
        </w:tc>
      </w:tr>
      <w:tr>
        <w:trPr>
          <w:trHeight w:val="191"/>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Warehouse equipment, fleet and other</w:t>
            </w:r>
          </w:p>
        </w:tc>
        <w:tc>
          <w:tcPr>
            <w:tcW w:w="4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 to 15 years</w:t>
            </w:r>
          </w:p>
        </w:tc>
      </w:tr>
      <w:tr>
        <w:trPr>
          <w:trHeight w:val="18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 and automated systems</w:t>
            </w: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 to 15 years</w:t>
            </w:r>
          </w:p>
        </w:tc>
      </w:tr>
      <w:tr>
        <w:trPr>
          <w:trHeight w:val="184"/>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4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 to 5 years</w:t>
            </w:r>
          </w:p>
        </w:tc>
      </w:tr>
      <w:tr>
        <w:trPr>
          <w:trHeight w:val="184"/>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Internal-use software</w:t>
            </w: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 to 5 years</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entered into noncancelable operating and finance leases primarily for real estate and warehouse equipment. The Company determines whether an arrangement is a lease at inception and, if so, whether that lease meets the classification criteria for a finance or an operating lease at the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48" w:name="page49"/>
    <w:bookmarkEnd w:id="48"/>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For leases with terms greater than 12 months, the Company recognizes lease assets and lease liabilities at lease commencement based on the present value of lease payments over the lease term. For most of the Company’s leases, the implicit rate cannot be readily determined and, as a result, the Company uses the incremental borrowing rates at the commencement date to determine the present value of future lease payments.</w:t>
      </w:r>
    </w:p>
    <w:p>
      <w:pPr>
        <w:spacing w:after="0" w:line="15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For leases that include fixed rental payments for both the use of the asset (“lease costs”) as well as for other occupancy or service costs relating to the asset (“non-lease costs”), the Company generally includes both the lease costs and non-lease costs as a single lease component in the measurement of the lease asset and lease liability. Certain lease agreements include rental payments based on changes in the consumer price index (“CPI”) or fair market value. Lease liabilities are not remeasured due to changes in the CPI or fair market value; instead, such changes are treated as variable costs and are excluded from the measurement of the right-of-use asset and lease liability. These payments are recognized in the period in which the related obligation is incurred.</w:t>
      </w:r>
    </w:p>
    <w:p>
      <w:pPr>
        <w:spacing w:after="0" w:line="16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Lease agreements may include rent escalation clauses, renewal or termination options, rent holidays, and certain landlord incentives, such as tenant improvement allowances. Lease expense is recognized on a straight-line basis over the noncancelable lease term and renewal periods that are considered reasonably certain. Incentives received from a landlord are included as a reduction to the lease asset and are included within operating activities on the Consolidated Statement of Cash Flows.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w:t>
      </w:r>
    </w:p>
    <w:p>
      <w:pPr>
        <w:spacing w:after="0" w:line="2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Company records goodwill as the excess of the consideration transferred over the fair value of net assets acquired in business combinations. Goodwill is tested for impairment at the reporting unit level, which is an operating segment, or one level below. The Company has three reporting units: i) Americas and Asia-Pacific, ii) United Kingdom and Ireland and iii) Continental Europe. The Company measures goodwill impairment, if any, as the amount by which the carrying amount of the reporting unit exceeds its fair value, not to exceed the carrying amount of goodwill.</w:t>
      </w:r>
    </w:p>
    <w:p>
      <w:pPr>
        <w:spacing w:after="0" w:line="15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The Company performed its annual goodwill impairment test on November 1. The review of goodwill impairment consists of either using a qualitative approach to determine whether it is more likely than not that the fair value of the assets is less than their respective carrying values or a one-step quantitative impairment test. In performing the qualitative assessment, the Company considers many factors in evaluating whether the carrying value of goodwill may not be recoverable, including declines in the Company’s stock price, market capitalization of the Company and macroeconomic conditions. If, based on the results of the qualitative assessment, it is concluded that it is not more likely than not that the fair value of a reporting unit exceeds its carrying value, additional quantitative impairment testing is performed. The quantitative test requires that the carrying value of each reporting unit be compared with its estimated fair value. If the carrying value of a reporting unit is greater than its fair value, a goodwill impairment charge will be recorded for the difference (up to the carrying value of goodwill). The Company uses the income approach and/or a market-based approach to determine the reporting units’ fair values. The determination of discounted cash flows used in the income approach requires significant estimates and assumptions. Due to the inherent uncertainty involved in making these estimates, actual results could differ from those estimates.</w:t>
      </w:r>
    </w:p>
    <w:p>
      <w:pPr>
        <w:spacing w:after="0" w:line="17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Company’s intangible assets consist of customer relationships, trade names, trademarks, and developed technology which are amortized on a straight-line basis or over the period the economic benefits are expected to be realized. The Company reviews its intangible assets for impairment whenever events or changes in circumstances indicate that the carrying amount of the assets may not be recoverable.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Company reviews long-lived assets to be held-and-used for impairment whenever events or changes in circumstances indicate that the carrying amount of the assets may not be recoverable. If an impairment indicator is present, the Company evaluates recoverability by comparing the carrying amount of the asset group to the sum of the undiscounted expected future cash flows over the remaining useful life of a long-lived asset group. If the assets are impaired, an impairment loss is measured as the amount by which the carrying amount of the asset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color w:val="auto"/>
        </w:rPr>
        <w:t>exceeds the fair value of the asset. The Company estimates fair value using the expected future cash flows discounted at a rate consistent with the risks associated with the recovery of the asset.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assets held for sale, to the extent the carrying amount is greater than the asset’s fair value less costs to sell, an impairment loss is recognized for the difference.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Company generates revenue by providing logistics services for its customers, including warehousing and distribution, order fulfillment, reverse logistics, packaging and labeling, factory and aftermarket support and inventory management ranging from a few months to a few years. Generally, the Company’s contracts provide the customer an integrated service that includes two or more services, including but not limited to facility and equipment costs, construction, repair and maintenance services and labor. For these contracts, the Company does not consider the services to be distinct within the context of the contract when the separate scopes of work combine into a single commercial objective or capability for the customer. Accordingly, the Company generally identifies one performance obligation in its contracts, which is a series of distinct services that remain substantially the same over time and possess the same pattern of transfer.</w:t>
      </w:r>
    </w:p>
    <w:p>
      <w:pPr>
        <w:spacing w:after="0" w:line="16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Revenue is recognized using the series guidance over the period in which services are provided under the terms of the Company’s contractual relationships with its customers. The transaction price is based on the amount specified in the contract with the customer and contains fixed and variable consideration. In general, the fixed consideration in a contract represents reimbursement for warehouse, technology and equipment costs incurred to satisfy the performance obligation and is recognized on a straight-line basis over the term of the contract. The variable consideration is comprised of cost reimbursement based on the costs incurred, per-unit pricing is determined based on units provided and time and materials pricing is based on the hours of services provided. The variable consideration component is recognized over time based on the level of activity. Generally, pricing can be adjusted based on contractual provisions related to achieving agreed-upon performance metrics, changes in volumes, services and market conditions. Revenue relating to these pricing adjustments is estimated and included in the consideration if it is probable that a significant revenue reversal will not occur in the future. The estimate of variable consideration is determined by the expected value or most likely amount method and factors in current, past and forecasted experience with the customer. Customers are billed based on terms specified in the revenue contract and they pay us according to approved payment terms.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Assets and Liabilities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Contract assets consist of two components: customer acquisition costs and costs to fulfill a contract. The Company capitalizes direct and incremental costs incurred to obtain and to fulfill a contract in advance of revenue recognition, such as certain labor, third-party service and related product costs. These costs are recognized as an asset if the Company expects to recover them. Contract assets are recognized consistent with the transfer of the underlying performance obligations to the customer based on the specific contracts to which they relate. Contract assets are amortized to Direct operating expense in the Consolidated Statements of Operations over the contract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Contract liabilities represent the Company’s obligation to transfer services to a customer for which the Company has received consideration or the amount that is due from the customer.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Instruments</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Company records all its derivative financial instruments on the Consolidated Balance Sheets as assets or liabilities measured at fair value. For derivatives designated as a hedge, and effective as part of a hedge transaction, the effective portion of the gain or loss on the hedging derivative instrument is reported as a component of other comprehensive income or as a basis adjustment to the underlying hedged item and reclassified to earnings in the year in which the hedged item affects earnings. The effective portion of the gain or loss on hedges of foreign net investments is generally not reclassified to earnings unless the net investment is disposed. To the extent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color w:val="auto"/>
        </w:rPr>
        <w:t>do not qualify or are not designated as hedges, or are ineffective, their changes in fair value are recorded in earnings immediately, which may subject the Company to increased earnings volatility.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Company accounts for stock-based compensation based on the equity instrument’s grant date fair value. Stock compensation expense is recognized over the requisite service period of the award, based on the grant date fair value, which is generally the vesting term. For grants of stock options, the Company determines the fair value based on the Black-Scholes option-pricing model. For grants of restricted stock units (“RSU”) subject to service-based vesting conditions, the Company establishes the fair value based on the market price on the date of the grant. For grants of awards subject to both market-based and performance-based vesting conditions (“PSU”), the Company determines the fair value based on a Monte Carlo simulation model. The Company accounts for forfeitures as they occur.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Earnings per Share</w:t>
      </w:r>
    </w:p>
    <w:p>
      <w:pPr>
        <w:spacing w:after="0" w:line="202"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Basic earnings per share (“EPS”) is based upon net earnings available to common stockholders divided by the weighted average number of common shares outstanding during the period. Diluted earnings per share is computed by giving effect to all potentially dilutive stock awards that were outstanding. The computation of diluted earnings per share excludes the effect of the potential exercise of stock-based awards when the effect of the potential exercise would be anti-dilutive. Anti-dilutive shares were immaterial for the years ended December 31, 2025, 2024 and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Benefit Plans</w:t>
      </w:r>
    </w:p>
    <w:p>
      <w:pPr>
        <w:spacing w:after="0" w:line="202"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4"/>
          <w:szCs w:val="14"/>
          <w:color w:val="auto"/>
        </w:rPr>
        <w:t>The Company calculates its employer-sponsored retirement plan obligations using various actuarial assumptions and methodologies. Assumptions include discount rates, expected long-term rate of return on plan assets, mortality rates and other factors. The assumptions used in recording the projected benefit obligation and fair value of plan assets represent the Company’s best estimates based on available information regarding historical experience and factors that may cause future expectations to differ. The Company’s obligation and future expense amounts could be materially impacted by differences in experience or changes in assumptions.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determines the net periodic benefit cost of the plans using assumptions regarding the projected benefit obligation and the fair value of the plan assets as of the beginning of the year. Net periodic benefit cost is recorded in Other income, net in the Consolidated Statement of Operations. The Company calculates the funded status of the defined benefit plan as the difference between the projected benefit obligation and the fair value of the plan assets.</w:t>
      </w:r>
    </w:p>
    <w:p>
      <w:pPr>
        <w:spacing w:after="0" w:line="15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impact of plan amendments, actuarial gains and losses and prior-service costs are recorded in AOCIL and are generally amortized as a component of net periodic benefit cost over the remaining service period of the active employees covered by the defined benefit pension plans. Cumulative gains and losses over 10% of the greater of the beginning of year benefit obligation or fair value of the plan assets are amortized over the expected average life expectancy.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0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color w:val="auto"/>
        </w:rPr>
        <w:t>The Company accounts for income taxes using the asset and liability method on a legal entity and jurisdictional basis, under which the Company recognizes the amount of taxes payable or refundable for the current year and deferred tax assets and liabilities for the future tax consequences of events that have been recognized in the Consolidated Financial Statements or tax returns. The calculation of the annual effective tax rate relies on several factors including pre-tax earnings, various jurisdiction statutory tax rates, tax credits, uncertain tax positions, valuation allowances and differences between tax laws and accounting laws. The effective tax rate in any financial statement period may be materially impacted by changes in the blend and/or level of earnings by individual taxing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1" w:name="page52"/>
    <w:bookmarkEnd w:id="51"/>
    <w:p>
      <w:pPr>
        <w:ind w:right="240"/>
        <w:spacing w:after="0" w:line="270" w:lineRule="auto"/>
        <w:rPr>
          <w:sz w:val="20"/>
          <w:szCs w:val="20"/>
          <w:color w:val="auto"/>
        </w:rPr>
      </w:pPr>
      <w:r>
        <w:rPr>
          <w:rFonts w:ascii="Times New Roman" w:cs="Times New Roman" w:eastAsia="Times New Roman" w:hAnsi="Times New Roman"/>
          <w:sz w:val="14"/>
          <w:szCs w:val="14"/>
          <w:color w:val="auto"/>
        </w:rPr>
        <w:t>If the Company considers that a tax position is more likely than not to be sustained upon audit, based solely on the technical merits of the position, presuming an examination by a taxing authority with full knowledge of all relevant information, the Company recognizes all or a portion of the benefit. Valuation allowances are established when it is more likely than not that the Company’s deferred tax assets will not be realized based on all available evidence.</w:t>
      </w:r>
    </w:p>
    <w:p>
      <w:pPr>
        <w:spacing w:after="0" w:line="15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 uses judgments and estimates in evaluating its tax positions. The Company’s tax returns are subject to examination by U.S. Federal, state and local and foreign taxing jurisdictions. The Company regularly assesses the potential outcomes of these examinations and any future examinations for the current or prior years. The Company recognizes tax benefits from uncertain tax positions only if based on the technical merits of the position it is more likely than not that the tax positions will be sustained upon audit. The Company adjusts these tax liabilities, including related interest and penalties, based on the current facts and circumstances. The Company reports tax-related interest and penalties as a component of income tax expense.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 and Transactions</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assets and liabilities of the Company’s foreign subsidiaries that use their local currency as their functional currency are translated to U.S. dollars (“USD”) using the exchange rate prevailing at each balance sheet date, with balance sheet currency translation adjustments recorded in AOCIL in the Consolidated Balance Sheets. The Company converts foreign currency transactions recognized in the Consolidated Statements of Operations to USD by applying the exchange rate prevailing on the date of the transaction. Gains and losses arising from foreign currency transactions and the effects of remeasuring monetary assets and liabilities are recorded in Other income, net in the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Adoption of New Accounting Standards</w:t>
      </w:r>
    </w:p>
    <w:p>
      <w:pPr>
        <w:spacing w:after="0" w:line="202"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14"/>
          <w:szCs w:val="14"/>
          <w:color w:val="auto"/>
        </w:rPr>
        <w:t>In December 2023, the Financial Accounting Standards Board (“FASB”) issued ASU 2023-09, Income Taxes (Topic 740): Improvements to Income Tax Disclosures, which provides for expanded disclosures primarily related to income taxes paid and the rate reconciliation. The amendments are effective prospectively for annual periods beginning after December 15, 2024. The ASU 2023-09 did not have a material impact on the Company’s results of operations, financial position or cash flows, other than additional disclosure requirements. The Company has retrospectively adopted and presented comparative periods in conformity with the new standard. See Note 17. “Income Taxes.”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Pronouncements Issued But Not Yet Adopted</w:t>
      </w:r>
    </w:p>
    <w:p>
      <w:pPr>
        <w:spacing w:after="0" w:line="20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 - Reporting Comprehensive Income - Expense Disaggregation Disclosures (Subtopic 220-40): Disaggregation of Income Statement Expenses. This standard requires all public companies to disclose more detailed information about certain costs and expenses in the notes to the financial statements at interim and annual reporting periods. This standard is effective for annual reporting periods beginning after December 15, 2026, with early adoption permitted. The Company does not expect this standard to have a material impact on its results of operations, financial position or cash flows, and is currently evaluating the impact of adopting this standard on its disclosures.</w:t>
      </w:r>
    </w:p>
    <w:p>
      <w:pPr>
        <w:spacing w:after="0" w:line="16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In September 2025, the FASB issued ASU 2025-06, Intangibles- Goodwill and Other- Internal-Use Software (Subtopic 350-40): Targeted Improvements to the Accounting for Internal-Use Software. The amendments in this Update remove all references to prescriptive and sequential software development stages (referred to as “project stages”) throughout Subtopic 350-40. Therefore, an entity is required to start capitalizing software costs when certain capitalization criteria are met. The ASU also supersedes guidance on website development costs. The amendments are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of this standard on its results of operations, financial position or cash flows, and the impact of adopting this standard on its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color w:val="auto"/>
        </w:rPr>
        <w:t>3. Revenue Recognition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disaggregated by geographical area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3,664</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Netherlands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France</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Spain</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Italy</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13,178</w:t>
            </w:r>
          </w:p>
        </w:tc>
        <w:tc>
          <w:tcPr>
            <w:tcW w:w="8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11,709</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9,778</w:t>
            </w: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revenue can also be disaggregated by various verticals, reflecting the customers’ principal industry. Revenue disaggregated by industry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Omnichannel retail</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6,406</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0" w:type="dxa"/>
            <w:vAlign w:val="bottom"/>
          </w:tcPr>
          <w:p>
            <w:pPr>
              <w:spacing w:after="0"/>
              <w:rPr>
                <w:sz w:val="1"/>
                <w:szCs w:val="1"/>
                <w:color w:val="auto"/>
              </w:rPr>
            </w:pP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 and consumer electronics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Industrial and manufacturing</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0" w:type="dxa"/>
            <w:vAlign w:val="bottom"/>
          </w:tcPr>
          <w:p>
            <w:pPr>
              <w:spacing w:after="0"/>
              <w:rPr>
                <w:sz w:val="1"/>
                <w:szCs w:val="1"/>
                <w:color w:val="auto"/>
              </w:rPr>
            </w:pP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Food and beverage</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packaged goods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11,709</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contract asset and contract liability balances from contracts with customers were as follows: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1"/>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assets and contract costs included in:</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 current assets</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long-term assets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contract assets</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0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Contract liabilities included in:</w:t>
            </w: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contract liabilities</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Revenue recognized included the following:</w:t>
            </w: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4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included in the beginning of year contract liability balance</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4. Segment Information</w:t>
      </w:r>
    </w:p>
    <w:p>
      <w:pPr>
        <w:spacing w:after="0" w:line="20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Company is organized geographically into three operating segments: i) Americas and Asia-Pacific, ii) United Kingdom and Ireland, and iii) Continental Europe. The Company’s reporting unit results are regularly provided to the chief operating decision maker (“CODM”). The CODM is our Chief Executive Officer, who assesses the Company’s performance and allocates resources.</w:t>
      </w:r>
    </w:p>
    <w:p>
      <w:pPr>
        <w:spacing w:after="0" w:line="1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CODM evaluates the Company’s performance and allocates resources primarily based on adjusted earnings before interest, taxes, depreciation and amortization, adjusted for transaction and integration costs, restructuring costs and other, regulatory matter and litigation expense, net loss on divestiture of business, and unrealized gain/loss on foreign currency contracts (“Adjusted EBITDA”). The CODM uses Adjusted EBITDA to communicate performance targets to the segment managers, allocate resources to the segments, and to monitor segment performance. Additionally, the CODM considers the performance of this measure against planned and forecasted amounts to make investing and resource allocation decisions. The actual results are used in assessing performance of the Company and in establishing management’s compensation.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disclosure purposes, we aggregate these three operating segments into one reportable segment due to the similar nature of their operations and economic characteristics.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Company’s segment results were as follows: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2"/>
        </w:trPr>
        <w:tc>
          <w:tcPr>
            <w:tcW w:w="6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13,178</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11,709</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9,778</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 operating expense</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8,035</w:t>
            </w:r>
          </w:p>
        </w:tc>
      </w:tr>
      <w:tr>
        <w:trPr>
          <w:trHeight w:val="180"/>
        </w:trPr>
        <w:tc>
          <w:tcPr>
            <w:tcW w:w="64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Selling, general and administrative expense</w:t>
            </w:r>
            <w:r>
              <w:rPr>
                <w:rFonts w:ascii="Times New Roman" w:cs="Times New Roman" w:eastAsia="Times New Roman" w:hAnsi="Times New Roman"/>
                <w:sz w:val="18"/>
                <w:szCs w:val="18"/>
                <w:color w:val="auto"/>
                <w:vertAlign w:val="superscript"/>
              </w:rPr>
              <w:t>(1)</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w:t>
            </w:r>
          </w:p>
        </w:tc>
      </w:tr>
      <w:tr>
        <w:trPr>
          <w:trHeight w:val="180"/>
        </w:trPr>
        <w:tc>
          <w:tcPr>
            <w:tcW w:w="6400" w:type="dxa"/>
            <w:vAlign w:val="bottom"/>
            <w:tcBorders>
              <w:bottom w:val="single" w:sz="8" w:color="CCEEFF"/>
            </w:tcBorders>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 (income) expense, net</w:t>
            </w:r>
            <w:r>
              <w:rPr>
                <w:rFonts w:ascii="Times New Roman" w:cs="Times New Roman" w:eastAsia="Times New Roman" w:hAnsi="Times New Roman"/>
                <w:sz w:val="18"/>
                <w:szCs w:val="18"/>
                <w:color w:val="auto"/>
                <w:vertAlign w:val="superscript"/>
              </w:rPr>
              <w:t>(2)(4)</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Adjusted EBITDA</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64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Corporate expenses</w:t>
            </w:r>
            <w:r>
              <w:rPr>
                <w:rFonts w:ascii="Times New Roman" w:cs="Times New Roman" w:eastAsia="Times New Roman" w:hAnsi="Times New Roman"/>
                <w:sz w:val="18"/>
                <w:szCs w:val="18"/>
                <w:color w:val="auto"/>
                <w:vertAlign w:val="superscript"/>
              </w:rPr>
              <w:t>(3)</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expense</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 acquired</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costs and other</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Regulatory matter and litigation expense</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on divestiture of business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64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Unrealized (gain) loss on foreign currency contracts</w:t>
            </w:r>
            <w:r>
              <w:rPr>
                <w:rFonts w:ascii="Times New Roman" w:cs="Times New Roman" w:eastAsia="Times New Roman" w:hAnsi="Times New Roman"/>
                <w:sz w:val="18"/>
                <w:szCs w:val="18"/>
                <w:color w:val="auto"/>
                <w:vertAlign w:val="superscript"/>
              </w:rPr>
              <w:t>(4)</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60" w:hanging="155"/>
        <w:spacing w:after="0"/>
        <w:tabs>
          <w:tab w:leader="none" w:pos="16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Excludes unallocated corporate expenses.</w:t>
      </w:r>
    </w:p>
    <w:p>
      <w:pPr>
        <w:spacing w:after="0" w:line="12"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(income) expense, net excluding unrealized (gain) loss on foreign currency contracts.</w:t>
      </w:r>
    </w:p>
    <w:p>
      <w:pPr>
        <w:spacing w:after="0" w:line="8"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Corporate expenses include unallocated costs related to corporate functions such as salaries and benefits, rent, and professional fees which are recorded in Selling, general and administrative expenses in the Consolidated Statements of Operations.</w:t>
      </w:r>
    </w:p>
    <w:p>
      <w:pPr>
        <w:spacing w:after="0" w:line="1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Other income/expense, net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i w:val="1"/>
          <w:iCs w:val="1"/>
          <w:color w:val="auto"/>
        </w:rPr>
        <w:t>Long-lived assets geographic information</w:t>
      </w:r>
    </w:p>
    <w:p>
      <w:pPr>
        <w:spacing w:after="0" w:line="202"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4"/>
          <w:szCs w:val="14"/>
          <w:color w:val="auto"/>
        </w:rPr>
        <w:t>The Company’s long-lived assets for this disclosure are defined as Property and equipment, net of accumulated depreciation, plus operating lease assets. The Company’s long-lived assets by geographic region were as follows:</w:t>
      </w: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w:t>
            </w:r>
          </w:p>
        </w:tc>
      </w:tr>
      <w:tr>
        <w:trPr>
          <w:trHeight w:val="180"/>
        </w:trPr>
        <w:tc>
          <w:tcPr>
            <w:tcW w:w="80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Europe</w:t>
            </w:r>
            <w:r>
              <w:rPr>
                <w:rFonts w:ascii="Times New Roman" w:cs="Times New Roman" w:eastAsia="Times New Roman" w:hAnsi="Times New Roman"/>
                <w:sz w:val="18"/>
                <w:szCs w:val="18"/>
                <w:color w:val="auto"/>
                <w:vertAlign w:val="superscript"/>
              </w:rPr>
              <w:t>(1)</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r>
      <w:tr>
        <w:trPr>
          <w:trHeight w:val="18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w:t>
            </w:r>
          </w:p>
        </w:tc>
      </w:tr>
      <w:tr>
        <w:trPr>
          <w:trHeight w:val="180"/>
        </w:trPr>
        <w:tc>
          <w:tcPr>
            <w:tcW w:w="8060" w:type="dxa"/>
            <w:vAlign w:val="bottom"/>
            <w:tcBorders>
              <w:bottom w:val="single" w:sz="8" w:color="CCEEFF"/>
            </w:tcBorders>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(2)</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96"/>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60" w:hanging="155"/>
        <w:spacing w:after="0"/>
        <w:tabs>
          <w:tab w:leader="none" w:pos="16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Europe exclusive of the United Kingdom.</w:t>
      </w:r>
    </w:p>
    <w:p>
      <w:pPr>
        <w:spacing w:after="0" w:line="12"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Asia, Latin America and Canada.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Acquisition and Divestiture</w:t>
      </w:r>
    </w:p>
    <w:p>
      <w:pPr>
        <w:spacing w:after="0" w:line="202"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On April 29, 2024, the Company completed the acquisition of Wincanton plc (now “Wincanton Limited”) for a total consideration of £762 million ($958 million as of the acquisition date) (the “Wincanton Acquisition”). The Wincanton Acquisition was subject to review by the U.K. Competition and Markets Authority (the “CMA”).</w:t>
      </w:r>
    </w:p>
    <w:p>
      <w:pPr>
        <w:spacing w:after="0" w:line="14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On June 19, 2025, the CMA approved the Wincanton Acquisition, subject to the divestment of certain grocery contracts in the U.K. (the “Wincanton Divestment”). In the fourth quarter of 2025, the Company met the held-for-sale criteria for the anticipated Wincanton Divestment and recorded a $37 million write-down loss, including $4 million of goodwill, $21 million of customer relationships, and $12 million fair value adjustment. Assets and liabilities held for sale were not material and are included in Other current assets and Other current liabilities, respectively, in the Consolidated Balance Sheets. The Company expects to complete the Wincanton Divestment in 2026.</w:t>
      </w:r>
    </w:p>
    <w:p>
      <w:pPr>
        <w:spacing w:after="0" w:line="16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In connection with the Wincanton Acquisition, the Company incurred transaction costs of $48 million and $61 million for the years ended December 31, 2025 and 2024, respectively, which were included in Transaction and integration costs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color w:val="auto"/>
        </w:rPr>
        <w:t>The final fair value of assets acquired and liabilities assumed at the acquisition date was: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wp:posOffset>
            </wp:positionV>
            <wp:extent cx="7148195" cy="1143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7148195" cy="1079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3"/>
          <w:szCs w:val="13"/>
          <w:color w:val="auto"/>
        </w:rPr>
        <w:t>Accounts receivable</w:t>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7148195" cy="1079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3"/>
          <w:szCs w:val="13"/>
          <w:b w:val="1"/>
          <w:bCs w:val="1"/>
          <w:color w:val="auto"/>
        </w:rPr>
        <w:t>Total current assets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-92710</wp:posOffset>
            </wp:positionV>
            <wp:extent cx="7148195" cy="1079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Property and equipment</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Operating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7148195" cy="1079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3"/>
          <w:szCs w:val="13"/>
          <w:color w:val="auto"/>
        </w:rPr>
        <w:t>Intangible assets</w:t>
      </w:r>
      <w:r>
        <w:rPr>
          <w:rFonts w:ascii="Times New Roman" w:cs="Times New Roman" w:eastAsia="Times New Roman" w:hAnsi="Times New Roman"/>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-8255</wp:posOffset>
            </wp:positionV>
            <wp:extent cx="7148195" cy="1079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3"/>
          <w:szCs w:val="13"/>
          <w:color w:val="auto"/>
        </w:rPr>
        <w:t>Other long-term assets</w:t>
      </w:r>
    </w:p>
    <w:p>
      <w:pPr>
        <w:spacing w:after="0" w:line="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color w:val="auto"/>
        </w:rPr>
        <w:t>Total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20955</wp:posOffset>
            </wp:positionV>
            <wp:extent cx="7148195" cy="1282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48195" cy="128270"/>
                    </a:xfrm>
                    <a:prstGeom prst="rect">
                      <a:avLst/>
                    </a:prstGeom>
                    <a:noFill/>
                  </pic:spPr>
                </pic:pic>
              </a:graphicData>
            </a:graphic>
          </wp:anchor>
        </w:drawing>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b w:val="1"/>
          <w:bCs w:val="1"/>
          <w:color w:val="auto"/>
        </w:rPr>
        <w:t>Total assets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-92710</wp:posOffset>
            </wp:positionV>
            <wp:extent cx="7148195" cy="1079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Accounts payable</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7148195" cy="1079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3"/>
          <w:szCs w:val="13"/>
          <w:color w:val="auto"/>
        </w:rPr>
        <w:t>Current debt</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7148195" cy="1079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3"/>
          <w:szCs w:val="13"/>
          <w:color w:val="auto"/>
        </w:rPr>
        <w:t>Other current liabilities</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-92710</wp:posOffset>
            </wp:positionV>
            <wp:extent cx="7148195" cy="1143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Long-term liabilities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7148195" cy="107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3"/>
          <w:szCs w:val="13"/>
          <w:color w:val="auto"/>
        </w:rPr>
        <w:t>Long-term operating lease liabilities</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7148195" cy="1079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1" w:lineRule="exact"/>
        <w:rPr>
          <w:sz w:val="1"/>
          <w:szCs w:val="1"/>
          <w:color w:val="auto"/>
        </w:rPr>
      </w:pPr>
    </w:p>
    <w:tbl>
      <w:tblPr>
        <w:tblLayout w:type="fixed"/>
        <w:tblInd w:w="4" w:type="dxa"/>
        <w:tblCellMar>
          <w:top w:w="0" w:type="dxa"/>
          <w:left w:w="0" w:type="dxa"/>
          <w:bottom w:w="0" w:type="dxa"/>
          <w:right w:w="0" w:type="dxa"/>
        </w:tblCellMar>
      </w:tblPr>
      <w:tr>
        <w:trPr>
          <w:trHeight w:val="165"/>
        </w:trPr>
        <w:tc>
          <w:tcPr>
            <w:tcW w:w="720" w:type="dxa"/>
            <w:vAlign w:val="bottom"/>
          </w:tcPr>
          <w:p>
            <w:pPr>
              <w:jc w:val="right"/>
              <w:ind w:right="60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bl>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238</w:t>
      </w:r>
    </w:p>
    <w:p>
      <w:pPr>
        <w:spacing w:after="0" w:line="2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99695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996950" cy="6985"/>
                    </a:xfrm>
                    <a:prstGeom prst="rect">
                      <a:avLst/>
                    </a:prstGeom>
                    <a:noFill/>
                  </pic:spPr>
                </pic:pic>
              </a:graphicData>
            </a:graphic>
          </wp:anchor>
        </w:drawing>
      </w:r>
    </w:p>
    <w:p>
      <w:pPr>
        <w:spacing w:after="0" w:line="1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393</w:t>
      </w:r>
    </w:p>
    <w:p>
      <w:pPr>
        <w:spacing w:after="0" w:line="19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128</w:t>
      </w:r>
    </w:p>
    <w:p>
      <w:pPr>
        <w:spacing w:after="0" w:line="2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177</w:t>
      </w:r>
    </w:p>
    <w:p>
      <w:pPr>
        <w:spacing w:after="0" w:line="2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532</w:t>
      </w:r>
    </w:p>
    <w:p>
      <w:pPr>
        <w:spacing w:after="0" w:line="2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99695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996950" cy="6985"/>
                    </a:xfrm>
                    <a:prstGeom prst="rect">
                      <a:avLst/>
                    </a:prstGeom>
                    <a:noFill/>
                  </pic:spPr>
                </pic:pic>
              </a:graphicData>
            </a:graphic>
          </wp:anchor>
        </w:drawing>
      </w:r>
    </w:p>
    <w:p>
      <w:pPr>
        <w:spacing w:after="0" w:line="1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989</w:t>
      </w:r>
    </w:p>
    <w:p>
      <w:pPr>
        <w:spacing w:after="0" w:line="31" w:lineRule="exact"/>
        <w:rPr>
          <w:sz w:val="20"/>
          <w:szCs w:val="20"/>
          <w:color w:val="auto"/>
        </w:rPr>
      </w:pPr>
    </w:p>
    <w:p>
      <w:pPr>
        <w:ind w:left="1224" w:hanging="1224"/>
        <w:spacing w:after="0"/>
        <w:tabs>
          <w:tab w:leader="none" w:pos="122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40640</wp:posOffset>
            </wp:positionV>
            <wp:extent cx="99695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996950" cy="6985"/>
                    </a:xfrm>
                    <a:prstGeom prst="rect">
                      <a:avLst/>
                    </a:prstGeom>
                    <a:noFill/>
                  </pic:spPr>
                </pic:pic>
              </a:graphicData>
            </a:graphic>
          </wp:anchor>
        </w:drawing>
      </w:r>
    </w:p>
    <w:p>
      <w:pPr>
        <w:spacing w:after="0" w:line="373" w:lineRule="exact"/>
        <w:rPr>
          <w:sz w:val="20"/>
          <w:szCs w:val="20"/>
          <w:color w:val="auto"/>
        </w:rPr>
      </w:pPr>
    </w:p>
    <w:tbl>
      <w:tblPr>
        <w:tblLayout w:type="fixed"/>
        <w:tblInd w:w="4" w:type="dxa"/>
        <w:tblCellMar>
          <w:top w:w="0" w:type="dxa"/>
          <w:left w:w="0" w:type="dxa"/>
          <w:bottom w:w="0" w:type="dxa"/>
          <w:right w:w="0" w:type="dxa"/>
        </w:tblCellMar>
      </w:tblPr>
      <w:tr>
        <w:trPr>
          <w:trHeight w:val="165"/>
        </w:trPr>
        <w:tc>
          <w:tcPr>
            <w:tcW w:w="720" w:type="dxa"/>
            <w:vAlign w:val="bottom"/>
          </w:tcPr>
          <w:p>
            <w:pPr>
              <w:jc w:val="right"/>
              <w:ind w:right="60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bl>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293</w:t>
      </w:r>
    </w:p>
    <w:p>
      <w:pPr>
        <w:spacing w:after="0" w:line="2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147</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99695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996950" cy="6985"/>
                    </a:xfrm>
                    <a:prstGeom prst="rect">
                      <a:avLst/>
                    </a:prstGeom>
                    <a:noFill/>
                  </pic:spPr>
                </pic:pic>
              </a:graphicData>
            </a:graphic>
          </wp:anchor>
        </w:drawing>
      </w:r>
    </w:p>
    <w:p>
      <w:pPr>
        <w:spacing w:after="0" w:line="17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215</w:t>
      </w:r>
    </w:p>
    <w:p>
      <w:pPr>
        <w:spacing w:after="0" w:line="2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136</w:t>
      </w:r>
    </w:p>
    <w:p>
      <w:pPr>
        <w:spacing w:after="0" w:line="2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240</w:t>
      </w:r>
    </w:p>
    <w:p>
      <w:pPr>
        <w:spacing w:after="0" w:line="16" w:lineRule="exact"/>
        <w:rPr>
          <w:sz w:val="20"/>
          <w:szCs w:val="20"/>
          <w:color w:val="auto"/>
        </w:rPr>
      </w:pPr>
    </w:p>
    <w:p>
      <w:pPr>
        <w:sectPr>
          <w:pgSz w:w="11900" w:h="16838" w:orient="portrait"/>
          <w:cols w:equalWidth="0" w:num="2">
            <w:col w:w="8996" w:space="720"/>
            <w:col w:w="1564"/>
          </w:cols>
          <w:pgMar w:left="300" w:top="1143" w:right="319" w:bottom="1440" w:gutter="0" w:footer="0" w:header="0"/>
        </w:sectPr>
      </w:pPr>
    </w:p>
    <w:tbl>
      <w:tblPr>
        <w:tblLayout w:type="fixed"/>
        <w:tblInd w:w="20" w:type="dxa"/>
        <w:tblCellMar>
          <w:top w:w="0" w:type="dxa"/>
          <w:left w:w="0" w:type="dxa"/>
          <w:bottom w:w="0" w:type="dxa"/>
          <w:right w:w="0" w:type="dxa"/>
        </w:tblCellMar>
      </w:tblPr>
      <w:tr>
        <w:trPr>
          <w:trHeight w:val="165"/>
        </w:trPr>
        <w:tc>
          <w:tcPr>
            <w:tcW w:w="9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b w:val="1"/>
                <w:bCs w:val="1"/>
                <w:color w:val="auto"/>
              </w:rPr>
              <w:t>Total long-term liabilities</w:t>
            </w:r>
          </w:p>
        </w:tc>
        <w:tc>
          <w:tcPr>
            <w:tcW w:w="6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0" w:type="dxa"/>
            <w:vAlign w:val="bottom"/>
          </w:tcPr>
          <w:p>
            <w:pPr>
              <w:spacing w:after="0"/>
              <w:rPr>
                <w:sz w:val="1"/>
                <w:szCs w:val="1"/>
                <w:color w:val="auto"/>
              </w:rPr>
            </w:pPr>
          </w:p>
        </w:tc>
      </w:tr>
      <w:tr>
        <w:trPr>
          <w:trHeight w:val="183"/>
        </w:trPr>
        <w:tc>
          <w:tcPr>
            <w:tcW w:w="9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66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1,146</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Net assets purchased</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9680" w:type="dxa"/>
            <w:vAlign w:val="bottom"/>
            <w:tcBorders>
              <w:bottom w:val="single" w:sz="8" w:color="CCEEFF"/>
            </w:tcBorders>
            <w:vMerge w:val="continue"/>
          </w:tcPr>
          <w:p>
            <w:pPr>
              <w:spacing w:after="0"/>
              <w:rPr>
                <w:sz w:val="11"/>
                <w:szCs w:val="11"/>
                <w:color w:val="auto"/>
              </w:rPr>
            </w:pPr>
          </w:p>
        </w:tc>
        <w:tc>
          <w:tcPr>
            <w:tcW w:w="660" w:type="dxa"/>
            <w:vAlign w:val="bottom"/>
            <w:tcBorders>
              <w:bottom w:val="single" w:sz="8" w:color="auto"/>
            </w:tcBorders>
          </w:tcPr>
          <w:p>
            <w:pPr>
              <w:jc w:val="right"/>
              <w:ind w:right="5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236</w:t>
            </w:r>
          </w:p>
        </w:tc>
        <w:tc>
          <w:tcPr>
            <w:tcW w:w="0" w:type="dxa"/>
            <w:vAlign w:val="bottom"/>
          </w:tcPr>
          <w:p>
            <w:pPr>
              <w:spacing w:after="0"/>
              <w:rPr>
                <w:sz w:val="1"/>
                <w:szCs w:val="1"/>
                <w:color w:val="auto"/>
              </w:rPr>
            </w:pPr>
          </w:p>
        </w:tc>
      </w:tr>
      <w:tr>
        <w:trPr>
          <w:trHeight w:val="163"/>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Purchase price</w:t>
            </w:r>
          </w:p>
        </w:tc>
        <w:tc>
          <w:tcPr>
            <w:tcW w:w="66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0" w:type="dxa"/>
            <w:vAlign w:val="bottom"/>
          </w:tcPr>
          <w:p>
            <w:pPr>
              <w:spacing w:after="0"/>
              <w:rPr>
                <w:sz w:val="1"/>
                <w:szCs w:val="1"/>
                <w:color w:val="auto"/>
              </w:rPr>
            </w:pPr>
          </w:p>
        </w:tc>
      </w:tr>
      <w:tr>
        <w:trPr>
          <w:trHeight w:val="160"/>
        </w:trPr>
        <w:tc>
          <w:tcPr>
            <w:tcW w:w="9680" w:type="dxa"/>
            <w:vAlign w:val="bottom"/>
          </w:tcPr>
          <w:p>
            <w:pPr>
              <w:spacing w:after="0" w:line="161" w:lineRule="exact"/>
              <w:rPr>
                <w:sz w:val="20"/>
                <w:szCs w:val="20"/>
                <w:color w:val="auto"/>
              </w:rPr>
            </w:pPr>
            <w:r>
              <w:rPr>
                <w:rFonts w:ascii="Times New Roman" w:cs="Times New Roman" w:eastAsia="Times New Roman" w:hAnsi="Times New Roman"/>
                <w:sz w:val="13"/>
                <w:szCs w:val="13"/>
                <w:b w:val="1"/>
                <w:bCs w:val="1"/>
                <w:color w:val="auto"/>
              </w:rPr>
              <w:t>Goodwill recorded</w:t>
            </w:r>
            <w:r>
              <w:rPr>
                <w:rFonts w:ascii="Times New Roman" w:cs="Times New Roman" w:eastAsia="Times New Roman" w:hAnsi="Times New Roman"/>
                <w:sz w:val="16"/>
                <w:szCs w:val="16"/>
                <w:b w:val="1"/>
                <w:bCs w:val="1"/>
                <w:color w:val="auto"/>
                <w:vertAlign w:val="superscript"/>
              </w:rPr>
              <w:t>(2)</w:t>
            </w:r>
          </w:p>
        </w:tc>
        <w:tc>
          <w:tcPr>
            <w:tcW w:w="6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60" w:hanging="155"/>
        <w:spacing w:after="0"/>
        <w:tabs>
          <w:tab w:leader="none" w:pos="1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acquired $532 million of intangible assets, comprised of customer relationships, trade names, and intellectual property with weighted-average useful lives of 12.5 years.</w:t>
      </w:r>
    </w:p>
    <w:p>
      <w:pPr>
        <w:spacing w:after="0" w:line="12"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Goodwill represents the excess of the purchase price over the fair value of identifiable assets acquired and liabilities assumed at the acquisition date. Goodwill acquired was recorded in the United Kingdom and Ireland reporting unit and was</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primarily attributed to anticipated synergies. The Company does not expect the goodwill recognized in connection with the Wincanton Acquisition to be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color w:val="auto"/>
        </w:rPr>
        <w:t>6. Goodwill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changes in goodwill for the years ended December 31, 2025 and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3"/>
        </w:trPr>
        <w:tc>
          <w:tcPr>
            <w:tcW w:w="9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2,891</w:t>
            </w:r>
          </w:p>
        </w:tc>
      </w:tr>
      <w:tr>
        <w:trPr>
          <w:trHeight w:val="170"/>
        </w:trPr>
        <w:tc>
          <w:tcPr>
            <w:tcW w:w="972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Acquisitions</w:t>
            </w:r>
            <w:r>
              <w:rPr>
                <w:rFonts w:ascii="Times New Roman" w:cs="Times New Roman" w:eastAsia="Times New Roman" w:hAnsi="Times New Roman"/>
                <w:sz w:val="16"/>
                <w:szCs w:val="16"/>
                <w:color w:val="auto"/>
                <w:vertAlign w:val="superscript"/>
              </w:rPr>
              <w:t>(1)</w:t>
            </w: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w:t>
            </w:r>
          </w:p>
        </w:tc>
      </w:tr>
      <w:tr>
        <w:trPr>
          <w:trHeight w:val="170"/>
        </w:trPr>
        <w:tc>
          <w:tcPr>
            <w:tcW w:w="972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Foreign exchange translation</w:t>
            </w:r>
            <w:r>
              <w:rPr>
                <w:rFonts w:ascii="Times New Roman" w:cs="Times New Roman" w:eastAsia="Times New Roman" w:hAnsi="Times New Roman"/>
                <w:sz w:val="16"/>
                <w:szCs w:val="16"/>
                <w:color w:val="auto"/>
                <w:vertAlign w:val="superscript"/>
              </w:rPr>
              <w:t>(2)</w:t>
            </w:r>
          </w:p>
        </w:tc>
        <w:tc>
          <w:tcPr>
            <w:tcW w:w="6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58"/>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6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3,549</w:t>
            </w:r>
          </w:p>
        </w:tc>
      </w:tr>
      <w:tr>
        <w:trPr>
          <w:trHeight w:val="172"/>
        </w:trPr>
        <w:tc>
          <w:tcPr>
            <w:tcW w:w="972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Acquisition</w:t>
            </w:r>
            <w:r>
              <w:rPr>
                <w:rFonts w:ascii="Times New Roman" w:cs="Times New Roman" w:eastAsia="Times New Roman" w:hAnsi="Times New Roman"/>
                <w:sz w:val="16"/>
                <w:szCs w:val="16"/>
                <w:color w:val="auto"/>
                <w:vertAlign w:val="superscript"/>
              </w:rPr>
              <w:t>(1)</w:t>
            </w:r>
          </w:p>
        </w:tc>
        <w:tc>
          <w:tcPr>
            <w:tcW w:w="6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0"/>
        </w:trPr>
        <w:tc>
          <w:tcPr>
            <w:tcW w:w="972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Wincanton Divestment</w:t>
            </w:r>
            <w:r>
              <w:rPr>
                <w:rFonts w:ascii="Times New Roman" w:cs="Times New Roman" w:eastAsia="Times New Roman" w:hAnsi="Times New Roman"/>
                <w:sz w:val="16"/>
                <w:szCs w:val="16"/>
                <w:color w:val="auto"/>
                <w:vertAlign w:val="superscript"/>
              </w:rPr>
              <w:t>(3)</w:t>
            </w: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0"/>
        </w:trPr>
        <w:tc>
          <w:tcPr>
            <w:tcW w:w="972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Foreign exchange translation</w:t>
            </w:r>
            <w:r>
              <w:rPr>
                <w:rFonts w:ascii="Times New Roman" w:cs="Times New Roman" w:eastAsia="Times New Roman" w:hAnsi="Times New Roman"/>
                <w:sz w:val="16"/>
                <w:szCs w:val="16"/>
                <w:color w:val="auto"/>
                <w:vertAlign w:val="superscript"/>
              </w:rPr>
              <w:t>(2)</w:t>
            </w:r>
          </w:p>
        </w:tc>
        <w:tc>
          <w:tcPr>
            <w:tcW w:w="6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r>
      <w:tr>
        <w:trPr>
          <w:trHeight w:val="160"/>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3,781</w:t>
            </w:r>
          </w:p>
        </w:tc>
      </w:tr>
      <w:tr>
        <w:trPr>
          <w:trHeight w:val="20"/>
        </w:trPr>
        <w:tc>
          <w:tcPr>
            <w:tcW w:w="9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200" w:right="340" w:hanging="195"/>
        <w:spacing w:after="0" w:line="260" w:lineRule="auto"/>
        <w:tabs>
          <w:tab w:leader="none" w:pos="169"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2024, includes $726 million and $4 million for the preliminary purchase price allocation for the Wincanton Acquisition and adjustments to the purchase price allocation for the PFSweb, Inc. acquisition, respectively. In 2025, includes $4 million reduction for the purchase price allocation of the Wincanton Acquisition.</w:t>
      </w:r>
    </w:p>
    <w:p>
      <w:pPr>
        <w:ind w:left="160" w:hanging="155"/>
        <w:spacing w:after="0"/>
        <w:tabs>
          <w:tab w:leader="none" w:pos="1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Changes to goodwill amounts resulting from foreign currency translation after the acquisition date are presented as the impact of foreign exchange translation.</w:t>
      </w:r>
    </w:p>
    <w:p>
      <w:pPr>
        <w:spacing w:after="0" w:line="1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additional information see note 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and 2024, there were $4 million and zero accumulated goodwill impairment losses,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Intangible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identifiable intangible assets subject to amortization:</w:t>
      </w:r>
    </w:p>
    <w:p>
      <w:pPr>
        <w:spacing w:after="0" w:line="117"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December 31, 2025</w:t>
            </w: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left="296"/>
              <w:spacing w:after="0" w:line="120"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center"/>
              <w:ind w:left="276"/>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restart"/>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Net</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320"/>
              <w:spacing w:after="0" w:line="120"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120" w:type="dxa"/>
            <w:vAlign w:val="bottom"/>
          </w:tcPr>
          <w:p>
            <w:pPr>
              <w:spacing w:after="0"/>
              <w:rPr>
                <w:sz w:val="10"/>
                <w:szCs w:val="10"/>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60" w:type="dxa"/>
            <w:vAlign w:val="bottom"/>
          </w:tcPr>
          <w:p>
            <w:pPr>
              <w:spacing w:after="0"/>
              <w:rPr>
                <w:sz w:val="10"/>
                <w:szCs w:val="10"/>
                <w:color w:val="auto"/>
              </w:rPr>
            </w:pPr>
          </w:p>
        </w:tc>
        <w:tc>
          <w:tcPr>
            <w:tcW w:w="96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27"/>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880" w:type="dxa"/>
            <w:vAlign w:val="bottom"/>
          </w:tcPr>
          <w:p>
            <w:pPr>
              <w:jc w:val="center"/>
              <w:ind w:left="316"/>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920" w:type="dxa"/>
            <w:vAlign w:val="bottom"/>
            <w:gridSpan w:val="2"/>
            <w:vMerge w:val="continue"/>
          </w:tcPr>
          <w:p>
            <w:pPr>
              <w:spacing w:after="0"/>
              <w:rPr>
                <w:sz w:val="14"/>
                <w:szCs w:val="14"/>
                <w:color w:val="auto"/>
              </w:rPr>
            </w:pPr>
          </w:p>
        </w:tc>
        <w:tc>
          <w:tcPr>
            <w:tcW w:w="880" w:type="dxa"/>
            <w:vAlign w:val="bottom"/>
          </w:tcPr>
          <w:p>
            <w:pPr>
              <w:jc w:val="center"/>
              <w:ind w:left="296"/>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left="256"/>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260" w:type="dxa"/>
            <w:vAlign w:val="bottom"/>
          </w:tcPr>
          <w:p>
            <w:pPr>
              <w:spacing w:after="0"/>
              <w:rPr>
                <w:sz w:val="14"/>
                <w:szCs w:val="14"/>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62"/>
        </w:trPr>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Customer relationships</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1,609</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(747)</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w:t>
            </w:r>
          </w:p>
        </w:tc>
        <w:tc>
          <w:tcPr>
            <w:tcW w:w="0" w:type="dxa"/>
            <w:vAlign w:val="bottom"/>
          </w:tcPr>
          <w:p>
            <w:pPr>
              <w:spacing w:after="0"/>
              <w:rPr>
                <w:sz w:val="1"/>
                <w:szCs w:val="1"/>
                <w:color w:val="auto"/>
              </w:rPr>
            </w:pPr>
          </w:p>
        </w:tc>
      </w:tr>
      <w:tr>
        <w:trPr>
          <w:trHeight w:val="168"/>
        </w:trPr>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Trade names and trademarks</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70"/>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Developed technology</w:t>
            </w:r>
          </w:p>
        </w:tc>
        <w:tc>
          <w:tcPr>
            <w:tcW w:w="8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3"/>
        </w:trPr>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1,690</w:t>
            </w:r>
          </w:p>
        </w:tc>
        <w:tc>
          <w:tcPr>
            <w:tcW w:w="80" w:type="dxa"/>
            <w:vAlign w:val="bottom"/>
          </w:tcPr>
          <w:p>
            <w:pPr>
              <w:spacing w:after="0"/>
              <w:rPr>
                <w:sz w:val="14"/>
                <w:szCs w:val="14"/>
                <w:color w:val="auto"/>
              </w:rPr>
            </w:pPr>
          </w:p>
        </w:tc>
        <w:tc>
          <w:tcPr>
            <w:tcW w:w="106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(781)</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1,604</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4"/>
          <w:szCs w:val="14"/>
          <w:color w:val="auto"/>
        </w:rPr>
        <w:t>Intangible asset amortization expense was $119 million, $108 million and $71 million for the years ended December 31, 2025, 2024 and 2023, respectively. In addition, in connection with the Wincanton Divestment (see note 5), $21 million of customer relationships were impaired in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Estimated amortization expense for each of the five succeeding fiscal years and thereafter is as follows: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29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92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Thereafter</w:t>
            </w:r>
          </w:p>
        </w:tc>
      </w:tr>
      <w:tr>
        <w:trPr>
          <w:trHeight w:val="163"/>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Estimated amortization expense</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6"/>
        </w:trPr>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8. Property and Equipment</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61"/>
        </w:trPr>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property and equipment:</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2"/>
        </w:trPr>
        <w:tc>
          <w:tcPr>
            <w:tcW w:w="7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buildings and leasehold improvements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r>
      <w:tr>
        <w:trPr>
          <w:trHeight w:val="19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Warehouse equipment, fleet and other</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w:t>
            </w:r>
          </w:p>
        </w:tc>
      </w:tr>
      <w:tr>
        <w:trPr>
          <w:trHeight w:val="191"/>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and automated systems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r>
      <w:tr>
        <w:trPr>
          <w:trHeight w:val="18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r>
      <w:tr>
        <w:trPr>
          <w:trHeight w:val="18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Internal-use software</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property and equipment, gross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2,892</w:t>
            </w:r>
          </w:p>
        </w:tc>
      </w:tr>
      <w:tr>
        <w:trPr>
          <w:trHeight w:val="18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property and equipment, net</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w:t>
            </w:r>
          </w:p>
        </w:tc>
      </w:tr>
      <w:tr>
        <w:trPr>
          <w:trHeight w:val="20"/>
        </w:trPr>
        <w:tc>
          <w:tcPr>
            <w:tcW w:w="7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of property and equipment was $338 million, $307 million and $290 million for the years ended December 31, 2025, 2024 and 2023,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Leases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lease cost recorded in the Consolidated Statements of Operations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Operating lease cost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Short-term lease cost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Variable lease cost</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Total operating lease cost</w:t>
            </w:r>
            <w:r>
              <w:rPr>
                <w:rFonts w:ascii="Times New Roman" w:cs="Times New Roman" w:eastAsia="Times New Roman" w:hAnsi="Times New Roman"/>
                <w:sz w:val="18"/>
                <w:szCs w:val="18"/>
                <w:b w:val="1"/>
                <w:bCs w:val="1"/>
                <w:color w:val="auto"/>
                <w:vertAlign w:val="superscript"/>
              </w:rPr>
              <w:t>(1)</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4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of the right-of-use assets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Interest on the lease liabilities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finance lease cost</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and finance lease cost</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8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Operating lease cost is primarily included in Direct operating expense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color w:val="auto"/>
        </w:rPr>
        <w:t>The following amounts were recorded in the Consolidated Balance Sheets related to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00" w:type="dxa"/>
            <w:vAlign w:val="bottom"/>
            <w:tcBorders>
              <w:bottom w:val="single" w:sz="8" w:color="auto"/>
            </w:tcBorders>
            <w:gridSpan w:val="2"/>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 assets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w:t>
            </w:r>
          </w:p>
        </w:tc>
        <w:tc>
          <w:tcPr>
            <w:tcW w:w="100" w:type="dxa"/>
            <w:vAlign w:val="bottom"/>
          </w:tcPr>
          <w:p>
            <w:pPr>
              <w:spacing w:after="0"/>
              <w:rPr>
                <w:sz w:val="16"/>
                <w:szCs w:val="16"/>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tcPr>
          <w:p>
            <w:pPr>
              <w:spacing w:after="0"/>
              <w:rPr>
                <w:sz w:val="16"/>
                <w:szCs w:val="16"/>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21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0" w:type="dxa"/>
            <w:vAlign w:val="bottom"/>
          </w:tcPr>
          <w:p>
            <w:pPr>
              <w:spacing w:after="0"/>
              <w:rPr>
                <w:sz w:val="1"/>
                <w:szCs w:val="1"/>
                <w:color w:val="auto"/>
              </w:rPr>
            </w:pPr>
          </w:p>
        </w:tc>
      </w:tr>
      <w:tr>
        <w:trPr>
          <w:trHeight w:val="18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lease liabilities</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debt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3"/>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05"/>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finance lease liabilities</w:t>
            </w: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was as follows:</w:t>
            </w:r>
          </w:p>
        </w:tc>
        <w:tc>
          <w:tcPr>
            <w:tcW w:w="3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4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paid for amounts included in the measurement of lease liabilities: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Operating cash flows for operating leases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cash flows for finance leases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Financing cash flows for finance leases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Right-of-use assets obtained in exchange for lease liabilities: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Operating leases, including $166 and $52 from an acquisition in 2024 and 2023, respectively</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Finance leases, including $83 and $1 from an acquisition in 2024 and 2023, respectively</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weighted-average information for leases was as follows:</w:t>
      </w:r>
    </w:p>
    <w:p>
      <w:pPr>
        <w:spacing w:after="0" w:line="3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gridSpan w:val="2"/>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7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r>
      <w:tr>
        <w:trPr>
          <w:trHeight w:val="193"/>
        </w:trPr>
        <w:tc>
          <w:tcPr>
            <w:tcW w:w="89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Operating leases</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5.5 years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 years</w:t>
            </w:r>
          </w:p>
        </w:tc>
      </w:tr>
      <w:tr>
        <w:trPr>
          <w:trHeight w:val="210"/>
        </w:trPr>
        <w:tc>
          <w:tcPr>
            <w:tcW w:w="8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Finance leases</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16.6 years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 years</w:t>
            </w:r>
          </w:p>
        </w:tc>
      </w:tr>
      <w:tr>
        <w:trPr>
          <w:trHeight w:val="193"/>
        </w:trPr>
        <w:tc>
          <w:tcPr>
            <w:tcW w:w="8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0"/>
        </w:trPr>
        <w:tc>
          <w:tcPr>
            <w:tcW w:w="8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r>
      <w:tr>
        <w:trPr>
          <w:trHeight w:val="184"/>
        </w:trPr>
        <w:tc>
          <w:tcPr>
            <w:tcW w:w="89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Finance leases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4"/>
        </w:trPr>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Maturities of lease liabilities as of December 31, 2025 were as follows:</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2"/>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20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60" w:type="dxa"/>
            <w:vAlign w:val="bottom"/>
          </w:tcPr>
          <w:p>
            <w:pPr>
              <w:spacing w:after="0"/>
              <w:rPr>
                <w:sz w:val="17"/>
                <w:szCs w:val="17"/>
                <w:color w:val="auto"/>
              </w:rPr>
            </w:pPr>
          </w:p>
        </w:tc>
        <w:tc>
          <w:tcPr>
            <w:tcW w:w="140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17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180"/>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w:t>
            </w:r>
          </w:p>
        </w:tc>
      </w:tr>
      <w:tr>
        <w:trPr>
          <w:trHeight w:val="171"/>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lease payments</w:t>
            </w:r>
          </w:p>
        </w:tc>
        <w:tc>
          <w:tcPr>
            <w:tcW w:w="2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w:t>
            </w:r>
          </w:p>
        </w:tc>
      </w:tr>
      <w:tr>
        <w:trPr>
          <w:trHeight w:val="171"/>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Interest</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w:t>
            </w:r>
          </w:p>
        </w:tc>
      </w:tr>
      <w:tr>
        <w:trPr>
          <w:trHeight w:val="196"/>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lease liabilities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As of December 31, 2025, the Company had operating leases that have not yet commenced with future undiscounted lease payments of approximately $176 million. These operating leases will begin in 2026 and 2027, with initial lease terms ranging from four to ten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10. Debt and Financing Arrangements</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6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summarizes the carrying value of the Company’s debt:</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0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center"/>
              <w:spacing w:after="0" w:line="171" w:lineRule="exact"/>
              <w:rPr>
                <w:sz w:val="20"/>
                <w:szCs w:val="20"/>
                <w:color w:val="auto"/>
              </w:rPr>
            </w:pPr>
            <w:r>
              <w:rPr>
                <w:rFonts w:ascii="Times New Roman" w:cs="Times New Roman" w:eastAsia="Times New Roman" w:hAnsi="Times New Roman"/>
                <w:sz w:val="14"/>
                <w:szCs w:val="14"/>
                <w:b w:val="1"/>
                <w:bCs w:val="1"/>
                <w:color w:val="auto"/>
                <w:w w:val="90"/>
              </w:rPr>
              <w:t>Rate</w:t>
            </w:r>
            <w:r>
              <w:rPr>
                <w:rFonts w:ascii="Times New Roman" w:cs="Times New Roman" w:eastAsia="Times New Roman" w:hAnsi="Times New Roman"/>
                <w:sz w:val="18"/>
                <w:szCs w:val="18"/>
                <w:b w:val="1"/>
                <w:bCs w:val="1"/>
                <w:color w:val="auto"/>
                <w:w w:val="90"/>
                <w:vertAlign w:val="superscript"/>
              </w:rPr>
              <w:t>(1)</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Unsecured notes due 2026</w:t>
            </w:r>
            <w:r>
              <w:rPr>
                <w:rFonts w:ascii="Times New Roman" w:cs="Times New Roman" w:eastAsia="Times New Roman" w:hAnsi="Times New Roman"/>
                <w:sz w:val="18"/>
                <w:szCs w:val="18"/>
                <w:color w:val="auto"/>
                <w:vertAlign w:val="superscript"/>
              </w:rPr>
              <w:t>(2)</w:t>
            </w: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shd w:val="clear" w:color="auto" w:fill="CCEEFF"/>
          </w:tcPr>
          <w:p>
            <w:pPr>
              <w:spacing w:after="0"/>
              <w:rPr>
                <w:sz w:val="21"/>
                <w:szCs w:val="21"/>
                <w:color w:val="auto"/>
              </w:rPr>
            </w:pPr>
          </w:p>
        </w:tc>
        <w:tc>
          <w:tcPr>
            <w:tcW w:w="380" w:type="dxa"/>
            <w:vAlign w:val="bottom"/>
            <w:vMerge w:val="restart"/>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shd w:val="clear" w:color="auto" w:fill="CCEEFF"/>
          </w:tcPr>
          <w:p>
            <w:pPr>
              <w:spacing w:after="0"/>
              <w:rPr>
                <w:sz w:val="21"/>
                <w:szCs w:val="21"/>
                <w:color w:val="auto"/>
              </w:rPr>
            </w:pPr>
          </w:p>
        </w:tc>
        <w:tc>
          <w:tcPr>
            <w:tcW w:w="500" w:type="dxa"/>
            <w:vAlign w:val="bottom"/>
            <w:vMerge w:val="restart"/>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Unsecured notes due 2029</w:t>
            </w:r>
            <w:r>
              <w:rPr>
                <w:rFonts w:ascii="Times New Roman" w:cs="Times New Roman" w:eastAsia="Times New Roman" w:hAnsi="Times New Roman"/>
                <w:sz w:val="18"/>
                <w:szCs w:val="18"/>
                <w:color w:val="auto"/>
                <w:vertAlign w:val="superscript"/>
              </w:rPr>
              <w:t>(3)</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Unsecured notes due 2031</w:t>
            </w:r>
            <w:r>
              <w:rPr>
                <w:rFonts w:ascii="Times New Roman" w:cs="Times New Roman" w:eastAsia="Times New Roman" w:hAnsi="Times New Roman"/>
                <w:sz w:val="18"/>
                <w:szCs w:val="18"/>
                <w:color w:val="auto"/>
                <w:vertAlign w:val="superscript"/>
              </w:rPr>
              <w:t>(4)</w:t>
            </w: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color w:val="auto"/>
              </w:rPr>
              <w:t>Unsecured notes due 2034</w:t>
            </w:r>
            <w:r>
              <w:rPr>
                <w:rFonts w:ascii="Times New Roman" w:cs="Times New Roman" w:eastAsia="Times New Roman" w:hAnsi="Times New Roman"/>
                <w:sz w:val="18"/>
                <w:szCs w:val="18"/>
                <w:color w:val="auto"/>
                <w:vertAlign w:val="superscript"/>
              </w:rPr>
              <w:t>(5)</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Euro Unsecured notes due 2030 (€500 principal)</w:t>
            </w:r>
            <w:r>
              <w:rPr>
                <w:rFonts w:ascii="Times New Roman" w:cs="Times New Roman" w:eastAsia="Times New Roman" w:hAnsi="Times New Roman"/>
                <w:sz w:val="18"/>
                <w:szCs w:val="18"/>
                <w:color w:val="auto"/>
                <w:vertAlign w:val="superscript"/>
              </w:rPr>
              <w:t>(6)</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color w:val="auto"/>
              </w:rPr>
              <w:t>Three-Year Term Loan due 2025</w:t>
            </w:r>
            <w:r>
              <w:rPr>
                <w:rFonts w:ascii="Times New Roman" w:cs="Times New Roman" w:eastAsia="Times New Roman" w:hAnsi="Times New Roman"/>
                <w:sz w:val="18"/>
                <w:szCs w:val="18"/>
                <w:color w:val="auto"/>
                <w:vertAlign w:val="superscript"/>
              </w:rPr>
              <w:t>(7)</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Five-Year Term Loan due 2027</w:t>
            </w:r>
            <w:r>
              <w:rPr>
                <w:rFonts w:ascii="Times New Roman" w:cs="Times New Roman" w:eastAsia="Times New Roman" w:hAnsi="Times New Roman"/>
                <w:sz w:val="18"/>
                <w:szCs w:val="18"/>
                <w:color w:val="auto"/>
                <w:vertAlign w:val="superscript"/>
              </w:rPr>
              <w:t>(8)(9)</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Finance leases and other debt</w:t>
            </w:r>
          </w:p>
        </w:tc>
        <w:tc>
          <w:tcPr>
            <w:tcW w:w="16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4"/>
              </w:rPr>
              <w:t>Various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tcBorders>
              <w:bottom w:val="single" w:sz="8" w:color="CCEEFF"/>
            </w:tcBorders>
            <w:gridSpan w:val="2"/>
          </w:tcPr>
          <w:p>
            <w:pPr>
              <w:spacing w:after="0" w:line="181" w:lineRule="exact"/>
              <w:rPr>
                <w:sz w:val="20"/>
                <w:szCs w:val="20"/>
                <w:color w:val="auto"/>
              </w:rPr>
            </w:pPr>
            <w:r>
              <w:rPr>
                <w:rFonts w:ascii="Times New Roman" w:cs="Times New Roman" w:eastAsia="Times New Roman" w:hAnsi="Times New Roman"/>
                <w:sz w:val="14"/>
                <w:szCs w:val="14"/>
                <w:color w:val="auto"/>
              </w:rPr>
              <w:t>Less: Current debt</w:t>
            </w:r>
            <w:r>
              <w:rPr>
                <w:rFonts w:ascii="Times New Roman" w:cs="Times New Roman" w:eastAsia="Times New Roman" w:hAnsi="Times New Roman"/>
                <w:sz w:val="18"/>
                <w:szCs w:val="18"/>
                <w:color w:val="auto"/>
                <w:vertAlign w:val="superscript"/>
              </w:rPr>
              <w:t>(10)</w:t>
            </w:r>
          </w:p>
        </w:tc>
        <w:tc>
          <w:tcPr>
            <w:tcW w:w="1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6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1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160" w:hanging="155"/>
        <w:spacing w:after="0"/>
        <w:tabs>
          <w:tab w:leader="none" w:pos="1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Interest rates as of December 31, 2025.</w:t>
      </w:r>
    </w:p>
    <w:p>
      <w:pPr>
        <w:spacing w:after="0" w:line="20"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of unamortized discount and debt issuance costs of zero and $1 million, as of December 31, 2025 and 2024, respectively.</w:t>
      </w:r>
    </w:p>
    <w:p>
      <w:pPr>
        <w:spacing w:after="0" w:line="1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of unamortized discount and debt issuance costs of $6 million and $7 million as of December 31, 2025 and 2024, respectively.</w:t>
      </w:r>
    </w:p>
    <w:p>
      <w:pPr>
        <w:spacing w:after="0" w:line="1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of unamortized discount and debt issuance costs of $2 million and $3 million as of December 31, 2025 and 2024, respectively.</w:t>
      </w:r>
    </w:p>
    <w:p>
      <w:pPr>
        <w:spacing w:after="0" w:line="1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of unamortized discount and debt issuance costs of $9 million and $10 million as of December 31, 2025 and 2024, respectively.</w:t>
      </w:r>
    </w:p>
    <w:p>
      <w:pPr>
        <w:spacing w:after="0" w:line="3"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of unamortized discount and debt issuance costs of $7 million, as of December 31, 2025.</w:t>
      </w:r>
    </w:p>
    <w:p>
      <w:pPr>
        <w:spacing w:after="0" w:line="8"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May 2025, the Company repaid the remaining $50 million of the Three- Year Term Loan due 2025.</w:t>
      </w:r>
    </w:p>
    <w:p>
      <w:pPr>
        <w:spacing w:after="0" w:line="1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of unamortized debt issuance costs of zero and $1 million, as of December 31, 2025 and 2024, respectively.</w:t>
      </w:r>
    </w:p>
    <w:p>
      <w:pPr>
        <w:spacing w:after="0" w:line="1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November 2025, the Company repaid $125 million of the Five Year Term Loan due 2027.</w:t>
      </w:r>
    </w:p>
    <w:p>
      <w:pPr>
        <w:spacing w:after="0" w:line="3" w:lineRule="exact"/>
        <w:rPr>
          <w:rFonts w:ascii="Times New Roman" w:cs="Times New Roman" w:eastAsia="Times New Roman" w:hAnsi="Times New Roman"/>
          <w:sz w:val="11"/>
          <w:szCs w:val="11"/>
          <w:color w:val="auto"/>
        </w:rPr>
      </w:pPr>
    </w:p>
    <w:p>
      <w:pPr>
        <w:ind w:left="220" w:hanging="215"/>
        <w:spacing w:after="0"/>
        <w:tabs>
          <w:tab w:leader="none" w:pos="22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December 31, 2025, current debt includes $400 million of Unsecured notes due 2026.</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Euro Unsecured Notes</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In November 2025, GXO Logistics Capital B.V., a wholly owned, indirect consolidated subsidiary of the Company (the “Issuer”), issued €500 million (approximately $580 million) of 3.750% notes due 2030 at a discount to par at a price of 99.776% (the “EUR Unsecured notes due 2030”). The EUR Unsecured notes due 2030 accrue interest at 3.750% per year, and mature on November 24, 2030. Interest on the EUR Unsecured notes due 2030 is payable annually in arrears on November 24 of each year, beginning on November 24, 2026. The EUR Unsecured notes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color w:val="auto"/>
        </w:rPr>
        <w:t>2030 are fully and unconditionally guaranteed on an unsecured, unsubordinated basis by GXO Logistics, Inc. (“GXO” and GXO’s guarantee of the Notes, the “Parent Guarantee”).</w:t>
      </w:r>
    </w:p>
    <w:p>
      <w:pPr>
        <w:spacing w:after="0" w:line="20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EUR Unsecured notes due 2030 and the Parent Guarantee are unsecured, unsubordinated obligations of the Issuer and GXO, respectively, and they rank equally in right of payment with all of the Issuer’s and GXO’s respective existing and future unsecured, unsubordinated indebtedness.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Unsecured Notes</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In 2024, the Company issued $1.1 billion of unsecured notes, consisting of $600 million of notes due 2029 (the “Unsecured notes due 2029”) and $500 million of notes due 2034 (the “Unsecured notes due 2034”) to fund the Wincanton Acquisition. The Unsecured notes due 2029 accrue interest at 6.25% per annum, payable semiannually on May 6 and November 6 of each year, and mature on May 6, 2029. The Unsecured notes due 2034 accrue interest at 6.50% per annum, payable semiannually on May 6 and November 6 of each year, and mature on May 6, 2034.</w:t>
      </w:r>
    </w:p>
    <w:p>
      <w:pPr>
        <w:spacing w:after="0" w:line="157"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In 2021, the Company issued $800 million of unsecured notes, consisting of $400 million of notes due 2026 (the “Unsecured notes due 2026”) and $400 million of notes due 2031 (the “Unsecured notes due 2031”). The 2026 Notes bear interest at a rate of 1.65% per annum payable semiannually in arrears on January 15 and July 15 of each year, and mature on July 15, 2026. The 2031 Notes bear interest at a rate of 2.65% per annum payable semiannually in arrears on January 15 and July 15 of each year, and mature on July 15, 2031.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Five-Year Term Loan due 2027</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In 2022, the Company entered into a $500 million five-year unsecured term loan (the “Five-Year Term Loan”), which matures on May 26, 2027. The loan bears interest at a fluctuating rate per annum equal to, at the Company’s option, the alternate base rate or the adjusted Secured Overnight Financing Rate (SOFR), plus an applicable margin based on the Company’s credit ratings. In 2025 and 2024, the Company repaid $125 million and $100 million, respectively, of the Five- Year Term Loan due 2027.</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Three-Year Term Loan due 2025</w:t>
      </w:r>
    </w:p>
    <w:p>
      <w:pPr>
        <w:spacing w:after="0" w:line="202"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In 2022, the Company borrowed a $235 million three-year term loan tranche (the “Three-Year Term Loan”) which was to mature on May 26, 2025. The Three-Year Term Loan bore interest at a fluctuating rate per annum equal to, at the Company’s option, the alternate base rate or the adjusted SOFR, plus an applicable margin based on the Company’s credit ratings. The Company repaid $185 million in 2024 and $50 million in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Revolving Credit Facilities</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In 2024, the Company entered into a revolving credit agreement with Bank of America N.A., as administrative agent and an issuing lender (the “Revolving Credit Agreement”). The Revolving Credit Agreement is a five-year, unsecured, multicurrency revolving facility expiring in 2029. The aggregate commitment of all lenders under the Revolving Credit Agreement is equal to $800 million, of which $100 million is available for the issuance of letters of credit.</w:t>
      </w:r>
    </w:p>
    <w:p>
      <w:pPr>
        <w:spacing w:after="0" w:line="15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Loans under the Revolving Credit Agreement bear interest at a fluctuating rate per annum equal to (a) with respect to borrowings in U.S. dollars, at the Company’s option the alternate base rate or term Secured Overnight Financing Rate (“SOFR”), (b) with respect to borrowings in Canadian Dollars, term Canadian Overnight Repo Rate Average (“CORRA”), (c) with respect to borrowings in Pounds Sterling, daily simple Sterling Overnight Index Average Rate (“SONIA”) and (d) with respect to borrowings in Euros, Euro Interbank Offered Rate (“EURIBOR”), in each case, plus an applicable margin calculated based on the Company’s credit ratings. In addition, the Company is paying a commitment fee of 0.15% per annum on the unused portion of the commitments under the Revolving Credit Facility. As of December 31, 2025 and 2024, no principal amounts were outstanding, and letters of credit were $6 million and $1 million, respectively, under the Revolving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1" w:name="page62"/>
    <w:bookmarkEnd w:id="61"/>
    <w:p>
      <w:pPr>
        <w:ind w:right="80"/>
        <w:spacing w:after="0" w:line="270" w:lineRule="auto"/>
        <w:rPr>
          <w:sz w:val="20"/>
          <w:szCs w:val="20"/>
          <w:color w:val="auto"/>
        </w:rPr>
      </w:pPr>
      <w:r>
        <w:rPr>
          <w:rFonts w:ascii="Times New Roman" w:cs="Times New Roman" w:eastAsia="Times New Roman" w:hAnsi="Times New Roman"/>
          <w:sz w:val="14"/>
          <w:szCs w:val="14"/>
          <w:color w:val="auto"/>
        </w:rPr>
        <w:t>In connection with the Wincanton Acquisition, the Company assumed a revolving credit facility agreement (the “Wincanton Revolving Credit Agreement”) under which it may, at any time, borrow up to £175 million, which was to mature in 2027. Loans under the Wincanton Revolving Credit Agreement bore interest at a daily simple rate based on SONIA plus a margin. In November 2025, the Company terminated the Wincanton Revolving Credit Agreement. As of December 31, 2024, the Company had £15 million ($19 million) in outstanding borrowings under this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Borrowings under revolving credit facilities maturing in three months or less are presented net in the Consolidated Statement of Cash Flows.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Long-Term Debt Maturities</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Set forth below is the aggregate principal amount of the Company’s long-term debt (excluding finance lease obligations, and unamortized debt issuance costs and discounts) as of December 31, 2025, maturing during the following years.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29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92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2027</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2028</w:t>
            </w:r>
          </w:p>
        </w:tc>
        <w:tc>
          <w:tcPr>
            <w:tcW w:w="1360" w:type="dxa"/>
            <w:vAlign w:val="bottom"/>
            <w:gridSpan w:val="3"/>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2029</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2030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Thereafter</w:t>
            </w:r>
          </w:p>
        </w:tc>
      </w:tr>
      <w:tr>
        <w:trPr>
          <w:trHeight w:val="163"/>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debt</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Factoring Programs</w:t>
      </w:r>
    </w:p>
    <w:p>
      <w:pPr>
        <w:spacing w:after="0" w:line="202"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4"/>
          <w:szCs w:val="14"/>
          <w:color w:val="auto"/>
        </w:rPr>
        <w:t>The Company sells certain of its trade receivables on a non-recourse basis to third-party financial institutions under various factoring programs. The Company accounts for these transactions as sales of receivables and presents cash proceeds as cash provided by operating activities in the Consolidated Statements of Cash Flows.</w:t>
      </w:r>
    </w:p>
    <w:p>
      <w:pPr>
        <w:spacing w:after="0" w:line="14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Company accounts for these transactions as sales because it sells full title and ownership in the underlying receivables, and control of the receivables is considered transferred. For these transfers, the receivables are removed from the Consolidated Balance Sheets at the date of transfer.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20"/>
                <w:szCs w:val="20"/>
                <w:color w:val="auto"/>
              </w:rPr>
            </w:pPr>
            <w:r>
              <w:rPr>
                <w:rFonts w:ascii="Times New Roman" w:cs="Times New Roman" w:eastAsia="Times New Roman" w:hAnsi="Times New Roman"/>
                <w:sz w:val="14"/>
                <w:szCs w:val="14"/>
                <w:color w:val="auto"/>
              </w:rPr>
              <w:t>Information related to trade receivables sold was as follows: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2"/>
        </w:trPr>
        <w:tc>
          <w:tcPr>
            <w:tcW w:w="64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71"/>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Receivables sold in period</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r>
      <w:tr>
        <w:trPr>
          <w:trHeight w:val="180"/>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consideration</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w:t>
            </w:r>
          </w:p>
        </w:tc>
      </w:tr>
      <w:tr>
        <w:trPr>
          <w:trHeight w:val="18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cash flows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Covenants and Compliance</w:t>
      </w:r>
    </w:p>
    <w:p>
      <w:pPr>
        <w:spacing w:after="0" w:line="202"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The covenants for the Company’s debt securities, which are customary for financings of this type, limit the Company’s ability to incur indebtedness and grant liens, among other restrictions. In addition, the facilities require the Company to maintain a consolidated leverage ratio below a specified maximum.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the Company complied with the covenants contained in its debt and financing arrangements.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Fair Value Measurements and Financial Instruments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45"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Quoted prices for identical instruments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2" w:name="page63"/>
    <w:bookmarkEnd w:id="62"/>
    <w:p>
      <w:pPr>
        <w:ind w:left="520" w:right="140" w:hanging="260"/>
        <w:spacing w:after="0" w:line="263"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Quoted prices for similar instruments in active markets; quoted prices for identical or similar instruments in markets that are not active; and model-derived valuations in which all significant inputs are observable in active markets; and</w:t>
      </w: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Valuations based on inputs that are unobservable, utilizing pricing models or other valuation techniques that reflect management’s judgment and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Assets and liabilities</w:t>
      </w:r>
    </w:p>
    <w:p>
      <w:pPr>
        <w:spacing w:after="0" w:line="20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Company bases its fair value estimates on market assumptions and available information. The carrying values of cash and cash equivalents, accounts receivable, accounts payable, and accrued expenses approximated their fair values as of December 31, 2025 and 2024, due to their short-term nature.</w:t>
      </w:r>
    </w:p>
    <w:p>
      <w:pPr>
        <w:sectPr>
          <w:pgSz w:w="11900" w:h="16838" w:orient="portrait"/>
          <w:cols w:equalWidth="0" w:num="1">
            <w:col w:w="11280"/>
          </w:cols>
          <w:pgMar w:left="300" w:top="1143" w:right="319" w:bottom="1440" w:gutter="0" w:footer="0" w:header="0"/>
        </w:sectPr>
      </w:pP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debt was as follows:</w:t>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Unsecured notes due 2026</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Unsecured notes due 2029</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Unsecured notes due 2031</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Unsecured notes due 2034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8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4"/>
                <w:szCs w:val="14"/>
                <w:color w:val="auto"/>
              </w:rPr>
            </w:pPr>
          </w:p>
        </w:tc>
        <w:tc>
          <w:tcPr>
            <w:tcW w:w="136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362"/>
        </w:trPr>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80" w:type="dxa"/>
            <w:vAlign w:val="bottom"/>
          </w:tcPr>
          <w:p>
            <w:pPr>
              <w:spacing w:after="0"/>
              <w:rPr>
                <w:sz w:val="24"/>
                <w:szCs w:val="24"/>
                <w:color w:val="auto"/>
              </w:rPr>
            </w:pPr>
          </w:p>
        </w:tc>
        <w:tc>
          <w:tcPr>
            <w:tcW w:w="2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tcPr>
          <w:p>
            <w:pPr>
              <w:spacing w:after="0"/>
              <w:rPr>
                <w:sz w:val="24"/>
                <w:szCs w:val="24"/>
                <w:color w:val="auto"/>
              </w:rPr>
            </w:pPr>
          </w:p>
        </w:tc>
        <w:tc>
          <w:tcPr>
            <w:tcW w:w="1280" w:type="dxa"/>
            <w:vAlign w:val="bottom"/>
            <w:tcBorders>
              <w:top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24"/>
                <w:szCs w:val="24"/>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w:t>
            </w:r>
          </w:p>
        </w:tc>
      </w:tr>
      <w:tr>
        <w:trPr>
          <w:trHeight w:val="233"/>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r>
      <w:tr>
        <w:trPr>
          <w:trHeight w:val="371"/>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-234950</wp:posOffset>
            </wp:positionV>
            <wp:extent cx="7161530" cy="2355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61530" cy="235585"/>
                    </a:xfrm>
                    <a:prstGeom prst="rect">
                      <a:avLst/>
                    </a:prstGeom>
                    <a:noFill/>
                  </pic:spPr>
                </pic:pic>
              </a:graphicData>
            </a:graphic>
          </wp:anchor>
        </w:drawing>
        <w:drawing>
          <wp:anchor simplePos="0" relativeHeight="251657728" behindDoc="1" locked="0" layoutInCell="0" allowOverlap="1">
            <wp:simplePos x="0" y="0"/>
            <wp:positionH relativeFrom="column">
              <wp:posOffset>-2332990</wp:posOffset>
            </wp:positionH>
            <wp:positionV relativeFrom="paragraph">
              <wp:posOffset>-625475</wp:posOffset>
            </wp:positionV>
            <wp:extent cx="7161530" cy="2425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61530" cy="24257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2960" w:space="720"/>
            <w:col w:w="7600"/>
          </w:cols>
          <w:pgMar w:left="300" w:top="1143" w:right="31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2120" w:type="dxa"/>
            <w:vAlign w:val="bottom"/>
          </w:tcPr>
          <w:p>
            <w:pPr>
              <w:jc w:val="right"/>
              <w:ind w:right="849"/>
              <w:spacing w:after="0"/>
              <w:rPr>
                <w:sz w:val="20"/>
                <w:szCs w:val="20"/>
                <w:color w:val="auto"/>
              </w:rPr>
            </w:pPr>
            <w:r>
              <w:rPr>
                <w:rFonts w:ascii="Times New Roman" w:cs="Times New Roman" w:eastAsia="Times New Roman" w:hAnsi="Times New Roman"/>
                <w:sz w:val="14"/>
                <w:szCs w:val="14"/>
                <w:color w:val="auto"/>
              </w:rPr>
              <w:t>2</w:t>
            </w:r>
          </w:p>
        </w:tc>
        <w:tc>
          <w:tcPr>
            <w:tcW w:w="186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540</w:t>
            </w:r>
          </w:p>
        </w:tc>
        <w:tc>
          <w:tcPr>
            <w:tcW w:w="166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491</w:t>
            </w:r>
          </w:p>
        </w:tc>
        <w:tc>
          <w:tcPr>
            <w:tcW w:w="166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514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 notes due 2030</w:t>
            </w:r>
          </w:p>
        </w:tc>
        <w:tc>
          <w:tcPr>
            <w:tcW w:w="212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2</w:t>
            </w:r>
          </w:p>
        </w:tc>
        <w:tc>
          <w:tcPr>
            <w:tcW w:w="186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586</w:t>
            </w:r>
          </w:p>
        </w:tc>
        <w:tc>
          <w:tcPr>
            <w:tcW w:w="166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580</w:t>
            </w:r>
          </w:p>
        </w:tc>
        <w:tc>
          <w:tcPr>
            <w:tcW w:w="166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Three-Year Term Loan due 2025</w:t>
            </w:r>
          </w:p>
        </w:tc>
        <w:tc>
          <w:tcPr>
            <w:tcW w:w="2120" w:type="dxa"/>
            <w:vAlign w:val="bottom"/>
          </w:tcPr>
          <w:p>
            <w:pPr>
              <w:jc w:val="right"/>
              <w:ind w:right="849"/>
              <w:spacing w:after="0"/>
              <w:rPr>
                <w:sz w:val="20"/>
                <w:szCs w:val="20"/>
                <w:color w:val="auto"/>
              </w:rPr>
            </w:pPr>
            <w:r>
              <w:rPr>
                <w:rFonts w:ascii="Times New Roman" w:cs="Times New Roman" w:eastAsia="Times New Roman" w:hAnsi="Times New Roman"/>
                <w:sz w:val="14"/>
                <w:szCs w:val="14"/>
                <w:color w:val="auto"/>
              </w:rPr>
              <w:t>2</w:t>
            </w:r>
          </w:p>
        </w:tc>
        <w:tc>
          <w:tcPr>
            <w:tcW w:w="186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49</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Five-Year Term Loan due 2027</w:t>
            </w:r>
          </w:p>
        </w:tc>
        <w:tc>
          <w:tcPr>
            <w:tcW w:w="212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2</w:t>
            </w:r>
          </w:p>
        </w:tc>
        <w:tc>
          <w:tcPr>
            <w:tcW w:w="186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272</w:t>
            </w:r>
          </w:p>
        </w:tc>
        <w:tc>
          <w:tcPr>
            <w:tcW w:w="166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275</w:t>
            </w:r>
          </w:p>
        </w:tc>
        <w:tc>
          <w:tcPr>
            <w:tcW w:w="166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394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Instruments</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directly manages its exposure to risks arising from business operations and economic factors, including fluctuations in interest rates and foreign currencies. The Company uses derivative instruments to manage the volatility related to these exposures. The objective of these derivative instruments is to reduce fluctuations in earnings and cash flows associated with changes in foreign currency exchange rates and interest rates. These financial instruments are not used for trading or other speculative purposes. The Company does not expect to incur any losses as a result of counterparty default.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Hedges</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Company uses cross-currency swaps to hedge portions of its net investments in foreign operations. For instruments that meet the hedge accounting requirements, the net gains or losses attributable to changes in spot exchange rates are recorded in the foreign currency translation adjustment within other comprehensive income, and will be recorded in the Consolidated Statement of Operations with currency translation adjustments in the future when the respective foreign entity is sold or liquidated. Cash flows from net investment hedges other than the excluded component are classified as investing activities in the Consolidated Statements of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Hedges</w:t>
      </w:r>
    </w:p>
    <w:p>
      <w:pPr>
        <w:spacing w:after="0" w:line="20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Company uses interest rate swaps to hedge the variability of cash flows resulting from variable-rate borrowings. For derivative instruments that are designated and qualify as cash flow hedges, gains or losses are initially recorded in other comprehensive income, and later reclassified to earnings when the hedged interest rate payments affect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Hedges</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Company uses cross-currency swaps to hedge its foreign exchange risk on intercompany loans. For derivative instruments that are designated and qualify as fair value hedges, the gain or loss on the derivative instrument is recognized in the Consolidated Statement of Operations during the current period, together with the gain or loss on the hedged item, other than the excluded component which reported in other comprehensive income, and later recorded in the Consolidated Statement of Operations over the term of the hedge.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Exchange Rate Risk</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is exposed to certain risks relating to its ongoing business operations, including foreign currency exchange rate risk. The Company uses foreign currency options and forward contracts to mitigate the risk of a reduction in the value of earnings from its operations that use the Euro or British pound sterling as their functional currency. Additionally, the Company uses foreign currency forward contracts to mitigate exposure from variability of cash flows related to the forecasted interest and principal payments on intercompany loans. The foreign currency forward contracts generally expire within 12 months. While these derivatives are hedging the fluctuations in foreign currencies, they do not meet the requirements to be accounted for as hedging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notional amount and fair value of derivative instruments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60"/>
        </w:trPr>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162"/>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0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200" w:type="dxa"/>
            <w:vAlign w:val="bottom"/>
          </w:tcPr>
          <w:p>
            <w:pPr>
              <w:spacing w:after="0"/>
              <w:rPr>
                <w:sz w:val="14"/>
                <w:szCs w:val="14"/>
                <w:color w:val="auto"/>
              </w:rPr>
            </w:pPr>
          </w:p>
        </w:tc>
        <w:tc>
          <w:tcPr>
            <w:tcW w:w="100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200" w:type="dxa"/>
            <w:vAlign w:val="bottom"/>
          </w:tcPr>
          <w:p>
            <w:pPr>
              <w:spacing w:after="0"/>
              <w:rPr>
                <w:sz w:val="14"/>
                <w:szCs w:val="14"/>
                <w:color w:val="auto"/>
              </w:rPr>
            </w:pPr>
          </w:p>
        </w:tc>
        <w:tc>
          <w:tcPr>
            <w:tcW w:w="102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 Location</w:t>
            </w:r>
          </w:p>
        </w:tc>
      </w:tr>
      <w:tr>
        <w:trPr>
          <w:trHeight w:val="162"/>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designated as net investment hedges:</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60" w:type="dxa"/>
            <w:vAlign w:val="bottom"/>
            <w:tcBorders>
              <w:top w:val="single" w:sz="8" w:color="auto"/>
            </w:tcBorders>
            <w:shd w:val="clear" w:color="auto" w:fill="CCEEFF"/>
          </w:tcPr>
          <w:p>
            <w:pPr>
              <w:spacing w:after="0"/>
              <w:rPr>
                <w:sz w:val="14"/>
                <w:szCs w:val="14"/>
                <w:color w:val="auto"/>
              </w:rPr>
            </w:pPr>
          </w:p>
        </w:tc>
      </w:tr>
      <w:tr>
        <w:trPr>
          <w:trHeight w:val="168"/>
        </w:trPr>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Cross-currency 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r>
      <w:tr>
        <w:trPr>
          <w:trHeight w:val="172"/>
        </w:trPr>
        <w:tc>
          <w:tcPr>
            <w:tcW w:w="3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Cross-currency swaps</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shd w:val="clear" w:color="auto" w:fill="CCEEFF"/>
          </w:tcPr>
          <w:p>
            <w:pPr>
              <w:spacing w:after="0"/>
              <w:rPr>
                <w:sz w:val="14"/>
                <w:szCs w:val="14"/>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assets</w:t>
            </w:r>
          </w:p>
        </w:tc>
      </w:tr>
      <w:tr>
        <w:trPr>
          <w:trHeight w:val="168"/>
        </w:trPr>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Cross-currency swaps</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r>
      <w:tr>
        <w:trPr>
          <w:trHeight w:val="172"/>
        </w:trPr>
        <w:tc>
          <w:tcPr>
            <w:tcW w:w="3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Cross-currency swaps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r>
      <w:tr>
        <w:trPr>
          <w:trHeight w:val="170"/>
        </w:trPr>
        <w:tc>
          <w:tcPr>
            <w:tcW w:w="3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designated as cash flow hedges: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68"/>
        </w:trPr>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Interest rate 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long-term assets</w:t>
            </w:r>
          </w:p>
        </w:tc>
      </w:tr>
      <w:tr>
        <w:trPr>
          <w:trHeight w:val="172"/>
        </w:trPr>
        <w:tc>
          <w:tcPr>
            <w:tcW w:w="3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6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designated as fair value hedges:</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1"/>
        </w:trPr>
        <w:tc>
          <w:tcPr>
            <w:tcW w:w="3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Cross-currency swaps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r>
      <w:tr>
        <w:trPr>
          <w:trHeight w:val="170"/>
        </w:trPr>
        <w:tc>
          <w:tcPr>
            <w:tcW w:w="3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not designated as hedges: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68"/>
        </w:trPr>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Foreign currency option contracts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r>
      <w:tr>
        <w:trPr>
          <w:trHeight w:val="172"/>
        </w:trPr>
        <w:tc>
          <w:tcPr>
            <w:tcW w:w="3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Foreign currency option contracts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r>
      <w:tr>
        <w:trPr>
          <w:trHeight w:val="165"/>
        </w:trPr>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Foreign currency forward contracts</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r>
    </w:tbl>
    <w:p>
      <w:pPr>
        <w:spacing w:after="0" w:line="255"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As of December 31, 2025 and 2024, these derivatives were classified as Level 2 within the fair value hierarchy. These derivatives are valued using inputs other than quoted prices, such as foreign exchange rates and yield curves.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Derivatives designated as hedges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effects of hedges on AOCIL and in the Consolidated Statements of Operations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1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rPr>
              <w:t>Amount of Gain (Loss)</w:t>
            </w:r>
          </w:p>
        </w:tc>
        <w:tc>
          <w:tcPr>
            <w:tcW w:w="8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Gain (Loss) Reclassified</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Gain (Loss) Recognized in Net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rPr>
              <w:t>Amount of Gain (Loss)</w:t>
            </w:r>
          </w:p>
        </w:tc>
        <w:tc>
          <w:tcPr>
            <w:tcW w:w="8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Gain (Loss) Reclassified</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Gain (Loss) Recognized in Net</w:t>
            </w:r>
          </w:p>
        </w:tc>
        <w:tc>
          <w:tcPr>
            <w:tcW w:w="0" w:type="dxa"/>
            <w:vAlign w:val="bottom"/>
          </w:tcPr>
          <w:p>
            <w:pPr>
              <w:spacing w:after="0"/>
              <w:rPr>
                <w:sz w:val="1"/>
                <w:szCs w:val="1"/>
                <w:color w:val="auto"/>
              </w:rPr>
            </w:pPr>
          </w:p>
        </w:tc>
      </w:tr>
      <w:tr>
        <w:trPr>
          <w:trHeight w:val="106"/>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00" w:type="dxa"/>
            <w:vAlign w:val="bottom"/>
          </w:tcPr>
          <w:p>
            <w:pPr>
              <w:spacing w:after="0"/>
              <w:rPr>
                <w:sz w:val="9"/>
                <w:szCs w:val="9"/>
                <w:color w:val="auto"/>
              </w:rPr>
            </w:pPr>
          </w:p>
        </w:tc>
        <w:tc>
          <w:tcPr>
            <w:tcW w:w="1200" w:type="dxa"/>
            <w:vAlign w:val="bottom"/>
          </w:tcPr>
          <w:p>
            <w:pPr>
              <w:jc w:val="center"/>
              <w:ind w:right="42"/>
              <w:spacing w:after="0" w:line="106" w:lineRule="exact"/>
              <w:rPr>
                <w:sz w:val="20"/>
                <w:szCs w:val="20"/>
                <w:color w:val="auto"/>
              </w:rPr>
            </w:pPr>
            <w:r>
              <w:rPr>
                <w:rFonts w:ascii="Times New Roman" w:cs="Times New Roman" w:eastAsia="Times New Roman" w:hAnsi="Times New Roman"/>
                <w:sz w:val="10"/>
                <w:szCs w:val="10"/>
                <w:b w:val="1"/>
                <w:bCs w:val="1"/>
                <w:color w:val="auto"/>
              </w:rPr>
              <w:t>Recognized in Other</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1"/>
                <w:szCs w:val="11"/>
                <w:b w:val="1"/>
                <w:bCs w:val="1"/>
                <w:color w:val="auto"/>
              </w:rPr>
              <w:t>from AOCIL into Net</w:t>
            </w:r>
          </w:p>
        </w:tc>
        <w:tc>
          <w:tcPr>
            <w:tcW w:w="200" w:type="dxa"/>
            <w:vAlign w:val="bottom"/>
          </w:tcPr>
          <w:p>
            <w:pPr>
              <w:spacing w:after="0"/>
              <w:rPr>
                <w:sz w:val="9"/>
                <w:szCs w:val="9"/>
                <w:color w:val="auto"/>
              </w:rPr>
            </w:pPr>
          </w:p>
        </w:tc>
        <w:tc>
          <w:tcPr>
            <w:tcW w:w="1440" w:type="dxa"/>
            <w:vAlign w:val="bottom"/>
            <w:gridSpan w:val="2"/>
          </w:tcPr>
          <w:p>
            <w:pPr>
              <w:jc w:val="center"/>
              <w:ind w:right="300"/>
              <w:spacing w:after="0" w:line="106" w:lineRule="exact"/>
              <w:rPr>
                <w:sz w:val="20"/>
                <w:szCs w:val="20"/>
                <w:color w:val="auto"/>
              </w:rPr>
            </w:pPr>
            <w:r>
              <w:rPr>
                <w:rFonts w:ascii="Times New Roman" w:cs="Times New Roman" w:eastAsia="Times New Roman" w:hAnsi="Times New Roman"/>
                <w:sz w:val="11"/>
                <w:szCs w:val="11"/>
                <w:b w:val="1"/>
                <w:bCs w:val="1"/>
                <w:color w:val="auto"/>
              </w:rPr>
              <w:t>Income (Excluded from</w:t>
            </w:r>
          </w:p>
        </w:tc>
        <w:tc>
          <w:tcPr>
            <w:tcW w:w="100" w:type="dxa"/>
            <w:vAlign w:val="bottom"/>
          </w:tcPr>
          <w:p>
            <w:pPr>
              <w:spacing w:after="0"/>
              <w:rPr>
                <w:sz w:val="9"/>
                <w:szCs w:val="9"/>
                <w:color w:val="auto"/>
              </w:rPr>
            </w:pPr>
          </w:p>
        </w:tc>
        <w:tc>
          <w:tcPr>
            <w:tcW w:w="1200" w:type="dxa"/>
            <w:vAlign w:val="bottom"/>
          </w:tcPr>
          <w:p>
            <w:pPr>
              <w:jc w:val="center"/>
              <w:ind w:right="42"/>
              <w:spacing w:after="0" w:line="106" w:lineRule="exact"/>
              <w:rPr>
                <w:sz w:val="20"/>
                <w:szCs w:val="20"/>
                <w:color w:val="auto"/>
              </w:rPr>
            </w:pPr>
            <w:r>
              <w:rPr>
                <w:rFonts w:ascii="Times New Roman" w:cs="Times New Roman" w:eastAsia="Times New Roman" w:hAnsi="Times New Roman"/>
                <w:sz w:val="10"/>
                <w:szCs w:val="10"/>
                <w:b w:val="1"/>
                <w:bCs w:val="1"/>
                <w:color w:val="auto"/>
              </w:rPr>
              <w:t>Recognized in Other</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1"/>
                <w:szCs w:val="11"/>
                <w:b w:val="1"/>
                <w:bCs w:val="1"/>
                <w:color w:val="auto"/>
              </w:rPr>
              <w:t>from AOCIL into Net</w:t>
            </w:r>
          </w:p>
        </w:tc>
        <w:tc>
          <w:tcPr>
            <w:tcW w:w="200" w:type="dxa"/>
            <w:vAlign w:val="bottom"/>
          </w:tcPr>
          <w:p>
            <w:pPr>
              <w:spacing w:after="0"/>
              <w:rPr>
                <w:sz w:val="9"/>
                <w:szCs w:val="9"/>
                <w:color w:val="auto"/>
              </w:rPr>
            </w:pPr>
          </w:p>
        </w:tc>
        <w:tc>
          <w:tcPr>
            <w:tcW w:w="1360" w:type="dxa"/>
            <w:vAlign w:val="bottom"/>
          </w:tcPr>
          <w:p>
            <w:pPr>
              <w:jc w:val="center"/>
              <w:ind w:right="159"/>
              <w:spacing w:after="0" w:line="106" w:lineRule="exact"/>
              <w:rPr>
                <w:sz w:val="20"/>
                <w:szCs w:val="20"/>
                <w:color w:val="auto"/>
              </w:rPr>
            </w:pPr>
            <w:r>
              <w:rPr>
                <w:rFonts w:ascii="Times New Roman" w:cs="Times New Roman" w:eastAsia="Times New Roman" w:hAnsi="Times New Roman"/>
                <w:sz w:val="11"/>
                <w:szCs w:val="11"/>
                <w:b w:val="1"/>
                <w:bCs w:val="1"/>
                <w:color w:val="auto"/>
              </w:rPr>
              <w:t>Income (Excluded from</w:t>
            </w:r>
          </w:p>
        </w:tc>
        <w:tc>
          <w:tcPr>
            <w:tcW w:w="0" w:type="dxa"/>
            <w:vAlign w:val="bottom"/>
          </w:tcPr>
          <w:p>
            <w:pPr>
              <w:spacing w:after="0"/>
              <w:rPr>
                <w:sz w:val="1"/>
                <w:szCs w:val="1"/>
                <w:color w:val="auto"/>
              </w:rPr>
            </w:pPr>
          </w:p>
        </w:tc>
      </w:tr>
      <w:tr>
        <w:trPr>
          <w:trHeight w:val="138"/>
        </w:trPr>
        <w:tc>
          <w:tcPr>
            <w:tcW w:w="2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right="62"/>
              <w:spacing w:after="0"/>
              <w:rPr>
                <w:sz w:val="20"/>
                <w:szCs w:val="20"/>
                <w:color w:val="auto"/>
              </w:rPr>
            </w:pPr>
            <w:r>
              <w:rPr>
                <w:rFonts w:ascii="Times New Roman" w:cs="Times New Roman" w:eastAsia="Times New Roman" w:hAnsi="Times New Roman"/>
                <w:sz w:val="10"/>
                <w:szCs w:val="10"/>
                <w:b w:val="1"/>
                <w:bCs w:val="1"/>
                <w:color w:val="auto"/>
              </w:rPr>
              <w:t>Comprehensive Income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200" w:type="dxa"/>
            <w:vAlign w:val="bottom"/>
          </w:tcPr>
          <w:p>
            <w:pPr>
              <w:spacing w:after="0"/>
              <w:rPr>
                <w:sz w:val="11"/>
                <w:szCs w:val="11"/>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effectiveness testing)</w:t>
            </w:r>
          </w:p>
        </w:tc>
        <w:tc>
          <w:tcPr>
            <w:tcW w:w="100" w:type="dxa"/>
            <w:vAlign w:val="bottom"/>
          </w:tcPr>
          <w:p>
            <w:pPr>
              <w:spacing w:after="0"/>
              <w:rPr>
                <w:sz w:val="11"/>
                <w:szCs w:val="11"/>
                <w:color w:val="auto"/>
              </w:rPr>
            </w:pPr>
          </w:p>
        </w:tc>
        <w:tc>
          <w:tcPr>
            <w:tcW w:w="1200" w:type="dxa"/>
            <w:vAlign w:val="bottom"/>
          </w:tcPr>
          <w:p>
            <w:pPr>
              <w:jc w:val="center"/>
              <w:ind w:right="62"/>
              <w:spacing w:after="0"/>
              <w:rPr>
                <w:sz w:val="20"/>
                <w:szCs w:val="20"/>
                <w:color w:val="auto"/>
              </w:rPr>
            </w:pPr>
            <w:r>
              <w:rPr>
                <w:rFonts w:ascii="Times New Roman" w:cs="Times New Roman" w:eastAsia="Times New Roman" w:hAnsi="Times New Roman"/>
                <w:sz w:val="10"/>
                <w:szCs w:val="10"/>
                <w:b w:val="1"/>
                <w:bCs w:val="1"/>
                <w:color w:val="auto"/>
              </w:rPr>
              <w:t>Comprehensive Income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200" w:type="dxa"/>
            <w:vAlign w:val="bottom"/>
          </w:tcPr>
          <w:p>
            <w:pPr>
              <w:spacing w:after="0"/>
              <w:rPr>
                <w:sz w:val="11"/>
                <w:szCs w:val="11"/>
                <w:color w:val="auto"/>
              </w:rPr>
            </w:pPr>
          </w:p>
        </w:tc>
        <w:tc>
          <w:tcPr>
            <w:tcW w:w="1360" w:type="dxa"/>
            <w:vAlign w:val="bottom"/>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effectiveness testing)</w:t>
            </w:r>
          </w:p>
        </w:tc>
        <w:tc>
          <w:tcPr>
            <w:tcW w:w="0" w:type="dxa"/>
            <w:vAlign w:val="bottom"/>
          </w:tcPr>
          <w:p>
            <w:pPr>
              <w:spacing w:after="0"/>
              <w:rPr>
                <w:sz w:val="1"/>
                <w:szCs w:val="1"/>
                <w:color w:val="auto"/>
              </w:rPr>
            </w:pPr>
          </w:p>
        </w:tc>
      </w:tr>
      <w:tr>
        <w:trPr>
          <w:trHeight w:val="160"/>
        </w:trPr>
        <w:tc>
          <w:tcPr>
            <w:tcW w:w="2640" w:type="dxa"/>
            <w:vAlign w:val="bottom"/>
            <w:tcBorders>
              <w:top w:val="single" w:sz="8" w:color="auto"/>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3"/>
                <w:szCs w:val="13"/>
                <w:b w:val="1"/>
                <w:bCs w:val="1"/>
                <w:color w:val="auto"/>
              </w:rPr>
              <w:t>Net investment hedges</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Cross-currency 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ind w:left="960"/>
              <w:spacing w:after="0"/>
              <w:rPr>
                <w:sz w:val="20"/>
                <w:szCs w:val="20"/>
                <w:color w:val="auto"/>
              </w:rPr>
            </w:pPr>
            <w:r>
              <w:rPr>
                <w:rFonts w:ascii="Times New Roman" w:cs="Times New Roman" w:eastAsia="Times New Roman" w:hAnsi="Times New Roman"/>
                <w:sz w:val="13"/>
                <w:szCs w:val="13"/>
                <w:color w:val="auto"/>
                <w:w w:val="92"/>
              </w:rPr>
              <w:t>(3)</w:t>
            </w:r>
          </w:p>
        </w:tc>
        <w:tc>
          <w:tcPr>
            <w:tcW w:w="100" w:type="dxa"/>
            <w:vAlign w:val="bottom"/>
          </w:tcPr>
          <w:p>
            <w:pPr>
              <w:spacing w:after="0"/>
              <w:rPr>
                <w:sz w:val="14"/>
                <w:szCs w:val="14"/>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108</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2"/>
        </w:trPr>
        <w:tc>
          <w:tcPr>
            <w:tcW w:w="272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b w:val="1"/>
                <w:bCs w:val="1"/>
                <w:color w:val="auto"/>
              </w:rPr>
              <w:t>Cash flow hedges</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Interest rate 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72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b w:val="1"/>
                <w:bCs w:val="1"/>
                <w:color w:val="auto"/>
              </w:rPr>
              <w:t>Fair value hedges</w:t>
            </w:r>
            <w:r>
              <w:rPr>
                <w:rFonts w:ascii="Times New Roman" w:cs="Times New Roman" w:eastAsia="Times New Roman" w:hAnsi="Times New Roman"/>
                <w:sz w:val="16"/>
                <w:szCs w:val="16"/>
                <w:b w:val="1"/>
                <w:bCs w:val="1"/>
                <w:color w:val="auto"/>
                <w:vertAlign w:val="superscript"/>
              </w:rPr>
              <w:t>(2)</w:t>
            </w: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Cross-currency 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60" w:hanging="155"/>
        <w:spacing w:after="0"/>
        <w:tabs>
          <w:tab w:leader="none" w:pos="16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reclassified to net income are reported in Interest expense, net in the Consolidated Statements of Operations.</w:t>
      </w:r>
    </w:p>
    <w:p>
      <w:pPr>
        <w:spacing w:after="0" w:line="12"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reclassified to net income are reported in Other income, net in the Consolidated Statements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Derivatives not designated as hedges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Gains and losses on derivatives not designated as hedges were recognized in Other income, net in the Consolidated Statements of Operations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5"/>
                <w:szCs w:val="15"/>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gain (loss) on foreign currency contracts</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gridSpan w:val="2"/>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4"/>
                <w:szCs w:val="14"/>
                <w:color w:val="auto"/>
              </w:rPr>
            </w:pPr>
          </w:p>
        </w:tc>
      </w:tr>
      <w:tr>
        <w:trPr>
          <w:trHeight w:val="435"/>
        </w:trPr>
        <w:tc>
          <w:tcPr>
            <w:tcW w:w="6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12. Accrued Expenses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1"/>
        </w:trPr>
        <w:tc>
          <w:tcPr>
            <w:tcW w:w="63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components of accrued expenses were as follows: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6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Salaries, benefits, related taxes and temporary labor</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2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Facility, transportation and related expenses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Value-added tax and other taxes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accrued expenses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20" w:type="dxa"/>
            <w:vAlign w:val="bottom"/>
            <w:tcBorders>
              <w:bottom w:val="single" w:sz="8" w:color="auto"/>
            </w:tcBorders>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accrued expenses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20" w:type="dxa"/>
            <w:vAlign w:val="bottom"/>
            <w:tcBorders>
              <w:bottom w:val="single" w:sz="8" w:color="auto"/>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Stockholders’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Repurchase Plan</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On February 18, 2025, the Company’s board of directors authorized and announced the repurchase of up to $500 million (the “Repurchase Plan”) of its common stock. The Repurchase Plan permits shares of common stock to be repurchased from time to time in management’s discretion, through a variety of methods, including a 10b5-1 trading plan, open market purchases, privately negotiated transactions or otherwise. The timing and number of shares of common stock repurchased will depend on a variety of factors, including price, general business and market conditions, alternative investment opportunities and funding considerations. The Repurchase Plan does not obligate the Company to repurchase any specific number of shares of common stock and may be suspended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65" w:name="page66"/>
    <w:bookmarkEnd w:id="65"/>
    <w:p>
      <w:pPr>
        <w:ind w:right="40"/>
        <w:spacing w:after="0" w:line="270" w:lineRule="auto"/>
        <w:rPr>
          <w:sz w:val="20"/>
          <w:szCs w:val="20"/>
          <w:color w:val="auto"/>
        </w:rPr>
      </w:pPr>
      <w:r>
        <w:rPr>
          <w:rFonts w:ascii="Times New Roman" w:cs="Times New Roman" w:eastAsia="Times New Roman" w:hAnsi="Times New Roman"/>
          <w:sz w:val="14"/>
          <w:szCs w:val="14"/>
          <w:color w:val="auto"/>
        </w:rPr>
        <w:t>The repurchase of shares of the Company’s common stock is recorded as treasury stock within equity and is accounted for under the cost method inclusive of share repurchase costs and excise tax on share repurchases in excess of issuances. In 2025, the Company repurchased approximately 5.4 million shares of its common stock for an aggregate purchase price of $202 million, including share repurchase costs and excise tax. As of December 31, 2025, the remaining authorization under the Repurchase Plan was $300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Income - Loss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changes in AOCIL by component:</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gridSpan w:val="5"/>
          </w:tcPr>
          <w:p>
            <w:pPr>
              <w:ind w:left="340"/>
              <w:spacing w:after="0"/>
              <w:rPr>
                <w:sz w:val="20"/>
                <w:szCs w:val="20"/>
                <w:color w:val="auto"/>
              </w:rPr>
            </w:pPr>
            <w:r>
              <w:rPr>
                <w:rFonts w:ascii="Times New Roman" w:cs="Times New Roman" w:eastAsia="Times New Roman" w:hAnsi="Times New Roman"/>
                <w:sz w:val="10"/>
                <w:szCs w:val="10"/>
                <w:b w:val="1"/>
                <w:bCs w:val="1"/>
                <w:color w:val="auto"/>
              </w:rPr>
              <w:t>Foreign Currency Adjustment</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gridSpan w:val="2"/>
          </w:tcPr>
          <w:p>
            <w:pPr>
              <w:jc w:val="center"/>
              <w:ind w:right="280"/>
              <w:spacing w:after="0" w:line="105" w:lineRule="exact"/>
              <w:rPr>
                <w:sz w:val="20"/>
                <w:szCs w:val="20"/>
                <w:color w:val="auto"/>
              </w:rPr>
            </w:pPr>
            <w:r>
              <w:rPr>
                <w:rFonts w:ascii="Times New Roman" w:cs="Times New Roman" w:eastAsia="Times New Roman" w:hAnsi="Times New Roman"/>
                <w:sz w:val="11"/>
                <w:szCs w:val="11"/>
                <w:b w:val="1"/>
                <w:bCs w:val="1"/>
                <w:color w:val="auto"/>
              </w:rPr>
              <w:t>Foreign</w:t>
            </w:r>
          </w:p>
        </w:tc>
        <w:tc>
          <w:tcPr>
            <w:tcW w:w="1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Cash</w:t>
            </w:r>
          </w:p>
        </w:tc>
        <w:tc>
          <w:tcPr>
            <w:tcW w:w="160" w:type="dxa"/>
            <w:vAlign w:val="bottom"/>
          </w:tcPr>
          <w:p>
            <w:pPr>
              <w:spacing w:after="0"/>
              <w:rPr>
                <w:sz w:val="9"/>
                <w:szCs w:val="9"/>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Fair</w:t>
            </w:r>
          </w:p>
        </w:tc>
        <w:tc>
          <w:tcPr>
            <w:tcW w:w="180" w:type="dxa"/>
            <w:vAlign w:val="bottom"/>
          </w:tcPr>
          <w:p>
            <w:pPr>
              <w:spacing w:after="0"/>
              <w:rPr>
                <w:sz w:val="9"/>
                <w:szCs w:val="9"/>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Defined</w:t>
            </w:r>
          </w:p>
        </w:tc>
        <w:tc>
          <w:tcPr>
            <w:tcW w:w="220" w:type="dxa"/>
            <w:vAlign w:val="bottom"/>
          </w:tcPr>
          <w:p>
            <w:pPr>
              <w:spacing w:after="0"/>
              <w:rPr>
                <w:sz w:val="9"/>
                <w:szCs w:val="9"/>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Less: AOCIL</w:t>
            </w:r>
          </w:p>
        </w:tc>
        <w:tc>
          <w:tcPr>
            <w:tcW w:w="180" w:type="dxa"/>
            <w:vAlign w:val="bottom"/>
          </w:tcPr>
          <w:p>
            <w:pPr>
              <w:spacing w:after="0"/>
              <w:rPr>
                <w:sz w:val="9"/>
                <w:szCs w:val="9"/>
                <w:color w:val="auto"/>
              </w:rPr>
            </w:pPr>
          </w:p>
        </w:tc>
        <w:tc>
          <w:tcPr>
            <w:tcW w:w="1020" w:type="dxa"/>
            <w:vAlign w:val="bottom"/>
            <w:vMerge w:val="restart"/>
          </w:tcPr>
          <w:p>
            <w:pPr>
              <w:jc w:val="center"/>
              <w:ind w:right="117"/>
              <w:spacing w:after="0"/>
              <w:rPr>
                <w:sz w:val="20"/>
                <w:szCs w:val="20"/>
                <w:color w:val="auto"/>
              </w:rPr>
            </w:pPr>
            <w:r>
              <w:rPr>
                <w:rFonts w:ascii="Times New Roman" w:cs="Times New Roman" w:eastAsia="Times New Roman" w:hAnsi="Times New Roman"/>
                <w:sz w:val="11"/>
                <w:szCs w:val="11"/>
                <w:b w:val="1"/>
                <w:bCs w:val="1"/>
                <w:color w:val="auto"/>
                <w:w w:val="99"/>
              </w:rPr>
              <w:t>AOCIL</w:t>
            </w:r>
          </w:p>
        </w:tc>
        <w:tc>
          <w:tcPr>
            <w:tcW w:w="0" w:type="dxa"/>
            <w:vAlign w:val="bottom"/>
          </w:tcPr>
          <w:p>
            <w:pPr>
              <w:spacing w:after="0"/>
              <w:rPr>
                <w:sz w:val="1"/>
                <w:szCs w:val="1"/>
                <w:color w:val="auto"/>
              </w:rPr>
            </w:pPr>
          </w:p>
        </w:tc>
      </w:tr>
      <w:tr>
        <w:trPr>
          <w:trHeight w:val="115"/>
        </w:trPr>
        <w:tc>
          <w:tcPr>
            <w:tcW w:w="2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rPr>
              <w:t>Currency</w:t>
            </w:r>
          </w:p>
        </w:tc>
        <w:tc>
          <w:tcPr>
            <w:tcW w:w="140" w:type="dxa"/>
            <w:vAlign w:val="bottom"/>
          </w:tcPr>
          <w:p>
            <w:pPr>
              <w:spacing w:after="0"/>
              <w:rPr>
                <w:sz w:val="9"/>
                <w:szCs w:val="9"/>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Net Investment</w:t>
            </w:r>
          </w:p>
        </w:tc>
        <w:tc>
          <w:tcPr>
            <w:tcW w:w="1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center"/>
              <w:ind w:right="280"/>
              <w:spacing w:after="0" w:line="117" w:lineRule="exact"/>
              <w:rPr>
                <w:sz w:val="20"/>
                <w:szCs w:val="20"/>
                <w:color w:val="auto"/>
              </w:rPr>
            </w:pPr>
            <w:r>
              <w:rPr>
                <w:rFonts w:ascii="Times New Roman" w:cs="Times New Roman" w:eastAsia="Times New Roman" w:hAnsi="Times New Roman"/>
                <w:sz w:val="11"/>
                <w:szCs w:val="11"/>
                <w:b w:val="1"/>
                <w:bCs w:val="1"/>
                <w:color w:val="auto"/>
                <w:w w:val="98"/>
              </w:rPr>
              <w:t>Translation</w:t>
            </w: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280"/>
              <w:spacing w:after="0" w:line="117" w:lineRule="exact"/>
              <w:rPr>
                <w:sz w:val="20"/>
                <w:szCs w:val="20"/>
                <w:color w:val="auto"/>
              </w:rPr>
            </w:pPr>
            <w:r>
              <w:rPr>
                <w:rFonts w:ascii="Times New Roman" w:cs="Times New Roman" w:eastAsia="Times New Roman" w:hAnsi="Times New Roman"/>
                <w:sz w:val="11"/>
                <w:szCs w:val="11"/>
                <w:b w:val="1"/>
                <w:bCs w:val="1"/>
                <w:color w:val="auto"/>
              </w:rPr>
              <w:t>Flow</w:t>
            </w:r>
          </w:p>
        </w:tc>
        <w:tc>
          <w:tcPr>
            <w:tcW w:w="160" w:type="dxa"/>
            <w:vAlign w:val="bottom"/>
          </w:tcPr>
          <w:p>
            <w:pPr>
              <w:spacing w:after="0"/>
              <w:rPr>
                <w:sz w:val="10"/>
                <w:szCs w:val="10"/>
                <w:color w:val="auto"/>
              </w:rPr>
            </w:pPr>
          </w:p>
        </w:tc>
        <w:tc>
          <w:tcPr>
            <w:tcW w:w="80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w w:val="94"/>
              </w:rPr>
              <w:t>Value</w:t>
            </w:r>
          </w:p>
        </w:tc>
        <w:tc>
          <w:tcPr>
            <w:tcW w:w="180" w:type="dxa"/>
            <w:vAlign w:val="bottom"/>
          </w:tcPr>
          <w:p>
            <w:pPr>
              <w:spacing w:after="0"/>
              <w:rPr>
                <w:sz w:val="10"/>
                <w:szCs w:val="10"/>
                <w:color w:val="auto"/>
              </w:rPr>
            </w:pPr>
          </w:p>
        </w:tc>
        <w:tc>
          <w:tcPr>
            <w:tcW w:w="88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rPr>
              <w:t>Benefit</w:t>
            </w:r>
          </w:p>
        </w:tc>
        <w:tc>
          <w:tcPr>
            <w:tcW w:w="220" w:type="dxa"/>
            <w:vAlign w:val="bottom"/>
          </w:tcPr>
          <w:p>
            <w:pPr>
              <w:spacing w:after="0"/>
              <w:rPr>
                <w:sz w:val="10"/>
                <w:szCs w:val="10"/>
                <w:color w:val="auto"/>
              </w:rPr>
            </w:pPr>
          </w:p>
        </w:tc>
        <w:tc>
          <w:tcPr>
            <w:tcW w:w="1240" w:type="dxa"/>
            <w:vAlign w:val="bottom"/>
            <w:gridSpan w:val="2"/>
          </w:tcPr>
          <w:p>
            <w:pPr>
              <w:jc w:val="center"/>
              <w:ind w:right="300"/>
              <w:spacing w:after="0" w:line="117" w:lineRule="exact"/>
              <w:rPr>
                <w:sz w:val="20"/>
                <w:szCs w:val="20"/>
                <w:color w:val="auto"/>
              </w:rPr>
            </w:pPr>
            <w:r>
              <w:rPr>
                <w:rFonts w:ascii="Times New Roman" w:cs="Times New Roman" w:eastAsia="Times New Roman" w:hAnsi="Times New Roman"/>
                <w:sz w:val="11"/>
                <w:szCs w:val="11"/>
                <w:b w:val="1"/>
                <w:bCs w:val="1"/>
                <w:color w:val="auto"/>
              </w:rPr>
              <w:t>attributable to</w:t>
            </w:r>
          </w:p>
        </w:tc>
        <w:tc>
          <w:tcPr>
            <w:tcW w:w="180" w:type="dxa"/>
            <w:vAlign w:val="bottom"/>
          </w:tcPr>
          <w:p>
            <w:pPr>
              <w:spacing w:after="0"/>
              <w:rPr>
                <w:sz w:val="10"/>
                <w:szCs w:val="10"/>
                <w:color w:val="auto"/>
              </w:rPr>
            </w:pPr>
          </w:p>
        </w:tc>
        <w:tc>
          <w:tcPr>
            <w:tcW w:w="1020" w:type="dxa"/>
            <w:vAlign w:val="bottom"/>
          </w:tcPr>
          <w:p>
            <w:pPr>
              <w:jc w:val="center"/>
              <w:ind w:right="137"/>
              <w:spacing w:after="0" w:line="117" w:lineRule="exact"/>
              <w:rPr>
                <w:sz w:val="20"/>
                <w:szCs w:val="20"/>
                <w:color w:val="auto"/>
              </w:rPr>
            </w:pPr>
            <w:r>
              <w:rPr>
                <w:rFonts w:ascii="Times New Roman" w:cs="Times New Roman" w:eastAsia="Times New Roman" w:hAnsi="Times New Roman"/>
                <w:sz w:val="11"/>
                <w:szCs w:val="11"/>
                <w:b w:val="1"/>
                <w:bCs w:val="1"/>
                <w:color w:val="auto"/>
              </w:rPr>
              <w:t>attributable</w:t>
            </w:r>
          </w:p>
        </w:tc>
        <w:tc>
          <w:tcPr>
            <w:tcW w:w="0" w:type="dxa"/>
            <w:vAlign w:val="bottom"/>
          </w:tcPr>
          <w:p>
            <w:pPr>
              <w:spacing w:after="0"/>
              <w:rPr>
                <w:sz w:val="1"/>
                <w:szCs w:val="1"/>
                <w:color w:val="auto"/>
              </w:rPr>
            </w:pPr>
          </w:p>
        </w:tc>
      </w:tr>
      <w:tr>
        <w:trPr>
          <w:trHeight w:val="155"/>
        </w:trPr>
        <w:tc>
          <w:tcPr>
            <w:tcW w:w="29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Hedges</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1"/>
                <w:szCs w:val="11"/>
                <w:b w:val="1"/>
                <w:bCs w:val="1"/>
                <w:color w:val="auto"/>
                <w:w w:val="99"/>
              </w:rPr>
              <w:t>Hedges</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1"/>
                <w:szCs w:val="11"/>
                <w:b w:val="1"/>
                <w:bCs w:val="1"/>
                <w:color w:val="auto"/>
                <w:w w:val="99"/>
              </w:rPr>
              <w:t>Hedges</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1"/>
                <w:szCs w:val="11"/>
                <w:b w:val="1"/>
                <w:bCs w:val="1"/>
                <w:color w:val="auto"/>
              </w:rPr>
              <w:t>Plans</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1"/>
                <w:szCs w:val="11"/>
                <w:b w:val="1"/>
                <w:bCs w:val="1"/>
                <w:color w:val="auto"/>
              </w:rPr>
              <w:t>NCI</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1"/>
                <w:szCs w:val="11"/>
                <w:b w:val="1"/>
                <w:bCs w:val="1"/>
                <w:color w:val="auto"/>
              </w:rPr>
              <w:t>to GXO</w:t>
            </w:r>
          </w:p>
        </w:tc>
        <w:tc>
          <w:tcPr>
            <w:tcW w:w="0" w:type="dxa"/>
            <w:vAlign w:val="bottom"/>
          </w:tcPr>
          <w:p>
            <w:pPr>
              <w:spacing w:after="0"/>
              <w:rPr>
                <w:sz w:val="1"/>
                <w:szCs w:val="1"/>
                <w:color w:val="auto"/>
              </w:rPr>
            </w:pPr>
          </w:p>
        </w:tc>
      </w:tr>
      <w:tr>
        <w:trPr>
          <w:trHeight w:val="19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 2022</w:t>
            </w: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gridSpan w:val="2"/>
            <w:vMerge w:val="restart"/>
          </w:tcPr>
          <w:p>
            <w:pPr>
              <w:ind w:left="20"/>
              <w:spacing w:after="0" w:line="109" w:lineRule="exact"/>
              <w:rPr>
                <w:sz w:val="20"/>
                <w:szCs w:val="20"/>
                <w:color w:val="auto"/>
              </w:rPr>
            </w:pPr>
            <w:r>
              <w:rPr>
                <w:rFonts w:ascii="Times New Roman" w:cs="Times New Roman" w:eastAsia="Times New Roman" w:hAnsi="Times New Roman"/>
                <w:sz w:val="12"/>
                <w:szCs w:val="12"/>
                <w:color w:val="auto"/>
              </w:rPr>
              <w:t>Other comprehensive income (loss) before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30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5"/>
                <w:szCs w:val="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reclassifications</w:t>
            </w: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Amounts reclassified to net income</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Tax amounts</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3"/>
        </w:trPr>
        <w:tc>
          <w:tcPr>
            <w:tcW w:w="3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0"/>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060" w:type="dxa"/>
            <w:vAlign w:val="bottom"/>
            <w:gridSpan w:val="2"/>
            <w:shd w:val="clear" w:color="auto" w:fill="CCEEFF"/>
          </w:tcPr>
          <w:p>
            <w:pPr>
              <w:ind w:left="20"/>
              <w:spacing w:after="0" w:line="89" w:lineRule="exact"/>
              <w:rPr>
                <w:sz w:val="20"/>
                <w:szCs w:val="20"/>
                <w:color w:val="auto"/>
              </w:rPr>
            </w:pPr>
            <w:r>
              <w:rPr>
                <w:rFonts w:ascii="Times New Roman" w:cs="Times New Roman" w:eastAsia="Times New Roman" w:hAnsi="Times New Roman"/>
                <w:sz w:val="10"/>
                <w:szCs w:val="10"/>
                <w:color w:val="auto"/>
              </w:rPr>
              <w:t>Other comprehensive income (loss) before</w:t>
            </w:r>
          </w:p>
        </w:tc>
        <w:tc>
          <w:tcPr>
            <w:tcW w:w="180" w:type="dxa"/>
            <w:vAlign w:val="bottom"/>
            <w:shd w:val="clear" w:color="auto" w:fill="CCEEFF"/>
          </w:tcPr>
          <w:p>
            <w:pPr>
              <w:spacing w:after="0"/>
              <w:rPr>
                <w:sz w:val="7"/>
                <w:szCs w:val="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7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reclassifications</w:t>
            </w:r>
          </w:p>
        </w:tc>
        <w:tc>
          <w:tcPr>
            <w:tcW w:w="18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Amounts reclassified to net income</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amounts</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8"/>
        </w:trPr>
        <w:tc>
          <w:tcPr>
            <w:tcW w:w="3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88"/>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gridSpan w:val="2"/>
            <w:vMerge w:val="restart"/>
          </w:tcPr>
          <w:p>
            <w:pPr>
              <w:ind w:left="20"/>
              <w:spacing w:after="0" w:line="109" w:lineRule="exact"/>
              <w:rPr>
                <w:sz w:val="20"/>
                <w:szCs w:val="20"/>
                <w:color w:val="auto"/>
              </w:rPr>
            </w:pPr>
            <w:r>
              <w:rPr>
                <w:rFonts w:ascii="Times New Roman" w:cs="Times New Roman" w:eastAsia="Times New Roman" w:hAnsi="Times New Roman"/>
                <w:sz w:val="12"/>
                <w:szCs w:val="12"/>
                <w:color w:val="auto"/>
              </w:rPr>
              <w:t>Other comprehensive income (loss) before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30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5"/>
                <w:szCs w:val="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68"/>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reclassifications</w:t>
            </w: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Amounts reclassified to net income</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Tax amounts</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60"/>
        </w:trPr>
        <w:tc>
          <w:tcPr>
            <w:tcW w:w="3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0" w:type="dxa"/>
            <w:vAlign w:val="bottom"/>
          </w:tcPr>
          <w:p>
            <w:pPr>
              <w:spacing w:after="0"/>
              <w:rPr>
                <w:sz w:val="1"/>
                <w:szCs w:val="1"/>
                <w:color w:val="auto"/>
              </w:rPr>
            </w:pPr>
          </w:p>
        </w:tc>
      </w:tr>
      <w:tr>
        <w:trPr>
          <w:trHeight w:val="16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Stock-Based Compensation</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In 2021, the Company established the 2021 Omnibus Incentive Plan (the “2021 Incentive Plan”). The 2021 Incentive Plan authorizes the issuance of up to 11.6 million shares of common stock as awards. Under the 2021 Incentive Plan, directors, officers and employees may be granted various types of stock-based compensation awards. These awards include stock options, RSUs, PSUs, RSAs, and cash incentive awards. As of December 31, 2025, approximately 5.8 million shares of common stock were available for the grant under the 2021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color w:val="auto"/>
        </w:rPr>
        <w:t>The following table summarizes stock-based compensation expense by line item in the Consolidated Statements of Operations: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Restructuring costs and other</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stock-based compensation expense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tax expense (benefit) on stock-based compensation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00" w:type="dxa"/>
            <w:vAlign w:val="bottom"/>
            <w:gridSpan w:val="2"/>
            <w:vMerge w:val="continue"/>
          </w:tcPr>
          <w:p>
            <w:pPr>
              <w:spacing w:after="0"/>
              <w:rPr>
                <w:sz w:val="12"/>
                <w:szCs w:val="12"/>
                <w:color w:val="auto"/>
              </w:rPr>
            </w:pPr>
          </w:p>
        </w:tc>
        <w:tc>
          <w:tcPr>
            <w:tcW w:w="360" w:type="dxa"/>
            <w:vAlign w:val="bottom"/>
            <w:tcBorders>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2"/>
                <w:szCs w:val="12"/>
                <w:color w:val="auto"/>
              </w:rPr>
            </w:pPr>
          </w:p>
        </w:tc>
        <w:tc>
          <w:tcPr>
            <w:tcW w:w="360" w:type="dxa"/>
            <w:vAlign w:val="bottom"/>
            <w:tcBorders>
              <w:bottom w:val="single" w:sz="8" w:color="auto"/>
            </w:tcBorders>
          </w:tcPr>
          <w:p>
            <w:pPr>
              <w:ind w:left="2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stock-based compensation expense by award type in the Consolidated Statements of Operations: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PSUs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RSAs</w:t>
            </w:r>
          </w:p>
        </w:tc>
        <w:tc>
          <w:tcPr>
            <w:tcW w:w="36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stock-based compensation expense</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In 2021, the Company granted stock option awards that vest over five years from the grant date and have a ten-year contractual term, at an option price equal to the fair market value of the award on the grant date.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 summary of the stock option award activity for the year ended December 31, 2025, is as follows:</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160" w:type="dxa"/>
            <w:vAlign w:val="bottom"/>
          </w:tcPr>
          <w:p>
            <w:pPr>
              <w:spacing w:after="0"/>
              <w:rPr>
                <w:sz w:val="24"/>
                <w:szCs w:val="2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380" w:type="dxa"/>
            <w:vAlign w:val="bottom"/>
            <w:gridSpan w:val="2"/>
            <w:vMerge w:val="continue"/>
          </w:tcPr>
          <w:p>
            <w:pPr>
              <w:spacing w:after="0"/>
              <w:rPr>
                <w:sz w:val="16"/>
                <w:szCs w:val="16"/>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Remaining Term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Outstanding as of December 31, 2024</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64.67</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w w:val="99"/>
              </w:rPr>
              <w:t>6 years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Exercised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Forfeited or 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64.91</w:t>
            </w:r>
          </w:p>
        </w:tc>
        <w:tc>
          <w:tcPr>
            <w:tcW w:w="80" w:type="dxa"/>
            <w:vAlign w:val="bottom"/>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Outstanding as of December 31, 2025</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65.07</w:t>
            </w:r>
          </w:p>
        </w:tc>
        <w:tc>
          <w:tcPr>
            <w:tcW w:w="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w w:val="99"/>
              </w:rPr>
              <w:t>4 years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6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Exercisable as of December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65.05</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w w:val="99"/>
              </w:rPr>
              <w:t>4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intrinsic value of the stock options exercised during 2025, 2024 and 2023, was $0.2 million, zero and zero,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unrecognized stock-based compensation expense related to stock options was $1 million and is expected to be recognized over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color w:val="auto"/>
        </w:rPr>
        <w:t>Restricted Stock Units and Performance-Based Units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grants RSUs and PSUs to its key employees, officers and directors with various vesting requirements. The holders of the RSUs and PSUs do not have the rights of a stockholder and do not have voting rights until the shares are issued and delivered in settlement of the awards. RSUs generally vest over the service period, typically three years, and PSUs generally vest based on achieving certain predefined performance objectives along with a service period. For PSUs, the number of shares may be increased to the maximum or reduced to the minimum threshold based on the results of these performance metrics in accordance with the terms established at the time of the award.</w:t>
      </w:r>
    </w:p>
    <w:p>
      <w:pPr>
        <w:spacing w:after="0" w:line="16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 granted a portion of PSUs subject to market-based vesting conditions. The Company determines the fair value of PSUs subject to market-based vesting conditions using a Monte Carlo simulation model that incorporates the probability of the performance conditions being met as of the grant date. Assumptions used in the Monte Carlo simulation model for the estimated fair value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risk-free interest rate</w:t>
            </w: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0" w:type="dxa"/>
            <w:vAlign w:val="bottom"/>
          </w:tcPr>
          <w:p>
            <w:pPr>
              <w:spacing w:after="0"/>
              <w:rPr>
                <w:sz w:val="1"/>
                <w:szCs w:val="1"/>
                <w:color w:val="auto"/>
              </w:rPr>
            </w:pPr>
          </w:p>
        </w:tc>
      </w:tr>
      <w:tr>
        <w:trPr>
          <w:trHeight w:val="184"/>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0" w:type="dxa"/>
            <w:vAlign w:val="bottom"/>
          </w:tcPr>
          <w:p>
            <w:pPr>
              <w:spacing w:after="0"/>
              <w:rPr>
                <w:sz w:val="1"/>
                <w:szCs w:val="1"/>
                <w:color w:val="auto"/>
              </w:rPr>
            </w:pPr>
          </w:p>
        </w:tc>
      </w:tr>
      <w:tr>
        <w:trPr>
          <w:trHeight w:val="431"/>
        </w:trPr>
        <w:tc>
          <w:tcPr>
            <w:tcW w:w="5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 summary of the RSUs and PSUs award activity for the year ended December 31, 2025, is as follows: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4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RSUs</w:t>
            </w: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4"/>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PSUs</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vMerge w:val="restart"/>
          </w:tcPr>
          <w:p>
            <w:pPr>
              <w:jc w:val="center"/>
              <w:ind w:left="38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gridSpan w:val="3"/>
          </w:tcPr>
          <w:p>
            <w:pPr>
              <w:jc w:val="center"/>
              <w:ind w:right="129"/>
              <w:spacing w:after="0" w:line="106" w:lineRule="exact"/>
              <w:rPr>
                <w:sz w:val="20"/>
                <w:szCs w:val="20"/>
                <w:color w:val="auto"/>
              </w:rPr>
            </w:pPr>
            <w:r>
              <w:rPr>
                <w:rFonts w:ascii="Times New Roman" w:cs="Times New Roman" w:eastAsia="Times New Roman" w:hAnsi="Times New Roman"/>
                <w:sz w:val="11"/>
                <w:szCs w:val="11"/>
                <w:b w:val="1"/>
                <w:bCs w:val="1"/>
                <w:color w:val="auto"/>
              </w:rPr>
              <w:t>Weighted-Average</w:t>
            </w: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jc w:val="center"/>
              <w:ind w:right="153"/>
              <w:spacing w:after="0" w:line="106" w:lineRule="exact"/>
              <w:rPr>
                <w:sz w:val="20"/>
                <w:szCs w:val="20"/>
                <w:color w:val="auto"/>
              </w:rPr>
            </w:pPr>
            <w:r>
              <w:rPr>
                <w:rFonts w:ascii="Times New Roman" w:cs="Times New Roman" w:eastAsia="Times New Roman" w:hAnsi="Times New Roman"/>
                <w:sz w:val="11"/>
                <w:szCs w:val="11"/>
                <w:b w:val="1"/>
                <w:bCs w:val="1"/>
                <w:color w:val="auto"/>
              </w:rPr>
              <w:t>Weighted-Average</w:t>
            </w:r>
          </w:p>
        </w:tc>
        <w:tc>
          <w:tcPr>
            <w:tcW w:w="0" w:type="dxa"/>
            <w:vAlign w:val="bottom"/>
          </w:tcPr>
          <w:p>
            <w:pPr>
              <w:spacing w:after="0"/>
              <w:rPr>
                <w:sz w:val="1"/>
                <w:szCs w:val="1"/>
                <w:color w:val="auto"/>
              </w:rPr>
            </w:pPr>
          </w:p>
        </w:tc>
      </w:tr>
      <w:tr>
        <w:trPr>
          <w:trHeight w:val="117"/>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w:t>
            </w:r>
          </w:p>
        </w:tc>
        <w:tc>
          <w:tcPr>
            <w:tcW w:w="1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4"/>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rPr>
              <w:t>Grant Date Fair</w:t>
            </w:r>
          </w:p>
        </w:tc>
        <w:tc>
          <w:tcPr>
            <w:tcW w:w="1620" w:type="dxa"/>
            <w:vAlign w:val="bottom"/>
            <w:gridSpan w:val="4"/>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Number of PSUs</w:t>
            </w:r>
          </w:p>
        </w:tc>
        <w:tc>
          <w:tcPr>
            <w:tcW w:w="220" w:type="dxa"/>
            <w:vAlign w:val="bottom"/>
          </w:tcPr>
          <w:p>
            <w:pPr>
              <w:spacing w:after="0"/>
              <w:rPr>
                <w:sz w:val="10"/>
                <w:szCs w:val="10"/>
                <w:color w:val="auto"/>
              </w:rPr>
            </w:pPr>
          </w:p>
        </w:tc>
        <w:tc>
          <w:tcPr>
            <w:tcW w:w="1320" w:type="dxa"/>
            <w:vAlign w:val="bottom"/>
          </w:tcPr>
          <w:p>
            <w:pPr>
              <w:jc w:val="center"/>
              <w:ind w:right="153"/>
              <w:spacing w:after="0" w:line="117" w:lineRule="exact"/>
              <w:rPr>
                <w:sz w:val="20"/>
                <w:szCs w:val="20"/>
                <w:color w:val="auto"/>
              </w:rPr>
            </w:pPr>
            <w:r>
              <w:rPr>
                <w:rFonts w:ascii="Times New Roman" w:cs="Times New Roman" w:eastAsia="Times New Roman" w:hAnsi="Times New Roman"/>
                <w:sz w:val="11"/>
                <w:szCs w:val="11"/>
                <w:b w:val="1"/>
                <w:bCs w:val="1"/>
                <w:color w:val="auto"/>
              </w:rPr>
              <w:t>Grant Date Fair</w:t>
            </w:r>
          </w:p>
        </w:tc>
        <w:tc>
          <w:tcPr>
            <w:tcW w:w="0" w:type="dxa"/>
            <w:vAlign w:val="bottom"/>
          </w:tcPr>
          <w:p>
            <w:pPr>
              <w:spacing w:after="0"/>
              <w:rPr>
                <w:sz w:val="1"/>
                <w:szCs w:val="1"/>
                <w:color w:val="auto"/>
              </w:rPr>
            </w:pPr>
          </w:p>
        </w:tc>
      </w:tr>
      <w:tr>
        <w:trPr>
          <w:trHeight w:val="159"/>
        </w:trPr>
        <w:tc>
          <w:tcPr>
            <w:tcW w:w="4880" w:type="dxa"/>
            <w:vAlign w:val="bottom"/>
            <w:gridSpan w:val="2"/>
            <w:vMerge w:val="continue"/>
          </w:tcPr>
          <w:p>
            <w:pPr>
              <w:spacing w:after="0"/>
              <w:rPr>
                <w:sz w:val="13"/>
                <w:szCs w:val="13"/>
                <w:color w:val="auto"/>
              </w:rPr>
            </w:pPr>
          </w:p>
        </w:tc>
        <w:tc>
          <w:tcPr>
            <w:tcW w:w="1100" w:type="dxa"/>
            <w:vAlign w:val="bottom"/>
          </w:tcPr>
          <w:p>
            <w:pPr>
              <w:jc w:val="center"/>
              <w:ind w:left="383"/>
              <w:spacing w:after="0"/>
              <w:rPr>
                <w:sz w:val="20"/>
                <w:szCs w:val="20"/>
                <w:color w:val="auto"/>
              </w:rPr>
            </w:pPr>
            <w:r>
              <w:rPr>
                <w:rFonts w:ascii="Times New Roman" w:cs="Times New Roman" w:eastAsia="Times New Roman" w:hAnsi="Times New Roman"/>
                <w:sz w:val="11"/>
                <w:szCs w:val="11"/>
                <w:b w:val="1"/>
                <w:bCs w:val="1"/>
                <w:color w:val="auto"/>
                <w:w w:val="98"/>
              </w:rPr>
              <w:t>RSUs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4"/>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62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33"/>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71"/>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as of December 31, 2024</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1,379</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52.38</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0" w:type="dxa"/>
            <w:vAlign w:val="bottom"/>
          </w:tcPr>
          <w:p>
            <w:pPr>
              <w:spacing w:after="0"/>
              <w:rPr>
                <w:sz w:val="1"/>
                <w:szCs w:val="1"/>
                <w:color w:val="auto"/>
              </w:rPr>
            </w:pPr>
          </w:p>
        </w:tc>
      </w:tr>
      <w:tr>
        <w:trPr>
          <w:trHeight w:val="18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spacing w:after="0"/>
              <w:rPr>
                <w:sz w:val="15"/>
                <w:szCs w:val="15"/>
                <w:color w:val="auto"/>
              </w:rPr>
            </w:pPr>
          </w:p>
        </w:tc>
        <w:tc>
          <w:tcPr>
            <w:tcW w:w="44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1,193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39.75</w:t>
            </w:r>
          </w:p>
        </w:tc>
        <w:tc>
          <w:tcPr>
            <w:tcW w:w="8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41.27</w:t>
            </w:r>
          </w:p>
        </w:tc>
        <w:tc>
          <w:tcPr>
            <w:tcW w:w="0" w:type="dxa"/>
            <w:vAlign w:val="bottom"/>
          </w:tcPr>
          <w:p>
            <w:pPr>
              <w:spacing w:after="0"/>
              <w:rPr>
                <w:sz w:val="1"/>
                <w:szCs w:val="1"/>
                <w:color w:val="auto"/>
              </w:rPr>
            </w:pPr>
          </w:p>
        </w:tc>
      </w:tr>
      <w:tr>
        <w:trPr>
          <w:trHeight w:val="180"/>
        </w:trPr>
        <w:tc>
          <w:tcPr>
            <w:tcW w:w="48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Vested</w:t>
            </w:r>
            <w:r>
              <w:rPr>
                <w:rFonts w:ascii="Times New Roman" w:cs="Times New Roman" w:eastAsia="Times New Roman" w:hAnsi="Times New Roman"/>
                <w:sz w:val="18"/>
                <w:szCs w:val="18"/>
                <w:color w:val="auto"/>
                <w:vertAlign w:val="superscript"/>
              </w:rPr>
              <w:t>(1)</w:t>
            </w:r>
          </w:p>
        </w:tc>
        <w:tc>
          <w:tcPr>
            <w:tcW w:w="110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53.12</w:t>
            </w:r>
          </w:p>
        </w:tc>
        <w:tc>
          <w:tcPr>
            <w:tcW w:w="8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74.84</w:t>
            </w:r>
          </w:p>
        </w:tc>
        <w:tc>
          <w:tcPr>
            <w:tcW w:w="0" w:type="dxa"/>
            <w:vAlign w:val="bottom"/>
          </w:tcPr>
          <w:p>
            <w:pPr>
              <w:spacing w:after="0"/>
              <w:rPr>
                <w:sz w:val="1"/>
                <w:szCs w:val="1"/>
                <w:color w:val="auto"/>
              </w:rPr>
            </w:pPr>
          </w:p>
        </w:tc>
      </w:tr>
      <w:tr>
        <w:trPr>
          <w:trHeight w:val="180"/>
        </w:trPr>
        <w:tc>
          <w:tcPr>
            <w:tcW w:w="4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46.87</w:t>
            </w:r>
          </w:p>
        </w:tc>
        <w:tc>
          <w:tcPr>
            <w:tcW w:w="8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62.65</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as of December 31, 2025</w:t>
            </w:r>
          </w:p>
        </w:tc>
        <w:tc>
          <w:tcPr>
            <w:tcW w:w="1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1,768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44.27</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The number of RSUs and PSUs vested included common stock shares that the Company withheld on behalf of its employees to satisfy the tax withholding.</w:t>
      </w:r>
    </w:p>
    <w:p>
      <w:pPr>
        <w:spacing w:after="0" w:line="20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weighted-average grant-date fair value for RSUs granted in 2025, 2024 and 2023, was $39.75, $50.48 and $49.28, respectively. The total fair value of RSUs that vested during 2025, 2024 and 2023, was $24 million, $31 million and $22 million, respectively. The weighted-average grant-date fair value for PSUs granted in 2025, 2024 and 2023, was $41.27, $49.01 and $59.16, respectively. The total fair value of PSUs that vested during 2025, 2024 and 2023, was zero, $1 million, $7 million,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unrecognized stock-based compensation expense related to RSUs and PSUs was $63 million and is expected to be recognized over two years.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Awards</w:t>
      </w:r>
    </w:p>
    <w:p>
      <w:pPr>
        <w:spacing w:after="0" w:line="20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In 2024, the Company granted 12 thousand RSAs at a weighted-average price of $50.38 and a fair value of $1 million. These shares vested and were issued upon grant. No RSAs were granted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68" w:name="page69"/>
    <w:bookmarkEnd w:id="68"/>
    <w:p>
      <w:pPr>
        <w:ind w:right="9640" w:firstLine="5"/>
        <w:spacing w:after="0" w:line="539" w:lineRule="auto"/>
        <w:tabs>
          <w:tab w:leader="none" w:pos="212"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Employee Benefit Plans Pension Plans</w:t>
      </w:r>
    </w:p>
    <w:p>
      <w:pPr>
        <w:ind w:right="140"/>
        <w:spacing w:after="0" w:line="270" w:lineRule="auto"/>
        <w:rPr>
          <w:sz w:val="20"/>
          <w:szCs w:val="20"/>
          <w:color w:val="auto"/>
        </w:rPr>
      </w:pPr>
      <w:r>
        <w:rPr>
          <w:rFonts w:ascii="Times New Roman" w:cs="Times New Roman" w:eastAsia="Times New Roman" w:hAnsi="Times New Roman"/>
          <w:sz w:val="14"/>
          <w:szCs w:val="14"/>
          <w:color w:val="auto"/>
        </w:rPr>
        <w:t>Certain eligible employees of the Company participated in various retirement plans in Europe. The Company sponsors a defined benefit pension scheme in the U.K. (the “GXO U.K. Retirement Plan”). In connection with the Wincanton Acquisition, the Company assumed multiple pension schemes covering certain employees in the U.K. and Ireland (the “Wincanton Retirement Plan”). The GXO U.K. Retirement Plan and the Wincanton Retirement Plan (collectively the “U.K. Retirement Plans”) do not allow for new plan participants or additional benefit accruals.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than the U.K. Retirement Plans, the Company deems other retirement plans to be immaterial to its Consolidated Financial Statements and are excluded from the disclosure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U.K. Retirement Plans</w:t>
      </w:r>
    </w:p>
    <w:p>
      <w:pPr>
        <w:spacing w:after="0" w:line="202"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A reconciliation of the projected benefit obligation, fair value of the plan and the funded status, the amount recognized in financial statements, the assumptions used, the plan assets and funding requirements are shown below.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the projected benefit obligation was as follows: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Projected benefit obligation at beginning of year</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r>
      <w:tr>
        <w:trPr>
          <w:trHeight w:val="18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Liabilities assumed from Wincanton acquisition</w:t>
            </w:r>
          </w:p>
        </w:tc>
        <w:tc>
          <w:tcPr>
            <w:tcW w:w="36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w:t>
            </w:r>
          </w:p>
        </w:tc>
      </w:tr>
      <w:tr>
        <w:trPr>
          <w:trHeight w:val="18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0"/>
        </w:trPr>
        <w:tc>
          <w:tcPr>
            <w:tcW w:w="806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color w:val="auto"/>
              </w:rPr>
              <w:t>Actuarial gain</w:t>
            </w:r>
            <w:r>
              <w:rPr>
                <w:rFonts w:ascii="Times New Roman" w:cs="Times New Roman" w:eastAsia="Times New Roman" w:hAnsi="Times New Roman"/>
                <w:sz w:val="18"/>
                <w:szCs w:val="18"/>
                <w:color w:val="auto"/>
                <w:vertAlign w:val="superscript"/>
              </w:rPr>
              <w:t>(1)</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8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8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 changes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66"/>
        </w:trPr>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Projected benefit obligation at end of year</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80" w:type="dxa"/>
            <w:vAlign w:val="bottom"/>
          </w:tcPr>
          <w:p>
            <w:pPr>
              <w:spacing w:after="0"/>
              <w:rPr>
                <w:sz w:val="23"/>
                <w:szCs w:val="23"/>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1,617</w:t>
            </w:r>
          </w:p>
        </w:tc>
      </w:tr>
      <w:tr>
        <w:trPr>
          <w:trHeight w:val="20"/>
        </w:trPr>
        <w:tc>
          <w:tcPr>
            <w:tcW w:w="7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In 2025, there is a significant gain due to change in inflation assumption, offset by a significant loss due to the change in mortality assumption. In 2024, there is a significant gain due to the change in the discount rate.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the fair value of the plan assets and funded status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of plan assets at beginning of year</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r>
      <w:tr>
        <w:trPr>
          <w:trHeight w:val="18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Assets assumed from Wincanton acquisition</w:t>
            </w:r>
          </w:p>
        </w:tc>
        <w:tc>
          <w:tcPr>
            <w:tcW w:w="36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r>
      <w:tr>
        <w:trPr>
          <w:trHeight w:val="18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Actual return (loss) on plan assets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Employer contributions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8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 changes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1"/>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Fair value of plan assets at end of year</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1,770</w:t>
            </w:r>
          </w:p>
        </w:tc>
      </w:tr>
      <w:tr>
        <w:trPr>
          <w:trHeight w:val="196"/>
        </w:trPr>
        <w:tc>
          <w:tcPr>
            <w:tcW w:w="8060" w:type="dxa"/>
            <w:vAlign w:val="bottom"/>
            <w:tcBorders>
              <w:bottom w:val="single" w:sz="8" w:color="CCEEFF"/>
            </w:tcBorders>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Funded status of the plan assets at end of year</w:t>
            </w:r>
            <w:r>
              <w:rPr>
                <w:rFonts w:ascii="Times New Roman" w:cs="Times New Roman" w:eastAsia="Times New Roman" w:hAnsi="Times New Roman"/>
                <w:sz w:val="18"/>
                <w:szCs w:val="18"/>
                <w:b w:val="1"/>
                <w:bCs w:val="1"/>
                <w:color w:val="auto"/>
                <w:vertAlign w:val="superscript"/>
              </w:rPr>
              <w:t>(1)</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Funded status is recorded in Other long-term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color w:val="auto"/>
        </w:rPr>
        <w:t>The amounts included in AOCIL that have not yet been recognized in net periodic benefit cost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64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actuarial loss</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4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Prior-service credit</w:t>
            </w:r>
          </w:p>
        </w:tc>
        <w:tc>
          <w:tcPr>
            <w:tcW w:w="34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4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 recognized in AOCIL</w:t>
            </w:r>
          </w:p>
        </w:tc>
        <w:tc>
          <w:tcPr>
            <w:tcW w:w="3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4"/>
                <w:szCs w:val="14"/>
                <w:color w:val="auto"/>
              </w:rPr>
              <w:t>The components of net periodic benefit cost recognized were as follows:</w:t>
            </w: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440" w:type="dxa"/>
            <w:vAlign w:val="bottom"/>
            <w:gridSpan w:val="5"/>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cost component</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 for the period</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prior-service credit</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Amortization of net loss</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Borders>
              <w:bottom w:val="single" w:sz="8" w:color="CCEEFF"/>
            </w:tcBorders>
            <w:gridSpan w:val="4"/>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Net periodic pension income recognized</w:t>
            </w:r>
            <w:r>
              <w:rPr>
                <w:rFonts w:ascii="Times New Roman" w:cs="Times New Roman" w:eastAsia="Times New Roman" w:hAnsi="Times New Roman"/>
                <w:sz w:val="18"/>
                <w:szCs w:val="18"/>
                <w:b w:val="1"/>
                <w:bCs w:val="1"/>
                <w:color w:val="auto"/>
                <w:vertAlign w:val="superscript"/>
              </w:rPr>
              <w:t>(1)</w:t>
            </w:r>
          </w:p>
        </w:tc>
        <w:tc>
          <w:tcPr>
            <w:tcW w:w="34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40" w:type="dxa"/>
            <w:vAlign w:val="bottom"/>
            <w:gridSpan w:val="5"/>
            <w:vMerge w:val="restart"/>
          </w:tcPr>
          <w:p>
            <w:pPr>
              <w:spacing w:after="0"/>
              <w:rPr>
                <w:sz w:val="20"/>
                <w:szCs w:val="20"/>
                <w:color w:val="auto"/>
              </w:rPr>
            </w:pPr>
            <w:r>
              <w:rPr>
                <w:rFonts w:ascii="Times New Roman" w:cs="Times New Roman" w:eastAsia="Times New Roman" w:hAnsi="Times New Roman"/>
                <w:sz w:val="11"/>
                <w:szCs w:val="11"/>
                <w:color w:val="auto"/>
              </w:rPr>
              <w:t>(1) Net periodic pension income is recorded in Other income, net.</w:t>
            </w: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40" w:type="dxa"/>
            <w:vAlign w:val="bottom"/>
            <w:gridSpan w:val="5"/>
            <w:vMerge w:val="continue"/>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9"/>
        </w:trPr>
        <w:tc>
          <w:tcPr>
            <w:tcW w:w="6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amount recognized in other comprehensive income was as follows: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gain (loss)</w:t>
            </w:r>
          </w:p>
        </w:tc>
        <w:tc>
          <w:tcPr>
            <w:tcW w:w="10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Amortization prior-service credit and net loss</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64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weighted-average assumptions used to determine the projected benefit obligation and the net periodic benefit cost were as follows:</w:t>
      </w:r>
    </w:p>
    <w:p>
      <w:pPr>
        <w:spacing w:after="0" w:line="230"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3"/>
        </w:trPr>
        <w:tc>
          <w:tcPr>
            <w:tcW w:w="89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assumptions used to determine benefit obligations:</w:t>
            </w: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r>
      <w:tr>
        <w:trPr>
          <w:trHeight w:val="180"/>
        </w:trPr>
        <w:tc>
          <w:tcPr>
            <w:tcW w:w="89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Effective discount rate on benefit obligations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5.51 %</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5.50 %</w:t>
            </w:r>
          </w:p>
        </w:tc>
      </w:tr>
      <w:tr>
        <w:trPr>
          <w:trHeight w:val="192"/>
        </w:trPr>
        <w:tc>
          <w:tcPr>
            <w:tcW w:w="89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assumptions used to determine net cost:</w:t>
            </w: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r>
      <w:tr>
        <w:trPr>
          <w:trHeight w:val="180"/>
        </w:trPr>
        <w:tc>
          <w:tcPr>
            <w:tcW w:w="89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Effective discount rate on benefit obligations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5.02 %</w:t>
            </w:r>
          </w:p>
        </w:tc>
      </w:tr>
      <w:tr>
        <w:trPr>
          <w:trHeight w:val="180"/>
        </w:trPr>
        <w:tc>
          <w:tcPr>
            <w:tcW w:w="8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Effective rate for interest cost on benefit obligations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5.25 %</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4.97 %</w:t>
            </w:r>
          </w:p>
        </w:tc>
      </w:tr>
      <w:tr>
        <w:trPr>
          <w:trHeight w:val="184"/>
        </w:trPr>
        <w:tc>
          <w:tcPr>
            <w:tcW w:w="89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Expected return on assets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6.13 %</w:t>
            </w: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5.91 %</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rate of compensation increase was assumed as the plans are frozen to additional participant benefit accruals.</w:t>
      </w:r>
    </w:p>
    <w:p>
      <w:pPr>
        <w:spacing w:after="0" w:line="20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Company’s U.K. Retirement Plans’ assets are invested by its trustees, which include representatives of the Company, to meet each of the U.K. Retirement Plans’ projected future pension liabilities. The target asset allocations for our pension plans are based upon analyzing the timing and amount of projected benefit payments, projected company contributions, the expected returns and risk of the asset classes and the correlation of those returns. The target strategic asset allocation for the U.K. Retirement Plans consists of approximately 69% liability-driven investments, intended to minimize market and interest rate risks, and approximately 31% growth and income assets. The actual asset allocations of the U.K. Retirement Plans are in line with the target asset allocations.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color w:val="auto"/>
        </w:rPr>
        <w:t>The fair values of investments held in the pension plans by major asset category were as follows: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60"/>
        </w:trPr>
        <w:tc>
          <w:tcPr>
            <w:tcW w:w="6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Level</w:t>
            </w:r>
          </w:p>
        </w:tc>
        <w:tc>
          <w:tcPr>
            <w:tcW w:w="380" w:type="dxa"/>
            <w:vAlign w:val="bottom"/>
          </w:tcPr>
          <w:p>
            <w:pPr>
              <w:spacing w:after="0"/>
              <w:rPr>
                <w:sz w:val="13"/>
                <w:szCs w:val="13"/>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other</w:t>
            </w: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Level 1</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Fixed income securities</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1</w:t>
            </w:r>
          </w:p>
        </w:tc>
        <w:tc>
          <w:tcPr>
            <w:tcW w:w="3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2</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Equities</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2</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income securities</w:t>
            </w: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2</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1,719</w:t>
            </w:r>
          </w:p>
        </w:tc>
      </w:tr>
      <w:tr>
        <w:trPr>
          <w:trHeight w:val="180"/>
        </w:trPr>
        <w:tc>
          <w:tcPr>
            <w:tcW w:w="6400" w:type="dxa"/>
            <w:vAlign w:val="bottom"/>
            <w:tcBorders>
              <w:bottom w:val="single" w:sz="8" w:color="CCEEFF"/>
            </w:tcBorders>
            <w:gridSpan w:val="2"/>
          </w:tcPr>
          <w:p>
            <w:pPr>
              <w:spacing w:after="0" w:line="181" w:lineRule="exact"/>
              <w:rPr>
                <w:sz w:val="20"/>
                <w:szCs w:val="20"/>
                <w:color w:val="auto"/>
              </w:rPr>
            </w:pPr>
            <w:r>
              <w:rPr>
                <w:rFonts w:ascii="Times New Roman" w:cs="Times New Roman" w:eastAsia="Times New Roman" w:hAnsi="Times New Roman"/>
                <w:sz w:val="14"/>
                <w:szCs w:val="14"/>
                <w:color w:val="auto"/>
              </w:rPr>
              <w:t>Repurchase agreements</w:t>
            </w:r>
            <w:r>
              <w:rPr>
                <w:rFonts w:ascii="Times New Roman" w:cs="Times New Roman" w:eastAsia="Times New Roman" w:hAnsi="Times New Roman"/>
                <w:sz w:val="18"/>
                <w:szCs w:val="18"/>
                <w:color w:val="auto"/>
                <w:vertAlign w:val="superscript"/>
              </w:rPr>
              <w:t>(1)</w:t>
            </w:r>
          </w:p>
        </w:tc>
        <w:tc>
          <w:tcPr>
            <w:tcW w:w="16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2</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w:t>
            </w:r>
          </w:p>
        </w:tc>
      </w:tr>
      <w:tr>
        <w:trPr>
          <w:trHeight w:val="160"/>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net assets in fair value hierarchy</w:t>
            </w: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1,674</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1,566</w:t>
            </w:r>
          </w:p>
        </w:tc>
      </w:tr>
      <w:tr>
        <w:trPr>
          <w:trHeight w:val="180"/>
        </w:trPr>
        <w:tc>
          <w:tcPr>
            <w:tcW w:w="6400" w:type="dxa"/>
            <w:vAlign w:val="bottom"/>
            <w:tcBorders>
              <w:bottom w:val="single" w:sz="8" w:color="CCEEFF"/>
            </w:tcBorders>
            <w:gridSpan w:val="2"/>
          </w:tcPr>
          <w:p>
            <w:pPr>
              <w:spacing w:after="0" w:line="181" w:lineRule="exact"/>
              <w:rPr>
                <w:sz w:val="20"/>
                <w:szCs w:val="20"/>
                <w:color w:val="auto"/>
              </w:rPr>
            </w:pPr>
            <w:r>
              <w:rPr>
                <w:rFonts w:ascii="Times New Roman" w:cs="Times New Roman" w:eastAsia="Times New Roman" w:hAnsi="Times New Roman"/>
                <w:sz w:val="14"/>
                <w:szCs w:val="14"/>
                <w:color w:val="auto"/>
              </w:rPr>
              <w:t>Private markets</w:t>
            </w:r>
            <w:r>
              <w:rPr>
                <w:rFonts w:ascii="Times New Roman" w:cs="Times New Roman" w:eastAsia="Times New Roman" w:hAnsi="Times New Roman"/>
                <w:sz w:val="18"/>
                <w:szCs w:val="18"/>
                <w:color w:val="auto"/>
                <w:vertAlign w:val="superscript"/>
              </w:rPr>
              <w:t>(2)</w:t>
            </w:r>
          </w:p>
        </w:tc>
        <w:tc>
          <w:tcPr>
            <w:tcW w:w="1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w:t>
            </w:r>
          </w:p>
        </w:tc>
      </w:tr>
      <w:tr>
        <w:trPr>
          <w:trHeight w:val="185"/>
        </w:trPr>
        <w:tc>
          <w:tcPr>
            <w:tcW w:w="6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Investments, at fair value</w:t>
            </w:r>
          </w:p>
        </w:tc>
        <w:tc>
          <w:tcPr>
            <w:tcW w:w="1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1,869</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60" w:hanging="155"/>
        <w:spacing w:after="0"/>
        <w:tabs>
          <w:tab w:leader="none" w:pos="16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Repurchase agreements represent short-term borrowings. The plans have an obligation to return the cash after the agreement's term. Due to the agreements' short-term nature, the outstanding balance of the obligation approximates fair value.</w:t>
      </w:r>
    </w:p>
    <w:p>
      <w:pPr>
        <w:spacing w:after="0" w:line="12"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Investments that are measured using the net asset value per share (or its equivalent) practical expedient are not classified in the fair value hierarchy. The amounts presented in this table are intended to permit reconciliation of the fair value</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hierarchy to the amounts presented for the total defined benefit pension plan assets.</w:t>
      </w:r>
    </w:p>
    <w:p>
      <w:pPr>
        <w:spacing w:after="0" w:line="196"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expected benefit payments for the defined benefit pension plan are summarized below. These estimates are based on assumptions about future events. Actual benefit payments may vary from these estimates.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9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2027</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2028</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2031-2035</w:t>
            </w:r>
          </w:p>
        </w:tc>
      </w:tr>
      <w:tr>
        <w:trPr>
          <w:trHeight w:val="171"/>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payments</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r>
    </w:tbl>
    <w:p>
      <w:pPr>
        <w:spacing w:after="0" w:line="251"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Company’s funding practice is to evaluate the tax and cash position, and the funded status of the plan, in determining the planned contributions. The Company estimates that it will contribute approximately $1 million to the U.K. Retirement Plan in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Contribution Plans</w:t>
      </w:r>
    </w:p>
    <w:p>
      <w:pPr>
        <w:spacing w:after="0" w:line="20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Company has defined contribution retirement plans for its U.S. employees and employees of certain foreign subsidiaries. The Company’s contributions for the years ended December 31, 2025, 2024 and 2023, were $113 million, $92 million and $66 million, respectively. Defined contribution costs were primarily recorded in Direct operating expense in the Consolidated Statements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Restructuring Costs and Other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Restructuring costs and other consisted of severance paid to exiting individuals from the Company’s leadership team and severance paid as part of an initiative to optimize corporate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Restructuring liability is recorded in Accrued expenses and Other long-term liabilities in the Consolidated Balance Sheets.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the restructuring liability for the year ended December 31, 2025:</w:t>
            </w: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2"/>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Charges incurred</w:t>
            </w:r>
          </w:p>
        </w:tc>
        <w:tc>
          <w:tcPr>
            <w:tcW w:w="1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12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Non-cash reductions</w:t>
            </w:r>
          </w:p>
        </w:tc>
        <w:tc>
          <w:tcPr>
            <w:tcW w:w="1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6"/>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1200" w:type="dxa"/>
            <w:vAlign w:val="bottom"/>
            <w:tcBorders>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$12 million of restructuring liability is expected to be paid over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6"/>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17. Income Taxes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(loss) before taxes related to the Company’s domestic and foreign operations was as follows: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The components of income tax expense (benefit) are presented in the following table: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4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 federal</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state and local</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1"/>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income tax expense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6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federal</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 state and local</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71"/>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deferred income tax benefit</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6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 federal</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state and local</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income tax expense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On July 4, 2025, the One Big Beautiful Bill Act (“OBBBA”) was signed into law. The legislation includes reinstatement of favorable tax treatment for certain business provisions, including 100% bonus depreciation for qualified property placed in service after January 19, 2025, immediate expensing of domestic research and experimental costs, and revisions to the business interest expense limitations. The impact of OBBBA was limited to the current and deferred provision and did not have a material impact on the Company’s income tax expenses for the year ended December 31, 2025.</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Organisation for Economic Co-operation and Development (“OECD”) has introduced the Pillar Two Global Anti-Base Erosion rules (“Pillar Two”), which generally imposes a 15% global minimum tax on multinational companies. While the Company expects to meet transitional safe harbor requirements in most jurisdictions, there are a limited number of jurisdictions where the Company expects Pillar Two taxes to apply. The income tax provision for the year ended December 31, 2025, includes the effects of Pillar Two taxes. The Company continues to monitor Pillar Two developments, including the impact of the Side-by-Side Package published by the OECD on January 5, 2026 as it relates to the interplay between the U.S. international tax system and Pillar Two for the U.S. headquartered companies.</w:t>
      </w:r>
    </w:p>
    <w:p>
      <w:pPr>
        <w:spacing w:after="0" w:line="16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Income tax expense (benefit) for 2025, 2024 and 2023 varied from the amount computed by applying the statutory income tax rate to income (loss) before income taxes. The Company’s U.S. federal statutory tax rate was 21% for 2025, 2024 and 2023. A reconciliation of the expected U.S. federal income tax expense (benefit), calculated by applying the federal statutory rate to the Company’s actual income tax expense (benefit) is presented in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549"/>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60"/>
        </w:trPr>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89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890"/>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162"/>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 except percentages)</w:t>
            </w:r>
          </w:p>
        </w:tc>
        <w:tc>
          <w:tcPr>
            <w:tcW w:w="160" w:type="dxa"/>
            <w:vAlign w:val="bottom"/>
          </w:tcPr>
          <w:p>
            <w:pPr>
              <w:spacing w:after="0"/>
              <w:rPr>
                <w:sz w:val="14"/>
                <w:szCs w:val="14"/>
                <w:color w:val="auto"/>
              </w:rPr>
            </w:pPr>
          </w:p>
        </w:tc>
        <w:tc>
          <w:tcPr>
            <w:tcW w:w="1120" w:type="dxa"/>
            <w:vAlign w:val="bottom"/>
            <w:gridSpan w:val="3"/>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Percent</w:t>
            </w:r>
          </w:p>
        </w:tc>
      </w:tr>
      <w:tr>
        <w:trPr>
          <w:trHeight w:val="172"/>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U.S. Federal Statutory Tax Rate</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180"/>
        </w:trPr>
        <w:tc>
          <w:tcPr>
            <w:tcW w:w="46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State and Local Taxes, Net of Federal Tax Effect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Foreign Tax Effects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Belgium</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valuation allowances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5"/>
                <w:szCs w:val="15"/>
                <w:color w:val="auto"/>
              </w:rPr>
            </w:pP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Cyprus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Intangible assets</w:t>
            </w:r>
          </w:p>
        </w:tc>
        <w:tc>
          <w:tcPr>
            <w:tcW w:w="160" w:type="dxa"/>
            <w:vAlign w:val="bottom"/>
          </w:tcPr>
          <w:p>
            <w:pPr>
              <w:spacing w:after="0"/>
              <w:rPr>
                <w:sz w:val="15"/>
                <w:szCs w:val="15"/>
                <w:color w:val="auto"/>
              </w:rPr>
            </w:pP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20" w:type="dxa"/>
            <w:vAlign w:val="bottom"/>
            <w:gridSpan w:val="3"/>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80"/>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France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valuation allowances</w:t>
            </w:r>
          </w:p>
        </w:tc>
        <w:tc>
          <w:tcPr>
            <w:tcW w:w="16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80"/>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20" w:type="dxa"/>
            <w:vAlign w:val="bottom"/>
            <w:gridSpan w:val="3"/>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80"/>
        </w:trPr>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Germany</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Changes in valuation allowances</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Ireland</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Intangible assets</w:t>
            </w:r>
          </w:p>
        </w:tc>
        <w:tc>
          <w:tcPr>
            <w:tcW w:w="16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Italy</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Litigation</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80"/>
        </w:trPr>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Malta</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Notional interest deduction</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20" w:type="dxa"/>
            <w:vAlign w:val="bottom"/>
            <w:gridSpan w:val="3"/>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Singapore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valuation allowances</w:t>
            </w:r>
          </w:p>
        </w:tc>
        <w:tc>
          <w:tcPr>
            <w:tcW w:w="16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Foreign rate difference</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7"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44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Switzerland</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Cantonal</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United Kingdom</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valuation allowances</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Non-deductible transaction costs</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gridSpan w:val="3"/>
          </w:tcPr>
          <w:p>
            <w:pPr>
              <w:jc w:val="right"/>
              <w:ind w:right="909"/>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color w:val="auto"/>
                <w:w w:val="95"/>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Return to provision</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(8)</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80"/>
        </w:trPr>
        <w:tc>
          <w:tcPr>
            <w:tcW w:w="4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Foreign Jurisdictions</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8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Cross-Border Tax Laws</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gridSpan w:val="3"/>
          </w:tcPr>
          <w:p>
            <w:pPr>
              <w:jc w:val="right"/>
              <w:ind w:right="909"/>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color w:val="auto"/>
                <w:w w:val="95"/>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8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Tax Credits</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Foreign tax credits</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gridSpan w:val="3"/>
          </w:tcPr>
          <w:p>
            <w:pPr>
              <w:jc w:val="right"/>
              <w:ind w:right="909"/>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color w:val="auto"/>
                <w:w w:val="95"/>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Valuation Allowances</w:t>
            </w:r>
          </w:p>
        </w:tc>
        <w:tc>
          <w:tcPr>
            <w:tcW w:w="160" w:type="dxa"/>
            <w:vAlign w:val="bottom"/>
          </w:tcPr>
          <w:p>
            <w:pPr>
              <w:spacing w:after="0"/>
              <w:rPr>
                <w:sz w:val="15"/>
                <w:szCs w:val="15"/>
                <w:color w:val="auto"/>
              </w:rPr>
            </w:pP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spacing w:after="0"/>
              <w:rPr>
                <w:sz w:val="15"/>
                <w:szCs w:val="15"/>
                <w:color w:val="auto"/>
              </w:rPr>
            </w:pPr>
          </w:p>
        </w:tc>
        <w:tc>
          <w:tcPr>
            <w:tcW w:w="1140" w:type="dxa"/>
            <w:vAlign w:val="bottom"/>
            <w:gridSpan w:val="3"/>
          </w:tcPr>
          <w:p>
            <w:pPr>
              <w:jc w:val="right"/>
              <w:ind w:right="909"/>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color w:val="auto"/>
                <w:w w:val="95"/>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Nontaxable or Nondeductible Items</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Non-deductible transaction costs</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4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Unrecognized Tax Benefits</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gridSpan w:val="3"/>
          </w:tcPr>
          <w:p>
            <w:pPr>
              <w:jc w:val="right"/>
              <w:ind w:right="909"/>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color w:val="auto"/>
                <w:w w:val="95"/>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Adjustments</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Return to provision</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(5)</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Tax Rate</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State taxes in California and Mississippi made up the majority (greater than 50 percent) of the tax effect in this category.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 Paid</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61"/>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paid (received) for income taxes is comprised of the following:</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2"/>
        </w:trPr>
        <w:tc>
          <w:tcPr>
            <w:tcW w:w="6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state and local</w:t>
            </w:r>
          </w:p>
        </w:tc>
        <w:tc>
          <w:tcPr>
            <w:tcW w:w="36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France</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Italy</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Netherlands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Spain</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Swiss Cantonal - Ticino</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United Kingdom</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64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1"/>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subtotal</w:t>
            </w: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amount of income taxes paid (net of refunds) during the year did not meet the disaggregation threshold.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3" w:right="3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86"/>
        </w:trPr>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Components of the Net Deferred Tax Asset or Liability</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61"/>
        </w:trPr>
        <w:tc>
          <w:tcPr>
            <w:tcW w:w="97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tax effects of temporary differences that gave rise to significant portions of the deferred tax assets and deferred tax liabilities are presented in the following table:</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2"/>
        </w:trPr>
        <w:tc>
          <w:tcPr>
            <w:tcW w:w="7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4"/>
                <w:szCs w:val="14"/>
                <w:color w:val="auto"/>
              </w:rPr>
            </w:pPr>
          </w:p>
        </w:tc>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180"/>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operating loss and other tax attribute carryforwards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80"/>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80"/>
        </w:trPr>
        <w:tc>
          <w:tcPr>
            <w:tcW w:w="806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4"/>
                <w:szCs w:val="14"/>
                <w:color w:val="auto"/>
              </w:rPr>
              <w:t>Net unrealized losses</w:t>
            </w:r>
            <w:r>
              <w:rPr>
                <w:rFonts w:ascii="Times New Roman" w:cs="Times New Roman" w:eastAsia="Times New Roman" w:hAnsi="Times New Roman"/>
                <w:sz w:val="18"/>
                <w:szCs w:val="18"/>
                <w:color w:val="auto"/>
                <w:vertAlign w:val="superscript"/>
              </w:rPr>
              <w:t>(1)</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1"/>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Gross deferred tax assets</w:t>
            </w:r>
          </w:p>
        </w:tc>
        <w:tc>
          <w:tcPr>
            <w:tcW w:w="360" w:type="dxa"/>
            <w:vAlign w:val="bottom"/>
          </w:tcPr>
          <w:p>
            <w:pPr>
              <w:spacing w:after="0"/>
              <w:rPr>
                <w:sz w:val="14"/>
                <w:szCs w:val="14"/>
                <w:color w:val="auto"/>
              </w:rPr>
            </w:pPr>
          </w:p>
        </w:tc>
        <w:tc>
          <w:tcPr>
            <w:tcW w:w="12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80"/>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Valuation allowances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4"/>
              </w:rPr>
              <w:t>(44)</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1"/>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deferred tax assets, net of valuation allowance</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16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80"/>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360" w:type="dxa"/>
            <w:vAlign w:val="bottom"/>
          </w:tcPr>
          <w:p>
            <w:pPr>
              <w:spacing w:after="0"/>
              <w:rPr>
                <w:sz w:val="15"/>
                <w:szCs w:val="15"/>
                <w:color w:val="auto"/>
              </w:rPr>
            </w:pPr>
          </w:p>
        </w:tc>
        <w:tc>
          <w:tcPr>
            <w:tcW w:w="1200" w:type="dxa"/>
            <w:vAlign w:val="bottom"/>
          </w:tcPr>
          <w:p>
            <w:pPr>
              <w:ind w:left="880"/>
              <w:spacing w:after="0"/>
              <w:rPr>
                <w:sz w:val="20"/>
                <w:szCs w:val="20"/>
                <w:color w:val="auto"/>
              </w:rPr>
            </w:pPr>
            <w:r>
              <w:rPr>
                <w:rFonts w:ascii="Times New Roman" w:cs="Times New Roman" w:eastAsia="Times New Roman" w:hAnsi="Times New Roman"/>
                <w:sz w:val="14"/>
                <w:szCs w:val="14"/>
                <w:color w:val="auto"/>
                <w:w w:val="98"/>
              </w:rPr>
              <w:t>(195)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r>
      <w:tr>
        <w:trPr>
          <w:trHeight w:val="180"/>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and equipment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4"/>
              </w:rPr>
              <w:t>(73)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80"/>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Pension and other retirement obligations</w:t>
            </w:r>
          </w:p>
        </w:tc>
        <w:tc>
          <w:tcPr>
            <w:tcW w:w="360" w:type="dxa"/>
            <w:vAlign w:val="bottom"/>
          </w:tcPr>
          <w:p>
            <w:pPr>
              <w:spacing w:after="0"/>
              <w:rPr>
                <w:sz w:val="15"/>
                <w:szCs w:val="15"/>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4"/>
              </w:rPr>
              <w:t>(23)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0"/>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4"/>
              </w:rPr>
              <w:t>(12)</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1"/>
        </w:trPr>
        <w:tc>
          <w:tcPr>
            <w:tcW w:w="8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Gross deferred tax liabilities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w w:val="98"/>
              </w:rPr>
              <w:t>(303)</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r>
      <w:tr>
        <w:trPr>
          <w:trHeight w:val="196"/>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tax liability</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4"/>
              </w:rPr>
              <w:t>(96)</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Deferred taxes related to net unrealized gains (losses) on net investment hedge and cash flow hedge are recorded in accumulated OCI. See Note 13 – Stockholders’ Equity for additional information.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deferred tax asset and deferred tax liability above are reflected in the Consolidated Balance Sheets as follows: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2"/>
        </w:trPr>
        <w:tc>
          <w:tcPr>
            <w:tcW w:w="7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0"/>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w:t>
            </w:r>
          </w:p>
        </w:tc>
      </w:tr>
      <w:tr>
        <w:trPr>
          <w:trHeight w:val="196"/>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tax liability</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in Foreign Subsidiaries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the Company maintained a partial indefinite reinvestment assertion on its post- 2017 undistributed foreign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Loss and Tax Credit Carryforwards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operating loss and tax credit carryforwards were as follows:</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Federal net operating losses for all U.S. operations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Tax effect (before federal benefit) of state net operating losses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Federal tax credit carryforwards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State tax credit carryforwards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Foreign net operating losses available to offset future taxable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Some credits and losses have unlimited carryforward periods.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Allowances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71"/>
        </w:trPr>
        <w:tc>
          <w:tcPr>
            <w:tcW w:w="3360" w:type="dxa"/>
            <w:vAlign w:val="bottom"/>
            <w:tcBorders>
              <w:bottom w:val="single" w:sz="8" w:color="auto"/>
            </w:tcBorders>
          </w:tcPr>
          <w:p>
            <w:pPr>
              <w:jc w:val="center"/>
              <w:spacing w:after="0" w:line="171" w:lineRule="exact"/>
              <w:rPr>
                <w:sz w:val="20"/>
                <w:szCs w:val="20"/>
                <w:color w:val="auto"/>
              </w:rPr>
            </w:pPr>
            <w:r>
              <w:rPr>
                <w:rFonts w:ascii="Times New Roman" w:cs="Times New Roman" w:eastAsia="Times New Roman" w:hAnsi="Times New Roman"/>
                <w:sz w:val="14"/>
                <w:szCs w:val="14"/>
                <w:b w:val="1"/>
                <w:bCs w:val="1"/>
                <w:color w:val="auto"/>
                <w:w w:val="98"/>
              </w:rPr>
              <w:t xml:space="preserve">Expiration Date </w:t>
            </w:r>
            <w:r>
              <w:rPr>
                <w:rFonts w:ascii="Times New Roman" w:cs="Times New Roman" w:eastAsia="Times New Roman" w:hAnsi="Times New Roman"/>
                <w:sz w:val="18"/>
                <w:szCs w:val="18"/>
                <w:b w:val="1"/>
                <w:bCs w:val="1"/>
                <w:color w:val="auto"/>
                <w:w w:val="98"/>
                <w:vertAlign w:val="superscript"/>
              </w:rPr>
              <w:t>(1)</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66"/>
        </w:trPr>
        <w:tc>
          <w:tcPr>
            <w:tcW w:w="3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N/A</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76"/>
        </w:trPr>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Various times starting in 2026</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76"/>
        </w:trPr>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Various times starting in 2035</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86"/>
        </w:trPr>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Various times starting in 2026</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76"/>
        </w:trPr>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Various times starting in 2026</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-2929890</wp:posOffset>
            </wp:positionH>
            <wp:positionV relativeFrom="paragraph">
              <wp:posOffset>-531495</wp:posOffset>
            </wp:positionV>
            <wp:extent cx="7161530" cy="1752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61530" cy="175260"/>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-173990</wp:posOffset>
            </wp:positionV>
            <wp:extent cx="7161530" cy="1752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61530" cy="175260"/>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-888365</wp:posOffset>
            </wp:positionV>
            <wp:extent cx="7161530" cy="181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61530" cy="181610"/>
                    </a:xfrm>
                    <a:prstGeom prst="rect">
                      <a:avLst/>
                    </a:prstGeom>
                    <a:noFill/>
                  </pic:spPr>
                </pic:pic>
              </a:graphicData>
            </a:graphic>
          </wp:anchor>
        </w:drawing>
      </w:r>
    </w:p>
    <w:p>
      <w:pPr>
        <w:spacing w:after="0" w:line="737" w:lineRule="exact"/>
        <w:rPr>
          <w:sz w:val="20"/>
          <w:szCs w:val="20"/>
          <w:color w:val="auto"/>
        </w:rPr>
      </w:pPr>
    </w:p>
    <w:p>
      <w:pPr>
        <w:sectPr>
          <w:pgSz w:w="11900" w:h="16838" w:orient="portrait"/>
          <w:cols w:equalWidth="0" w:num="2">
            <w:col w:w="4320" w:space="300"/>
            <w:col w:w="6660"/>
          </w:cols>
          <w:pgMar w:left="300" w:top="1141" w:right="319" w:bottom="1440" w:gutter="0" w:footer="0" w:header="0"/>
        </w:sectPr>
      </w:pPr>
    </w:p>
    <w:p>
      <w:pPr>
        <w:spacing w:after="0" w:line="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Company established valuation allowances for some of its deferred tax assets, as it is more likely than not that these assets will not be realized in the foreseeable future. The Company concluded that the remaining deferred tax assets will more likely than not be realized, though this is not assured, and as such no valuation allowances have been provided on these assets.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balances and activity related to the Company’s valuation allowances were as follows: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2"/>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171"/>
        </w:trPr>
        <w:tc>
          <w:tcPr>
            <w:tcW w:w="466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2025</w:t>
            </w:r>
            <w:r>
              <w:rPr>
                <w:rFonts w:ascii="Times New Roman" w:cs="Times New Roman" w:eastAsia="Times New Roman" w:hAnsi="Times New Roman"/>
                <w:sz w:val="18"/>
                <w:szCs w:val="18"/>
                <w:color w:val="auto"/>
                <w:vertAlign w:val="superscript"/>
              </w:rPr>
              <w:t>(1)</w:t>
            </w: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26</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0"/>
        </w:trPr>
        <w:tc>
          <w:tcPr>
            <w:tcW w:w="46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2024</w:t>
            </w:r>
            <w:r>
              <w:rPr>
                <w:rFonts w:ascii="Times New Roman" w:cs="Times New Roman" w:eastAsia="Times New Roman" w:hAnsi="Times New Roman"/>
                <w:sz w:val="18"/>
                <w:szCs w:val="18"/>
                <w:color w:val="auto"/>
                <w:vertAlign w:val="superscript"/>
              </w:rPr>
              <w:t>(2)</w:t>
            </w:r>
          </w:p>
        </w:tc>
        <w:tc>
          <w:tcPr>
            <w:tcW w:w="80" w:type="dxa"/>
            <w:vAlign w:val="bottom"/>
          </w:tcPr>
          <w:p>
            <w:pPr>
              <w:spacing w:after="0"/>
              <w:rPr>
                <w:sz w:val="15"/>
                <w:szCs w:val="15"/>
                <w:color w:val="auto"/>
              </w:rPr>
            </w:pPr>
          </w:p>
        </w:tc>
        <w:tc>
          <w:tcPr>
            <w:tcW w:w="1360" w:type="dxa"/>
            <w:vAlign w:val="bottom"/>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50</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46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2023</w:t>
            </w:r>
            <w:r>
              <w:rPr>
                <w:rFonts w:ascii="Times New Roman" w:cs="Times New Roman" w:eastAsia="Times New Roman" w:hAnsi="Times New Roman"/>
                <w:sz w:val="18"/>
                <w:szCs w:val="18"/>
                <w:color w:val="auto"/>
                <w:vertAlign w:val="superscript"/>
              </w:rPr>
              <w:t>(3)</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44</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bl>
    <w:p>
      <w:pPr>
        <w:spacing w:after="0" w:line="57" w:lineRule="exact"/>
        <w:rPr>
          <w:sz w:val="20"/>
          <w:szCs w:val="20"/>
          <w:color w:val="auto"/>
        </w:rPr>
      </w:pPr>
    </w:p>
    <w:p>
      <w:pPr>
        <w:ind w:left="160" w:hanging="155"/>
        <w:spacing w:after="0"/>
        <w:tabs>
          <w:tab w:leader="none" w:pos="16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2025, the additions primarily consisted of $14 million due to an increase in foreign net operating loss carryforward and $10 million due to the final purchase price allocation for the Wincanton Acquisition.</w:t>
      </w:r>
    </w:p>
    <w:p>
      <w:pPr>
        <w:spacing w:after="0" w:line="20"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2024, the Company released $22 million of valuation allowance in France.</w:t>
      </w:r>
    </w:p>
    <w:p>
      <w:pPr>
        <w:spacing w:after="0" w:line="1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2023, concurrent with an acquisition, the Company acquired $8 million of valuation allowance.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Unrecognized Tax Benefits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beginning unrecognized tax benefits balance to the ending balance is presented in the following table: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2"/>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Increases related to positions taken during current year</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Increases related to positions taken during prior year</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2"/>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Settlements with tax authorities</w:t>
            </w:r>
          </w:p>
        </w:tc>
        <w:tc>
          <w:tcPr>
            <w:tcW w:w="3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unrecognized tax benefits</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2"/>
            <w:vMerge w:val="restart"/>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unrecognized tax benefits that, if recognized, would impact the effective income tax rate as of the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4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 of the year</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Company is subject to taxation in the U.S. and foreign jurisdictions. As of December 31, 2025, there are no ongoing examinations in the United States. Various foreign tax returns for years after 2009 are open under relevant statutes of limitations and are subject to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color w:val="auto"/>
        </w:rPr>
        <w:t>18. Commitments and Contingencies</w:t>
      </w:r>
    </w:p>
    <w:p>
      <w:pPr>
        <w:spacing w:after="0" w:line="20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Company is involved, and will continue to be involved, in numerous legal proceedings arising from the conduct of its business. These proceedings may include personal injury claims arising from the transportation and handling of goods, contractual disputes and employment-related claims, including alleged violations of wage and hour laws.</w:t>
      </w:r>
    </w:p>
    <w:p>
      <w:pPr>
        <w:spacing w:after="0" w:line="1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Company establishes accruals for specific legal proceedings when it is considered probable that a loss has been incurred and the amount of the loss can be reasonably estimated. The Company reviews and adjusts accruals for loss contingencies quarterly and as additional information becomes available. If a loss is not both probable and reasonably estimable, or if an exposure to a loss exists in excess of the amount accrued, the Company assesses whether there is at least a reasonable possibility that a loss, or additional loss, may have been incurred. If there is a reasonable possibility that a loss, or additional loss, may have been incurred, the Company discloses the estimate of the possible loss or range of loss if it is material and an estimate can be made, or discloses that such an estimate cannot be made. The determination as to whether a loss can reasonably be considered to be possible or probable is based on management’s assessment, together with legal counsel, regarding the ultimate outcome of the matter.</w:t>
      </w:r>
    </w:p>
    <w:p>
      <w:pPr>
        <w:spacing w:after="0" w:line="16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Management of the Company believes that it has adequately accrued for the potential impact of loss contingencies that are probable and reasonably estimable. Management of the Company does not believe that the ultimate resolution of any matters to which the Company is presently a party will have a material adverse effect on its results of operations, financial condition or cash flows. However, the results of these matters cannot be predicted with certainty, and an unfavorable resolution of one or more of these matters could have a material adverse effect on the Company’s financial condition, results of operations or cash flows. Legal costs related to these matters are expensed as they are incurred.</w:t>
      </w:r>
    </w:p>
    <w:p>
      <w:pPr>
        <w:spacing w:after="0" w:line="16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Company carries liability and excess umbrella insurance policies that are deemed sufficient to cover potential legal claims arising in the normal course of conducting its operations. In the event the Company is required to satisfy a legal claim outside the scope of the coverage provided by insurance, its financial condition, results of operations or cash flows could be negatively impacted.</w:t>
      </w:r>
    </w:p>
    <w:p>
      <w:pPr>
        <w:spacing w:after="0" w:line="145"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On July 2, 2024, the Italian authorities initiated an investigation into the deductibility of value-added tax (VAT) payments made by the Company to certain third-party service providers. In 2025, the Company recorded €61 million ($65 million) of expense, including legal fees, and made final payments of €59 million ($68 million) to the Italian authorities in connection with the settlement of this matter. Related expenses, including legal fees, were recorded in Regulatory matter and litigation expense in the Consolidated Statements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Conclusion Regarding the Effectiveness of Disclosure Controls and Procedures</w:t>
      </w:r>
    </w:p>
    <w:p>
      <w:pPr>
        <w:spacing w:after="0" w:line="20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Chief Executive Officer (“CEO”) and Chief Financial Officer (“CFO”), we conducted an evaluation of the effectiveness of the design and operation of our disclosure controls and procedures, as such term is defined in Rule 13a-15(e) and Rule 15d-15(e) under the Securities Exchange Act of 1934, as amended, as of December 31, 2025. Based on that evaluation, our CEO and CFO concluded that our disclosure controls and procedures as of December 31, 2025 were effective as of such time such that the information required to be included in our Securities and Exchange Commission (“SEC”) reports is: (i) recorded, processed, summarized and reported within the time periods specified in SEC rules and forms relating to the Company, including our consolidated subsidiaries, and (ii) accumulated and communicated to our management, including our CEO and CFO,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such term is defined in Rule 13a-15(f) and 15d-15 under the Securities Exchange Act of 1934, as amended. Under the supervision and with the participation of our management, including our CEO and CFO, we evaluated the effectiveness of our internal control over financial reporting as of December 31, 2025, based on the “Internal Control - Integrated Framework” (2013 framework) issued by the Committee of Sponsoring Organizations of the Treadway Commission. Based on our evaluation, we concluded that our internal control over financial reporting was effective as of December 31, 2025.</w:t>
      </w:r>
    </w:p>
    <w:p>
      <w:pPr>
        <w:spacing w:after="0" w:line="16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KPMG LLP, the independent registered public accounting firm that audited the financial statements included in this Annual Report, has issued an audit report, which is included elsewhere within this Annual Report, on the effectiveness of our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Other than the design and implementation of internal controls related to the acquisition of Wincanton plc (now “Wincanton Limited”), there have not been any changes in our internal control over financial reporting during the three months ended December 31, 2025,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Compensatory Arrangement of the Chief Revenue Officer &amp; President of Europe of the Company</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previously disclosed on October 29, 2025 (the “Prior Disclosure”), the Company announced that the Company and Richard Cawston mutually agreed that Mr. Cawston will depart from his employment in March 2026. Mr. Cawston served as Chief Revenue Officer &amp; President of Europe of the Company until January 26, 2026, when Karen Bomber was appointed Chief Commercial Officer of the Company, and since then Mr. Cawston has been supporting a successful transition.</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contemplated in the Prior Disclosure, Mr. Cawston has entered into a settlement agreement with the Company that includes a general release of claims in favor of the Company, and provides the following: (a) Mr. Cawston will receive (i) all severance payments and benefits due to him in connection with a termination without cause under the Company’s Severance Plan, as well as all pay and benefits due to him pursuant to his July 12, 2021 Service Agreement, (ii) $1,000,000, less appropriate deductions for income tax and employees’ insurance contributions (as defined in the settlement agreement), to be paid in eight equal quarterly installments, beginning on the next available payroll date in which the Company can reasonably process the payment following the earlier of June 14, 2027 or the date three months after the date on which Mr. Cawston commences garden leave, if applicable, subject to Mr. Cawston’s not having competed with the Company or any of its subsidiaries or affiliates in the 12 months immediately prior to each such payment date, and (iii) certain outplacement services; and (b) Mr. Cawston’s outstanding Company service-based restricted stock units and performance-based restricted stock units (to the extent earned based on actual performance) will be subject to pro-rated vesting through the termination date in accordance with their existing terms.</w:t>
      </w:r>
    </w:p>
    <w:p>
      <w:pPr>
        <w:spacing w:after="0" w:line="3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foregoing summary of Mr. Cawston’s settlement agreement does not purport to be complete and is qualified in its entirety by reference to the complete text of Mr. Cawston’s settlement agreement, a copy of which is filed as Exhibit 10.34 to this Form 10-K and is incorporated herein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20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information required by Item 10 of Part III of Form 10-K (other than certain information required by Item 401 of Regulation S-K with respect to our executive officers, which is provided under Item 1 of Part I of this Annual Report) will be set forth in our definitive Proxy Statement for the 2026 Annual Meeting of Stockholders (the “Proxy Statement”) and is incorporated herein by reference. The Proxy Statement, or an amendment to this Annual Report containing the information, will be filed with the SEC on or before April 30, 2026.</w:t>
      </w:r>
    </w:p>
    <w:p>
      <w:pPr>
        <w:spacing w:after="0" w:line="15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 have adopted a Code of Business Ethics (the “Code of Ethics”), which is applicable to our principal executive officer, principal financial officer, principal accounting officer and other senior officers. The Code of Ethics is available on our website at www.ethics.gxo.com. In the event that we amend or waive any of the provisions of the Code of Ethics that relate to any element of the code of ethics definition enumerated in Item 406(b) of Regulation S-K, we intend to disclose the same on our website at the web address specified above.</w:t>
      </w:r>
    </w:p>
    <w:p>
      <w:pPr>
        <w:spacing w:after="0" w:line="15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We have insider trading policies and procedures that govern the purchase, sale and other dispositions of our securities by directors, officers and certain employees of the company (including its subsidiaries). We believe these policies and procedures are reasonably designed to promote compliance with insider trading laws, rules and regulations and applicable listing standards. A copy of our Insider Trading Policy is filed with this Annual Report on Form 10-K as Exhibit 19.1.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11 of Part III of Form 10-K will be set forth in our Proxy Statement for the 2026 Annual Meeting of Stockholders and is incorporated herein by reference. The Proxy Statement, or an amendment to this Annual Report containing the information, will be filed with the SEC on or before April 30,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information required by Item 12 of Part III of Form 10-K, including information regarding security ownership of certain beneficial owners and management and information regarding securities authorized for issuance under equity compensation plans, will be set forth in our Proxy Statement for the 2026 Annual Meeting of Stockholders and is incorporated herein by reference. The Proxy Statement, or an amendment to this Annual Report containing the information, will be filed with the SEC on or before April 30,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20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13 of Part III of Form 10-K will be set forth in our Proxy Statement for the 2026 Annual Meeting of Stockholders and is incorporated herein by reference. The Proxy Statement, or an amendment to this Annual Report containing the information will be filed with the SEC on or before April 30,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independent registered public accounting firm is KPMG LLP, Auditor Firm ID: 185.</w:t>
      </w:r>
    </w:p>
    <w:p>
      <w:pPr>
        <w:spacing w:after="0" w:line="200"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14 of Part III of Form 10-K will be set forth in our Proxy Statement for the 2026 Annual Meeting of Stockholders and is incorporated herein by reference. The Proxy Statement, or an amendment to this Annual Report containing the information, will be filed with the SEC on or before April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Statements and Financial Statement Schedules</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list of Consolidated Financial Statements provided in the Index to Consolidated Financial Statements is incorporated herein by reference. Such Consolidated Financial Statements are filed as part of this Annual Report. All financial statement schedules are omitted because the required information is not applicable or because the information required is included in the Consolidated Financial Statements and notes thereto.</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20" w:type="dxa"/>
            <w:vAlign w:val="bottom"/>
            <w:gridSpan w:val="20"/>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20" w:type="dxa"/>
            <w:vAlign w:val="bottom"/>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22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920" w:type="dxa"/>
            <w:vAlign w:val="bottom"/>
            <w:tcBorders>
              <w:top w:val="single" w:sz="8" w:color="auto"/>
            </w:tcBorders>
            <w:gridSpan w:val="25"/>
          </w:tcPr>
          <w:p>
            <w:pPr>
              <w:spacing w:after="0" w:line="139" w:lineRule="exact"/>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Separation and Distribution Agreement by and between XPO Logistics, Inc. and GXO Logistics, Inc., dated as of August 1, 2021 (incorporated by reference to Exhibit 2.1 of</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8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12">
              <w:r>
                <w:rPr>
                  <w:rFonts w:ascii="Times New Roman" w:cs="Times New Roman" w:eastAsia="Times New Roman" w:hAnsi="Times New Roman"/>
                  <w:sz w:val="13"/>
                  <w:szCs w:val="13"/>
                  <w:color w:val="0000FF"/>
                </w:rPr>
                <w:t>the Company’s Current Report on Form 8-K (Commission file no. 001-40470) filed with the SEC on August 2, 2021).</w:t>
              </w:r>
            </w:hyperlink>
          </w:p>
        </w:tc>
        <w:tc>
          <w:tcPr>
            <w:tcW w:w="314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25"/>
          </w:tcPr>
          <w:p>
            <w:pPr>
              <w:spacing w:after="0"/>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Cash offer for Wincanton plc by GXO Logistics, Inc., dated as of February 29, 2024 (incorporated by reference to Exhibit 2.1 of the Company’s Current Report on Form 8-K</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0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13">
              <w:r>
                <w:rPr>
                  <w:rFonts w:ascii="Times New Roman" w:cs="Times New Roman" w:eastAsia="Times New Roman" w:hAnsi="Times New Roman"/>
                  <w:sz w:val="13"/>
                  <w:szCs w:val="13"/>
                  <w:color w:val="0000FF"/>
                </w:rPr>
                <w:t>(Commission file no. 001-40470) filed with the SEC on February 29, 2024).</w:t>
              </w:r>
            </w:hyperlink>
          </w:p>
        </w:tc>
        <w:tc>
          <w:tcPr>
            <w:tcW w:w="5500" w:type="dxa"/>
            <w:vAlign w:val="bottom"/>
            <w:tcBorders>
              <w:top w:val="single" w:sz="8" w:color="0000FF"/>
            </w:tcBorders>
            <w:gridSpan w:val="1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25"/>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Amended and Restated Certificate of Incorporation of GXO Logistics, Inc. (incorporated by reference to Exhibit 3.1 of the Company’s Current Report on Form 8-K</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6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14">
              <w:r>
                <w:rPr>
                  <w:rFonts w:ascii="Times New Roman" w:cs="Times New Roman" w:eastAsia="Times New Roman" w:hAnsi="Times New Roman"/>
                  <w:sz w:val="13"/>
                  <w:szCs w:val="13"/>
                  <w:color w:val="0000FF"/>
                </w:rPr>
                <w:t>(Commission file no. 001-40470) filed with the SEC on August 2, 2021).</w:t>
              </w:r>
            </w:hyperlink>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25"/>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The Amendment to the Amended and Restated Certificate of Incorporation of GXO Logistics, Inc. (incorporated by reference to Exhibit 3.1 of the Company’s Current Report</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8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15">
              <w:r>
                <w:rPr>
                  <w:rFonts w:ascii="Times New Roman" w:cs="Times New Roman" w:eastAsia="Times New Roman" w:hAnsi="Times New Roman"/>
                  <w:sz w:val="13"/>
                  <w:szCs w:val="13"/>
                  <w:color w:val="0000FF"/>
                </w:rPr>
                <w:t>on Form 8-K (Commission file no. 001-40470) filed with the SEC on May 23, 2024).</w:t>
              </w:r>
            </w:hyperlink>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25"/>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Second Amended and Restated Bylaws of GXO Logistics, Inc. (incorporated by reference to Exhibit 3.2 of the Company’s Current Report on Form 8-K (Commission file no.</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0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001-40470) filed with the SEC on August 2, 2021).</w:t>
              </w:r>
            </w:hyperlink>
          </w:p>
        </w:tc>
        <w:tc>
          <w:tcPr>
            <w:tcW w:w="6960" w:type="dxa"/>
            <w:vAlign w:val="bottom"/>
            <w:tcBorders>
              <w:top w:val="single" w:sz="8" w:color="0000FF"/>
            </w:tcBorders>
            <w:gridSpan w:val="20"/>
          </w:tcPr>
          <w:p>
            <w:pPr>
              <w:spacing w:after="0"/>
              <w:rPr>
                <w:sz w:val="10"/>
                <w:szCs w:val="10"/>
                <w:color w:val="auto"/>
              </w:rPr>
            </w:pP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25"/>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Indenture, dated as of July 2, 2021, among GXO Logistics, Inc. and Wells Fargo Bank National Association, as Trustee (incorporated by reference to Exhibit 4.1 to the</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10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Company’s Amendment No. 3 to the Registration Statement on Form 10 (Commission file no. 001-40470) filed with the SEC on July 7, 2021).</w:t>
              </w:r>
            </w:hyperlink>
          </w:p>
        </w:tc>
        <w:tc>
          <w:tcPr>
            <w:tcW w:w="1340" w:type="dxa"/>
            <w:vAlign w:val="bottom"/>
            <w:tcBorders>
              <w:top w:val="single" w:sz="8" w:color="0000FF"/>
            </w:tcBorders>
            <w:gridSpan w:val="5"/>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25"/>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First Supplemental Indenture, dated as of July 2, 2021, among GXO Logistics, Inc. and Wells Fargo Bank, National Association, as Trustee (incorporated by reference to</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60" w:type="dxa"/>
            <w:vAlign w:val="bottom"/>
            <w:tcBorders>
              <w:top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Exhibit 4.2 to the Company’s Amendment No. 3</w:t>
              </w:r>
            </w:hyperlink>
          </w:p>
        </w:tc>
        <w:tc>
          <w:tcPr>
            <w:tcW w:w="680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to the Registration Statement on Form 10 (Commission file no. 001-40470) filed with the SEC on July 7, 2021).</w:t>
              </w:r>
            </w:hyperlink>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18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6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Second Supplemental Indenture, dated as of May 6, 2024, by and between GXO and Computershare Trust Company, N.A. (as successor to Wells Fargo Bank, National</w:t>
              </w:r>
            </w:hyperlink>
          </w:p>
        </w:tc>
        <w:tc>
          <w:tcPr>
            <w:tcW w:w="46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20" w:type="dxa"/>
            <w:vAlign w:val="bottom"/>
            <w:gridSpan w:val="25"/>
          </w:tcPr>
          <w:p>
            <w:pPr>
              <w:spacing w:after="0" w:line="118" w:lineRule="exact"/>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Association), as trustee (incorporated by reference to Exhibit 4.2 to the Company’s Current Report on Form 8-K (Commission file no. 001-40470) filed with the SEC on May</w:t>
              </w:r>
            </w:hyperlink>
          </w:p>
        </w:tc>
        <w:tc>
          <w:tcPr>
            <w:tcW w:w="0" w:type="dxa"/>
            <w:vAlign w:val="bottom"/>
          </w:tcPr>
          <w:p>
            <w:pPr>
              <w:spacing w:after="0"/>
              <w:rPr>
                <w:sz w:val="1"/>
                <w:szCs w:val="1"/>
                <w:color w:val="auto"/>
              </w:rPr>
            </w:pPr>
          </w:p>
        </w:tc>
      </w:tr>
      <w:tr>
        <w:trPr>
          <w:trHeight w:val="129"/>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5"/>
              </w:rPr>
            </w:pPr>
            <w:hyperlink r:id="rId119">
              <w:r>
                <w:rPr>
                  <w:rFonts w:ascii="Times New Roman" w:cs="Times New Roman" w:eastAsia="Times New Roman" w:hAnsi="Times New Roman"/>
                  <w:sz w:val="14"/>
                  <w:szCs w:val="14"/>
                  <w:color w:val="0000FF"/>
                  <w:w w:val="95"/>
                </w:rPr>
                <w:t>6, 2024).</w:t>
              </w:r>
            </w:hyperlink>
          </w:p>
        </w:tc>
        <w:tc>
          <w:tcPr>
            <w:tcW w:w="22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2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186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2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gridSpan w:val="25"/>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Third Supplemental Indenture, dated as of November 24, 2025, among GXO Logistics, Inc., GXO Logistics Capital B.V. and Computershare Trust Company, N.A., as trustee</w:t>
              </w:r>
            </w:hyperlink>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22"/>
          </w:tcPr>
          <w:p>
            <w:pPr>
              <w:spacing w:after="0" w:line="139" w:lineRule="exact"/>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(incorporated by reference to Exhibit 4.4 to the Company’s Current Report on Form 8-K (Commission file no. 001-40470) filed with the SEC on November 24, 2025).</w:t>
              </w:r>
            </w:hyperlink>
          </w:p>
        </w:tc>
        <w:tc>
          <w:tcPr>
            <w:tcW w:w="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80" w:type="dxa"/>
            <w:vAlign w:val="bottom"/>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25"/>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Indenture, dated as of November 24, 2025, among GXO Logistics, Inc., GXO Logistics Capital B.V. and Computershare Trust Company, N.A., as trustee (incorporated by</w:t>
              </w:r>
            </w:hyperlink>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tcBorders>
            <w:gridSpan w:val="17"/>
          </w:tcPr>
          <w:p>
            <w:pPr>
              <w:spacing w:after="0" w:line="139" w:lineRule="exact"/>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reference to Exhibit 4.1 to the Company’s Current Report on Form 8-K (Commission file no. 001-40470) filed with the SEC on November 24, 2025).</w:t>
              </w:r>
            </w:hyperlink>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80" w:type="dxa"/>
            <w:vAlign w:val="bottom"/>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25"/>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First Supplemental Indenture, dated as of November 24, 2025, among GXO Logistics, Inc., GXO Logistics Capital B.V. and Computershare Trust Company, N.A as trustee</w:t>
              </w:r>
            </w:hyperlink>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18"/>
          </w:tcPr>
          <w:p>
            <w:pPr>
              <w:spacing w:after="0" w:line="139"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(incorporated by reference to Exhibit 4.2 to the Company’s Current Report on Form 8-K (Commission file no. 001-40470) filed with the SEC on November 24, 2025).</w:t>
              </w:r>
            </w:hyperlink>
          </w:p>
        </w:tc>
        <w:tc>
          <w:tcPr>
            <w:tcW w:w="60" w:type="dxa"/>
            <w:vAlign w:val="bottom"/>
          </w:tcPr>
          <w:p>
            <w:pPr>
              <w:spacing w:after="0"/>
              <w:rPr>
                <w:sz w:val="12"/>
                <w:szCs w:val="12"/>
                <w:color w:val="auto"/>
              </w:rPr>
            </w:pPr>
          </w:p>
        </w:tc>
        <w:tc>
          <w:tcPr>
            <w:tcW w:w="1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60" w:type="dxa"/>
            <w:vAlign w:val="bottom"/>
            <w:gridSpan w:val="8"/>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25"/>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Registration Rights Agreement by and among Jacobs Private Equity, LLC and GXO Logistics, Inc., dated as of September 29, 2021 (incorporated by reference to Exhibit 4.1</w:t>
              </w:r>
            </w:hyperlink>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19"/>
          </w:tcPr>
          <w:p>
            <w:pPr>
              <w:spacing w:after="0" w:line="139" w:lineRule="exact"/>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to the Company’s Current Report on Form 8-K (Commission file no. 001-40470) filed with the SEC on October 1, 2021).</w:t>
              </w:r>
            </w:hyperlink>
          </w:p>
        </w:tc>
        <w:tc>
          <w:tcPr>
            <w:tcW w:w="1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960" w:type="dxa"/>
            <w:vAlign w:val="bottom"/>
          </w:tcPr>
          <w:p>
            <w:pPr>
              <w:jc w:val="center"/>
              <w:ind w:right="429"/>
              <w:spacing w:after="0"/>
              <w:rPr>
                <w:sz w:val="20"/>
                <w:szCs w:val="20"/>
                <w:color w:val="auto"/>
              </w:rPr>
            </w:pPr>
            <w:r>
              <w:rPr>
                <w:rFonts w:ascii="Times New Roman" w:cs="Times New Roman" w:eastAsia="Times New Roman" w:hAnsi="Times New Roman"/>
                <w:sz w:val="14"/>
                <w:szCs w:val="14"/>
                <w:color w:val="auto"/>
              </w:rPr>
              <w:t>4.8</w:t>
            </w:r>
          </w:p>
        </w:tc>
        <w:tc>
          <w:tcPr>
            <w:tcW w:w="9960" w:type="dxa"/>
            <w:vAlign w:val="bottom"/>
            <w:gridSpan w:val="34"/>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Description of Securities (incorporated by reference to Exhibit 4.5 of the Company’s Annual Report on Form 10-K (Commission file no. 001-40470) filed with the SEC on</w:t>
              </w:r>
            </w:hyperlink>
          </w:p>
        </w:tc>
      </w:tr>
      <w:tr>
        <w:trPr>
          <w:trHeight w:val="139"/>
        </w:trPr>
        <w:tc>
          <w:tcPr>
            <w:tcW w:w="960" w:type="dxa"/>
            <w:vAlign w:val="bottom"/>
          </w:tcPr>
          <w:p>
            <w:pPr>
              <w:spacing w:after="0"/>
              <w:rPr>
                <w:sz w:val="12"/>
                <w:szCs w:val="12"/>
                <w:color w:val="auto"/>
              </w:rPr>
            </w:pPr>
          </w:p>
        </w:tc>
        <w:tc>
          <w:tcPr>
            <w:tcW w:w="9700" w:type="dxa"/>
            <w:vAlign w:val="bottom"/>
            <w:tcBorders>
              <w:top w:val="single" w:sz="8" w:color="0000FF"/>
            </w:tcBorders>
            <w:gridSpan w:val="22"/>
          </w:tcPr>
          <w:p>
            <w:pPr>
              <w:spacing w:after="0" w:line="139" w:lineRule="exact"/>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February 17, 2022).</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w w:val="97"/>
              </w:rPr>
              <w:t>10.1</w:t>
            </w:r>
          </w:p>
        </w:tc>
        <w:tc>
          <w:tcPr>
            <w:tcW w:w="9960" w:type="dxa"/>
            <w:vAlign w:val="bottom"/>
            <w:gridSpan w:val="34"/>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Tax Matters Agreement by and between XPO Logistics, Inc. and GXO Logistics, Inc., dated as of August 1, 2021 (incorporated by reference to Exhibit 10.2 of the Company’s</w:t>
              </w:r>
            </w:hyperlink>
          </w:p>
        </w:tc>
      </w:tr>
      <w:tr>
        <w:trPr>
          <w:trHeight w:val="118"/>
        </w:trPr>
        <w:tc>
          <w:tcPr>
            <w:tcW w:w="960" w:type="dxa"/>
            <w:vAlign w:val="bottom"/>
          </w:tcPr>
          <w:p>
            <w:pPr>
              <w:spacing w:after="0"/>
              <w:rPr>
                <w:sz w:val="10"/>
                <w:szCs w:val="10"/>
                <w:color w:val="auto"/>
              </w:rPr>
            </w:pPr>
          </w:p>
        </w:tc>
        <w:tc>
          <w:tcPr>
            <w:tcW w:w="990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Current Report on Form 8-K (Commission file no. 001-40470) filed with the SEC on August 2,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w w:val="97"/>
              </w:rPr>
              <w:t>10.2</w:t>
            </w:r>
          </w:p>
        </w:tc>
        <w:tc>
          <w:tcPr>
            <w:tcW w:w="9960" w:type="dxa"/>
            <w:vAlign w:val="bottom"/>
            <w:gridSpan w:val="34"/>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Employee Matters Agreement by and between XPO Logistics, Inc. and GXO Logistics, Inc., dated as of August 1, 2021 (incorporated by reference to Exhibit 10.3 of the</w:t>
              </w:r>
            </w:hyperlink>
          </w:p>
        </w:tc>
      </w:tr>
      <w:tr>
        <w:trPr>
          <w:trHeight w:val="118"/>
        </w:trPr>
        <w:tc>
          <w:tcPr>
            <w:tcW w:w="960" w:type="dxa"/>
            <w:vAlign w:val="bottom"/>
          </w:tcPr>
          <w:p>
            <w:pPr>
              <w:spacing w:after="0"/>
              <w:rPr>
                <w:sz w:val="10"/>
                <w:szCs w:val="10"/>
                <w:color w:val="auto"/>
              </w:rPr>
            </w:pPr>
          </w:p>
        </w:tc>
        <w:tc>
          <w:tcPr>
            <w:tcW w:w="958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Company’s Current Report on Form 8-K (Commission file no. 001-40470) filed with the SEC on August 2, 2021).</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w w:val="97"/>
              </w:rPr>
              <w:t>10.3</w:t>
            </w:r>
          </w:p>
        </w:tc>
        <w:tc>
          <w:tcPr>
            <w:tcW w:w="9960" w:type="dxa"/>
            <w:vAlign w:val="bottom"/>
            <w:gridSpan w:val="34"/>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Intellectual Property License Agreement by and between XPO Logistics, Inc. and GXO Logistics, Inc., dated as of July 30, 2021 (incorporated by reference to Exhibit 10.4 of</w:t>
              </w:r>
            </w:hyperlink>
          </w:p>
        </w:tc>
      </w:tr>
      <w:tr>
        <w:trPr>
          <w:trHeight w:val="118"/>
        </w:trPr>
        <w:tc>
          <w:tcPr>
            <w:tcW w:w="960" w:type="dxa"/>
            <w:vAlign w:val="bottom"/>
          </w:tcPr>
          <w:p>
            <w:pPr>
              <w:spacing w:after="0"/>
              <w:rPr>
                <w:sz w:val="10"/>
                <w:szCs w:val="10"/>
                <w:color w:val="auto"/>
              </w:rPr>
            </w:pPr>
          </w:p>
        </w:tc>
        <w:tc>
          <w:tcPr>
            <w:tcW w:w="670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the Company’s Current Report on Form 8-K (Commission file no. 001-40470) filed with the SEC on August 2, 2021).</w:t>
              </w:r>
            </w:hyperlink>
          </w:p>
        </w:tc>
        <w:tc>
          <w:tcPr>
            <w:tcW w:w="316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60" w:type="dxa"/>
            <w:vAlign w:val="bottom"/>
          </w:tcPr>
          <w:p>
            <w:pPr>
              <w:jc w:val="center"/>
              <w:ind w:right="429"/>
              <w:spacing w:after="0"/>
              <w:rPr>
                <w:sz w:val="20"/>
                <w:szCs w:val="20"/>
                <w:color w:val="auto"/>
              </w:rPr>
            </w:pPr>
            <w:r>
              <w:rPr>
                <w:rFonts w:ascii="Times New Roman" w:cs="Times New Roman" w:eastAsia="Times New Roman" w:hAnsi="Times New Roman"/>
                <w:sz w:val="14"/>
                <w:szCs w:val="14"/>
                <w:color w:val="auto"/>
              </w:rPr>
              <w:t>10.4***</w:t>
            </w:r>
          </w:p>
        </w:tc>
        <w:tc>
          <w:tcPr>
            <w:tcW w:w="9960" w:type="dxa"/>
            <w:vAlign w:val="bottom"/>
            <w:gridSpan w:val="34"/>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Term Loan Credit Agreement, dated as of May 25, 2022, by and among the Company, the lenders and other parties from time to time party thereto, and Barclays Bank plc, as</w:t>
              </w:r>
            </w:hyperlink>
          </w:p>
        </w:tc>
      </w:tr>
      <w:tr>
        <w:trPr>
          <w:trHeight w:val="118"/>
        </w:trPr>
        <w:tc>
          <w:tcPr>
            <w:tcW w:w="960" w:type="dxa"/>
            <w:vAlign w:val="bottom"/>
          </w:tcPr>
          <w:p>
            <w:pPr>
              <w:spacing w:after="0"/>
              <w:rPr>
                <w:sz w:val="10"/>
                <w:szCs w:val="10"/>
                <w:color w:val="auto"/>
              </w:rPr>
            </w:pPr>
          </w:p>
        </w:tc>
        <w:tc>
          <w:tcPr>
            <w:tcW w:w="9820" w:type="dxa"/>
            <w:vAlign w:val="bottom"/>
            <w:tcBorders>
              <w:top w:val="single" w:sz="8" w:color="0000FF"/>
              <w:bottom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Administrative Agent (incorporated by reference to Exhibit 10.1 of the Company’s Current Report on Form 8-K (Commission file no. 001-40470) filed with the SEC on May</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960" w:type="dxa"/>
            <w:vAlign w:val="bottom"/>
          </w:tcPr>
          <w:p>
            <w:pPr>
              <w:spacing w:after="0"/>
              <w:rPr>
                <w:sz w:val="11"/>
                <w:szCs w:val="11"/>
                <w:color w:val="auto"/>
              </w:rPr>
            </w:pPr>
          </w:p>
        </w:tc>
        <w:tc>
          <w:tcPr>
            <w:tcW w:w="580" w:type="dxa"/>
            <w:vAlign w:val="bottom"/>
            <w:tcBorders>
              <w:bottom w:val="single" w:sz="8" w:color="0000FF"/>
            </w:tcBorders>
            <w:gridSpan w:val="2"/>
          </w:tcPr>
          <w:p>
            <w:pPr>
              <w:spacing w:after="0" w:line="129" w:lineRule="exact"/>
              <w:rPr>
                <w:rFonts w:ascii="Times New Roman" w:cs="Times New Roman" w:eastAsia="Times New Roman" w:hAnsi="Times New Roman"/>
                <w:sz w:val="14"/>
                <w:szCs w:val="14"/>
                <w:color w:val="0000FF"/>
                <w:w w:val="97"/>
              </w:rPr>
            </w:pPr>
            <w:hyperlink r:id="rId129">
              <w:r>
                <w:rPr>
                  <w:rFonts w:ascii="Times New Roman" w:cs="Times New Roman" w:eastAsia="Times New Roman" w:hAnsi="Times New Roman"/>
                  <w:sz w:val="14"/>
                  <w:szCs w:val="14"/>
                  <w:color w:val="0000FF"/>
                  <w:w w:val="97"/>
                </w:rPr>
                <w:t>26, 2022).</w:t>
              </w:r>
            </w:hyperlink>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w w:val="97"/>
              </w:rPr>
              <w:t>10.5</w:t>
            </w:r>
          </w:p>
        </w:tc>
        <w:tc>
          <w:tcPr>
            <w:tcW w:w="9960" w:type="dxa"/>
            <w:vAlign w:val="bottom"/>
            <w:gridSpan w:val="34"/>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Amendment No. 1 to 5-Year Term Loan Credit Agreement, dated as of November 24, 2025, among GXO Logistics, Inc., the lenders party thereto and Barclays Bank PLC, as</w:t>
              </w:r>
            </w:hyperlink>
          </w:p>
        </w:tc>
      </w:tr>
      <w:tr>
        <w:trPr>
          <w:trHeight w:val="118"/>
        </w:trPr>
        <w:tc>
          <w:tcPr>
            <w:tcW w:w="960" w:type="dxa"/>
            <w:vAlign w:val="bottom"/>
          </w:tcPr>
          <w:p>
            <w:pPr>
              <w:spacing w:after="0"/>
              <w:rPr>
                <w:sz w:val="10"/>
                <w:szCs w:val="10"/>
                <w:color w:val="auto"/>
              </w:rPr>
            </w:pPr>
          </w:p>
        </w:tc>
        <w:tc>
          <w:tcPr>
            <w:tcW w:w="984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administrative agent (incorporated by reference to Exhibit 10.1 to the Company’s Current Report on Form 8-K (Commission file no. 001-40470) filed with the SEC on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960" w:type="dxa"/>
            <w:vAlign w:val="bottom"/>
          </w:tcPr>
          <w:p>
            <w:pPr>
              <w:spacing w:after="0"/>
              <w:rPr>
                <w:sz w:val="11"/>
                <w:szCs w:val="11"/>
                <w:color w:val="auto"/>
              </w:rPr>
            </w:pPr>
          </w:p>
        </w:tc>
        <w:tc>
          <w:tcPr>
            <w:tcW w:w="122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November 24, 2025).</w:t>
              </w:r>
            </w:hyperlink>
          </w:p>
        </w:tc>
        <w:tc>
          <w:tcPr>
            <w:tcW w:w="8240" w:type="dxa"/>
            <w:vAlign w:val="bottom"/>
            <w:tcBorders>
              <w:top w:val="single" w:sz="8" w:color="0000FF"/>
            </w:tcBorders>
            <w:gridSpan w:val="14"/>
          </w:tcPr>
          <w:p>
            <w:pPr>
              <w:spacing w:after="0"/>
              <w:rPr>
                <w:sz w:val="11"/>
                <w:szCs w:val="11"/>
                <w:color w:val="auto"/>
              </w:rPr>
            </w:pP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w w:val="97"/>
              </w:rPr>
              <w:t>10.6</w:t>
            </w:r>
          </w:p>
        </w:tc>
        <w:tc>
          <w:tcPr>
            <w:tcW w:w="9780" w:type="dxa"/>
            <w:vAlign w:val="bottom"/>
            <w:tcBorders>
              <w:bottom w:val="single" w:sz="8" w:color="0000FF"/>
            </w:tcBorders>
            <w:gridSpan w:val="25"/>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Term Loan Credit Agreement, dated as of March 29, 2024, by and among GXO, the lenders and other parties from time to time party thereto, and Bank of America, N.A., as</w:t>
              </w:r>
            </w:hyperlink>
          </w:p>
        </w:tc>
        <w:tc>
          <w:tcPr>
            <w:tcW w:w="180" w:type="dxa"/>
            <w:vAlign w:val="bottom"/>
            <w:gridSpan w:val="9"/>
          </w:tcPr>
          <w:p>
            <w:pPr>
              <w:spacing w:after="0"/>
              <w:rPr>
                <w:sz w:val="13"/>
                <w:szCs w:val="13"/>
                <w:color w:val="auto"/>
              </w:rPr>
            </w:pPr>
          </w:p>
        </w:tc>
      </w:tr>
      <w:tr>
        <w:trPr>
          <w:trHeight w:val="118"/>
        </w:trPr>
        <w:tc>
          <w:tcPr>
            <w:tcW w:w="960" w:type="dxa"/>
            <w:vAlign w:val="bottom"/>
          </w:tcPr>
          <w:p>
            <w:pPr>
              <w:spacing w:after="0"/>
              <w:rPr>
                <w:sz w:val="10"/>
                <w:szCs w:val="10"/>
                <w:color w:val="auto"/>
              </w:rPr>
            </w:pPr>
          </w:p>
        </w:tc>
        <w:tc>
          <w:tcPr>
            <w:tcW w:w="9960" w:type="dxa"/>
            <w:vAlign w:val="bottom"/>
            <w:gridSpan w:val="34"/>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Administrative Agent (incorporated by reference to Exhibit 10.1 of the Company’s Current Report on Form 8-K (Commission file no. 001-40470) filed with the SEC on April</w:t>
              </w:r>
            </w:hyperlink>
          </w:p>
        </w:tc>
      </w:tr>
      <w:tr>
        <w:trPr>
          <w:trHeight w:val="129"/>
        </w:trPr>
        <w:tc>
          <w:tcPr>
            <w:tcW w:w="960" w:type="dxa"/>
            <w:vAlign w:val="bottom"/>
          </w:tcPr>
          <w:p>
            <w:pPr>
              <w:spacing w:after="0"/>
              <w:rPr>
                <w:sz w:val="11"/>
                <w:szCs w:val="11"/>
                <w:color w:val="auto"/>
              </w:rPr>
            </w:pPr>
          </w:p>
        </w:tc>
        <w:tc>
          <w:tcPr>
            <w:tcW w:w="52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9"/>
              </w:rPr>
            </w:pPr>
            <w:hyperlink r:id="rId131">
              <w:r>
                <w:rPr>
                  <w:rFonts w:ascii="Times New Roman" w:cs="Times New Roman" w:eastAsia="Times New Roman" w:hAnsi="Times New Roman"/>
                  <w:sz w:val="14"/>
                  <w:szCs w:val="14"/>
                  <w:color w:val="0000FF"/>
                  <w:w w:val="99"/>
                </w:rPr>
                <w:t>1, 2024).</w:t>
              </w:r>
            </w:hyperlink>
          </w:p>
        </w:tc>
        <w:tc>
          <w:tcPr>
            <w:tcW w:w="6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218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w w:val="97"/>
              </w:rPr>
              <w:t>10.7</w:t>
            </w:r>
          </w:p>
        </w:tc>
        <w:tc>
          <w:tcPr>
            <w:tcW w:w="9960" w:type="dxa"/>
            <w:vAlign w:val="bottom"/>
            <w:gridSpan w:val="34"/>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Credit Agreement, dated as of March 29, 2024, by and among GXO, the lenders and other parties from time to time party thereto, and Bank of America, N.A., as</w:t>
              </w:r>
            </w:hyperlink>
          </w:p>
        </w:tc>
      </w:tr>
      <w:tr>
        <w:trPr>
          <w:trHeight w:val="118"/>
        </w:trPr>
        <w:tc>
          <w:tcPr>
            <w:tcW w:w="960" w:type="dxa"/>
            <w:vAlign w:val="bottom"/>
          </w:tcPr>
          <w:p>
            <w:pPr>
              <w:spacing w:after="0"/>
              <w:rPr>
                <w:sz w:val="10"/>
                <w:szCs w:val="10"/>
                <w:color w:val="auto"/>
              </w:rPr>
            </w:pPr>
          </w:p>
        </w:tc>
        <w:tc>
          <w:tcPr>
            <w:tcW w:w="912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Administrative Agent (incorporated by reference to Exhibit 10.2 of the Company’s Current Report on Form 8-K (Commission file no. 001-40470) filed with the</w:t>
              </w:r>
            </w:hyperlink>
          </w:p>
        </w:tc>
        <w:tc>
          <w:tcPr>
            <w:tcW w:w="840" w:type="dxa"/>
            <w:vAlign w:val="bottom"/>
            <w:gridSpan w:val="18"/>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SEC on April</w:t>
              </w:r>
            </w:hyperlink>
          </w:p>
        </w:tc>
      </w:tr>
      <w:tr>
        <w:trPr>
          <w:trHeight w:val="129"/>
        </w:trPr>
        <w:tc>
          <w:tcPr>
            <w:tcW w:w="960" w:type="dxa"/>
            <w:vAlign w:val="bottom"/>
          </w:tcPr>
          <w:p>
            <w:pPr>
              <w:spacing w:after="0"/>
              <w:rPr>
                <w:sz w:val="11"/>
                <w:szCs w:val="11"/>
                <w:color w:val="auto"/>
              </w:rPr>
            </w:pPr>
          </w:p>
        </w:tc>
        <w:tc>
          <w:tcPr>
            <w:tcW w:w="52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9"/>
              </w:rPr>
            </w:pPr>
            <w:hyperlink r:id="rId132">
              <w:r>
                <w:rPr>
                  <w:rFonts w:ascii="Times New Roman" w:cs="Times New Roman" w:eastAsia="Times New Roman" w:hAnsi="Times New Roman"/>
                  <w:sz w:val="14"/>
                  <w:szCs w:val="14"/>
                  <w:color w:val="0000FF"/>
                  <w:w w:val="99"/>
                </w:rPr>
                <w:t>1, 2024).</w:t>
              </w:r>
            </w:hyperlink>
          </w:p>
        </w:tc>
        <w:tc>
          <w:tcPr>
            <w:tcW w:w="6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218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w w:val="97"/>
              </w:rPr>
              <w:t>10.8</w:t>
            </w:r>
          </w:p>
        </w:tc>
        <w:tc>
          <w:tcPr>
            <w:tcW w:w="9960" w:type="dxa"/>
            <w:vAlign w:val="bottom"/>
            <w:gridSpan w:val="34"/>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Amendment No. 1 to Credit Agreement, dated as of November 24, 2025, among GXO Logistics, Inc., the lenders party thereto and Bank of America, N.A., as administrative</w:t>
              </w:r>
            </w:hyperlink>
          </w:p>
        </w:tc>
      </w:tr>
      <w:tr>
        <w:trPr>
          <w:trHeight w:val="118"/>
        </w:trPr>
        <w:tc>
          <w:tcPr>
            <w:tcW w:w="960" w:type="dxa"/>
            <w:vAlign w:val="bottom"/>
          </w:tcPr>
          <w:p>
            <w:pPr>
              <w:spacing w:after="0"/>
              <w:rPr>
                <w:sz w:val="10"/>
                <w:szCs w:val="10"/>
                <w:color w:val="auto"/>
              </w:rPr>
            </w:pPr>
          </w:p>
        </w:tc>
        <w:tc>
          <w:tcPr>
            <w:tcW w:w="9800" w:type="dxa"/>
            <w:vAlign w:val="bottom"/>
            <w:tcBorders>
              <w:top w:val="single" w:sz="8" w:color="0000FF"/>
              <w:bottom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agent (incorporated by reference to Exhibit 10.2 to the Company’s Current Report on Form 8-K (Commission file no. 001-40470) filed with the SEC on November 24, 2025)</w:t>
              </w:r>
            </w:hyperlink>
          </w:p>
        </w:tc>
        <w:tc>
          <w:tcPr>
            <w:tcW w:w="60" w:type="dxa"/>
            <w:vAlign w:val="bottom"/>
            <w:tcBorders>
              <w:bottom w:val="single" w:sz="8" w:color="0000FF"/>
            </w:tcBorders>
            <w:gridSpan w:val="3"/>
          </w:tcPr>
          <w:p>
            <w:pPr>
              <w:jc w:val="right"/>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w w:val="98"/>
              </w:rPr>
              <w:t>10.9+</w:t>
            </w:r>
          </w:p>
        </w:tc>
        <w:tc>
          <w:tcPr>
            <w:tcW w:w="9960" w:type="dxa"/>
            <w:vAlign w:val="bottom"/>
            <w:gridSpan w:val="34"/>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Form of Option Award Agreement under the GXO Logistics, Inc. 2021 Omnibus Incentive Compensation Plan (incorporated by reference to Exhibit 10.2 to the Company’s</w:t>
              </w:r>
            </w:hyperlink>
          </w:p>
        </w:tc>
      </w:tr>
      <w:tr>
        <w:trPr>
          <w:trHeight w:val="118"/>
        </w:trPr>
        <w:tc>
          <w:tcPr>
            <w:tcW w:w="960" w:type="dxa"/>
            <w:vAlign w:val="bottom"/>
          </w:tcPr>
          <w:p>
            <w:pPr>
              <w:spacing w:after="0"/>
              <w:rPr>
                <w:sz w:val="10"/>
                <w:szCs w:val="10"/>
                <w:color w:val="auto"/>
              </w:rPr>
            </w:pPr>
          </w:p>
        </w:tc>
        <w:tc>
          <w:tcPr>
            <w:tcW w:w="602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Registration Statement on Form 10 (Commission file no. 001-40470) filed with the SEC on June 9, 2021).</w:t>
              </w:r>
            </w:hyperlink>
          </w:p>
        </w:tc>
        <w:tc>
          <w:tcPr>
            <w:tcW w:w="372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10.10+</w:t>
            </w:r>
          </w:p>
        </w:tc>
        <w:tc>
          <w:tcPr>
            <w:tcW w:w="9960" w:type="dxa"/>
            <w:vAlign w:val="bottom"/>
            <w:gridSpan w:val="34"/>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GXO Logistics, Inc. 2021 Omnibus Incentive Plan (incorporated by reference to Exhibit 10.5 of the Company’s Current Report on Form 8-K (Commission file no. 001-40470)</w:t>
              </w:r>
            </w:hyperlink>
          </w:p>
        </w:tc>
      </w:tr>
      <w:tr>
        <w:trPr>
          <w:trHeight w:val="118"/>
        </w:trPr>
        <w:tc>
          <w:tcPr>
            <w:tcW w:w="960" w:type="dxa"/>
            <w:vAlign w:val="bottom"/>
          </w:tcPr>
          <w:p>
            <w:pPr>
              <w:spacing w:after="0"/>
              <w:rPr>
                <w:sz w:val="10"/>
                <w:szCs w:val="10"/>
                <w:color w:val="auto"/>
              </w:rPr>
            </w:pPr>
          </w:p>
        </w:tc>
        <w:tc>
          <w:tcPr>
            <w:tcW w:w="222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filed with the SEC on August 2, 2021).</w:t>
              </w:r>
            </w:hyperlink>
          </w:p>
        </w:tc>
        <w:tc>
          <w:tcPr>
            <w:tcW w:w="7720" w:type="dxa"/>
            <w:vAlign w:val="bottom"/>
            <w:tcBorders>
              <w:top w:val="single" w:sz="8" w:color="0000FF"/>
            </w:tcBorders>
            <w:gridSpan w:val="27"/>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10.11+</w:t>
            </w:r>
          </w:p>
        </w:tc>
        <w:tc>
          <w:tcPr>
            <w:tcW w:w="9960" w:type="dxa"/>
            <w:vAlign w:val="bottom"/>
            <w:gridSpan w:val="34"/>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GXO Logistics, Inc. Severance Plan (incorporated by reference to Exhibit 10.6 of the Company’s Current Report on Form 8-K (Commission file no. 001-40470) filed with the</w:t>
              </w:r>
            </w:hyperlink>
          </w:p>
        </w:tc>
      </w:tr>
      <w:tr>
        <w:trPr>
          <w:trHeight w:val="118"/>
        </w:trPr>
        <w:tc>
          <w:tcPr>
            <w:tcW w:w="960" w:type="dxa"/>
            <w:vAlign w:val="bottom"/>
          </w:tcPr>
          <w:p>
            <w:pPr>
              <w:spacing w:after="0"/>
              <w:rPr>
                <w:sz w:val="10"/>
                <w:szCs w:val="10"/>
                <w:color w:val="auto"/>
              </w:rPr>
            </w:pPr>
          </w:p>
        </w:tc>
        <w:tc>
          <w:tcPr>
            <w:tcW w:w="988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SEC on August 2, 2021).</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960" w:type="dxa"/>
            <w:vAlign w:val="bottom"/>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10.12+</w:t>
            </w:r>
          </w:p>
        </w:tc>
        <w:tc>
          <w:tcPr>
            <w:tcW w:w="9960" w:type="dxa"/>
            <w:vAlign w:val="bottom"/>
            <w:gridSpan w:val="34"/>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GXO Logistics, Inc. Cash Long-Term Incentive Plan (incorporated by reference to Exhibit 10.7 of the Company’s Current Report on Form 8-K (Commission file no. 001-</w:t>
              </w:r>
            </w:hyperlink>
          </w:p>
        </w:tc>
      </w:tr>
      <w:tr>
        <w:trPr>
          <w:trHeight w:val="118"/>
        </w:trPr>
        <w:tc>
          <w:tcPr>
            <w:tcW w:w="960" w:type="dxa"/>
            <w:vAlign w:val="bottom"/>
          </w:tcPr>
          <w:p>
            <w:pPr>
              <w:spacing w:after="0"/>
              <w:rPr>
                <w:sz w:val="10"/>
                <w:szCs w:val="10"/>
                <w:color w:val="auto"/>
              </w:rPr>
            </w:pPr>
          </w:p>
        </w:tc>
        <w:tc>
          <w:tcPr>
            <w:tcW w:w="266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40470) filed with the SEC on August 2, 2021).</w:t>
              </w:r>
            </w:hyperlink>
          </w:p>
        </w:tc>
        <w:tc>
          <w:tcPr>
            <w:tcW w:w="6980" w:type="dxa"/>
            <w:vAlign w:val="bottom"/>
            <w:tcBorders>
              <w:top w:val="single" w:sz="8" w:color="0000FF"/>
            </w:tcBorders>
            <w:gridSpan w:val="14"/>
          </w:tcPr>
          <w:p>
            <w:pPr>
              <w:spacing w:after="0"/>
              <w:rPr>
                <w:sz w:val="10"/>
                <w:szCs w:val="10"/>
                <w:color w:val="auto"/>
              </w:rPr>
            </w:pPr>
          </w:p>
        </w:tc>
        <w:tc>
          <w:tcPr>
            <w:tcW w:w="120" w:type="dxa"/>
            <w:vAlign w:val="bottom"/>
            <w:gridSpan w:val="3"/>
          </w:tcPr>
          <w:p>
            <w:pPr>
              <w:spacing w:after="0"/>
              <w:rPr>
                <w:sz w:val="10"/>
                <w:szCs w:val="10"/>
                <w:color w:val="auto"/>
              </w:rPr>
            </w:pPr>
          </w:p>
        </w:tc>
        <w:tc>
          <w:tcPr>
            <w:tcW w:w="160" w:type="dxa"/>
            <w:vAlign w:val="bottom"/>
            <w:gridSpan w:val="8"/>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10.13+</w:t>
            </w:r>
          </w:p>
        </w:tc>
        <w:tc>
          <w:tcPr>
            <w:tcW w:w="9960" w:type="dxa"/>
            <w:vAlign w:val="bottom"/>
            <w:gridSpan w:val="34"/>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Form of Restricted Stock Unit Award Agreement for Non-Employee Directors (2021 Omnibus Incentive Compensation Plan) (incorporated by reference to Exhibit 10.12 to</w:t>
              </w:r>
            </w:hyperlink>
          </w:p>
        </w:tc>
      </w:tr>
      <w:tr>
        <w:trPr>
          <w:trHeight w:val="118"/>
        </w:trPr>
        <w:tc>
          <w:tcPr>
            <w:tcW w:w="960" w:type="dxa"/>
            <w:vAlign w:val="bottom"/>
          </w:tcPr>
          <w:p>
            <w:pPr>
              <w:spacing w:after="0"/>
              <w:rPr>
                <w:sz w:val="10"/>
                <w:szCs w:val="10"/>
                <w:color w:val="auto"/>
              </w:rPr>
            </w:pPr>
          </w:p>
        </w:tc>
        <w:tc>
          <w:tcPr>
            <w:tcW w:w="976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the Company’s Quarterly Report on Form 10-Q (Commission file no. 001-40470) filed with the SEC on November 2, 2021).</w:t>
              </w:r>
            </w:hyperlink>
          </w:p>
        </w:tc>
        <w:tc>
          <w:tcPr>
            <w:tcW w:w="160" w:type="dxa"/>
            <w:vAlign w:val="bottom"/>
            <w:gridSpan w:val="8"/>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960" w:type="dxa"/>
            <w:vAlign w:val="bottom"/>
          </w:tcPr>
          <w:p>
            <w:pPr>
              <w:spacing w:after="0" w:line="20" w:lineRule="exact"/>
              <w:rPr>
                <w:sz w:val="1"/>
                <w:szCs w:val="1"/>
                <w:color w:val="auto"/>
              </w:rPr>
            </w:pPr>
          </w:p>
        </w:tc>
        <w:tc>
          <w:tcPr>
            <w:tcW w:w="4840" w:type="dxa"/>
            <w:vAlign w:val="bottom"/>
            <w:gridSpan w:val="8"/>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10.14+</w:t>
            </w:r>
          </w:p>
        </w:tc>
        <w:tc>
          <w:tcPr>
            <w:tcW w:w="9960" w:type="dxa"/>
            <w:vAlign w:val="bottom"/>
            <w:gridSpan w:val="34"/>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Form of Restricted Stock Unit Award Agreement (Service-Vesting) (2021 Omnibus Incentive Compensation Plan) (incorporated by reference to Exhibit 10.13 to the</w:t>
              </w:r>
            </w:hyperlink>
          </w:p>
        </w:tc>
      </w:tr>
      <w:tr>
        <w:trPr>
          <w:trHeight w:val="118"/>
        </w:trPr>
        <w:tc>
          <w:tcPr>
            <w:tcW w:w="960" w:type="dxa"/>
            <w:vAlign w:val="bottom"/>
          </w:tcPr>
          <w:p>
            <w:pPr>
              <w:spacing w:after="0"/>
              <w:rPr>
                <w:sz w:val="10"/>
                <w:szCs w:val="10"/>
                <w:color w:val="auto"/>
              </w:rPr>
            </w:pPr>
          </w:p>
        </w:tc>
        <w:tc>
          <w:tcPr>
            <w:tcW w:w="686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Company’s Quarterly Report on Form 10-Q (Commission file no. 001-40470) filed with the SEC on November 2, 2021).</w:t>
              </w:r>
            </w:hyperlink>
          </w:p>
        </w:tc>
        <w:tc>
          <w:tcPr>
            <w:tcW w:w="2460" w:type="dxa"/>
            <w:vAlign w:val="bottom"/>
            <w:tcBorders>
              <w:top w:val="single" w:sz="8" w:color="0000FF"/>
            </w:tcBorders>
            <w:gridSpan w:val="3"/>
          </w:tcPr>
          <w:p>
            <w:pPr>
              <w:spacing w:after="0"/>
              <w:rPr>
                <w:sz w:val="10"/>
                <w:szCs w:val="10"/>
                <w:color w:val="auto"/>
              </w:rPr>
            </w:pPr>
          </w:p>
        </w:tc>
        <w:tc>
          <w:tcPr>
            <w:tcW w:w="300" w:type="dxa"/>
            <w:vAlign w:val="bottom"/>
            <w:gridSpan w:val="3"/>
          </w:tcPr>
          <w:p>
            <w:pPr>
              <w:spacing w:after="0"/>
              <w:rPr>
                <w:sz w:val="10"/>
                <w:szCs w:val="10"/>
                <w:color w:val="auto"/>
              </w:rPr>
            </w:pPr>
          </w:p>
        </w:tc>
        <w:tc>
          <w:tcPr>
            <w:tcW w:w="300" w:type="dxa"/>
            <w:vAlign w:val="bottom"/>
            <w:gridSpan w:val="1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10.15+</w:t>
            </w:r>
          </w:p>
        </w:tc>
        <w:tc>
          <w:tcPr>
            <w:tcW w:w="9960" w:type="dxa"/>
            <w:vAlign w:val="bottom"/>
            <w:gridSpan w:val="34"/>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Form of Restricted Stock Unit Award Agreement (2021 Omnibus Incentive Compensation Plan) (incorporated by reference to Exhibit 10.4 of the Company's Quarterly Report</w:t>
              </w:r>
            </w:hyperlink>
          </w:p>
        </w:tc>
      </w:tr>
      <w:tr>
        <w:trPr>
          <w:trHeight w:val="118"/>
        </w:trPr>
        <w:tc>
          <w:tcPr>
            <w:tcW w:w="960" w:type="dxa"/>
            <w:vAlign w:val="bottom"/>
          </w:tcPr>
          <w:p>
            <w:pPr>
              <w:spacing w:after="0"/>
              <w:rPr>
                <w:sz w:val="10"/>
                <w:szCs w:val="10"/>
                <w:color w:val="auto"/>
              </w:rPr>
            </w:pPr>
          </w:p>
        </w:tc>
        <w:tc>
          <w:tcPr>
            <w:tcW w:w="9920" w:type="dxa"/>
            <w:vAlign w:val="bottom"/>
            <w:tcBorders>
              <w:top w:val="single" w:sz="8" w:color="0000FF"/>
            </w:tcBorders>
            <w:gridSpan w:val="32"/>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on Form 10-Q (Commission file no. 001-40470) filed with the SEC on May 5, 2022).</w:t>
              </w:r>
            </w:hyperlink>
          </w:p>
        </w:tc>
        <w:tc>
          <w:tcPr>
            <w:tcW w:w="40" w:type="dxa"/>
            <w:vAlign w:val="bottom"/>
            <w:gridSpan w:val="2"/>
          </w:tcPr>
          <w:p>
            <w:pPr>
              <w:spacing w:after="0"/>
              <w:rPr>
                <w:sz w:val="10"/>
                <w:szCs w:val="10"/>
                <w:color w:val="auto"/>
              </w:rPr>
            </w:pPr>
          </w:p>
        </w:tc>
      </w:tr>
      <w:tr>
        <w:trPr>
          <w:trHeight w:val="20"/>
        </w:trPr>
        <w:tc>
          <w:tcPr>
            <w:tcW w:w="960" w:type="dxa"/>
            <w:vAlign w:val="bottom"/>
          </w:tcPr>
          <w:p>
            <w:pPr>
              <w:spacing w:after="0" w:line="20" w:lineRule="exact"/>
              <w:rPr>
                <w:sz w:val="1"/>
                <w:szCs w:val="1"/>
                <w:color w:val="auto"/>
              </w:rPr>
            </w:pPr>
          </w:p>
        </w:tc>
        <w:tc>
          <w:tcPr>
            <w:tcW w:w="4840" w:type="dxa"/>
            <w:vAlign w:val="bottom"/>
            <w:gridSpan w:val="8"/>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60" w:type="dxa"/>
            <w:vAlign w:val="bottom"/>
            <w:gridSpan w:val="11"/>
          </w:tcPr>
          <w:p>
            <w:pPr>
              <w:spacing w:after="0" w:line="20" w:lineRule="exact"/>
              <w:rPr>
                <w:sz w:val="1"/>
                <w:szCs w:val="1"/>
                <w:color w:val="auto"/>
              </w:rPr>
            </w:pPr>
          </w:p>
        </w:tc>
        <w:tc>
          <w:tcPr>
            <w:tcW w:w="340" w:type="dxa"/>
            <w:vAlign w:val="bottom"/>
            <w:gridSpan w:val="14"/>
          </w:tcPr>
          <w:p>
            <w:pPr>
              <w:spacing w:after="0" w:line="20" w:lineRule="exact"/>
              <w:rPr>
                <w:sz w:val="1"/>
                <w:szCs w:val="1"/>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10.16+</w:t>
            </w:r>
          </w:p>
        </w:tc>
        <w:tc>
          <w:tcPr>
            <w:tcW w:w="9960" w:type="dxa"/>
            <w:vAlign w:val="bottom"/>
            <w:gridSpan w:val="34"/>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Form of Performance Share Unit Award Agreement (2021 Omnibus Incentive Compensation Plan) (incorporated by reference to Exhibit 10.5 of the Company's Quarterly</w:t>
              </w:r>
            </w:hyperlink>
          </w:p>
        </w:tc>
      </w:tr>
      <w:tr>
        <w:trPr>
          <w:trHeight w:val="118"/>
        </w:trPr>
        <w:tc>
          <w:tcPr>
            <w:tcW w:w="960" w:type="dxa"/>
            <w:vAlign w:val="bottom"/>
          </w:tcPr>
          <w:p>
            <w:pPr>
              <w:spacing w:after="0"/>
              <w:rPr>
                <w:sz w:val="10"/>
                <w:szCs w:val="10"/>
                <w:color w:val="auto"/>
              </w:rPr>
            </w:pPr>
          </w:p>
        </w:tc>
        <w:tc>
          <w:tcPr>
            <w:tcW w:w="962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Report on Form 10-Q (Commission file no. 001-40470) filed with the SEC on May 5, 2022).</w:t>
              </w:r>
            </w:hyperlink>
          </w:p>
        </w:tc>
        <w:tc>
          <w:tcPr>
            <w:tcW w:w="340" w:type="dxa"/>
            <w:vAlign w:val="bottom"/>
            <w:gridSpan w:val="14"/>
          </w:tcPr>
          <w:p>
            <w:pPr>
              <w:spacing w:after="0"/>
              <w:rPr>
                <w:sz w:val="10"/>
                <w:szCs w:val="10"/>
                <w:color w:val="auto"/>
              </w:rPr>
            </w:pPr>
          </w:p>
        </w:tc>
      </w:tr>
      <w:tr>
        <w:trPr>
          <w:trHeight w:val="20"/>
        </w:trPr>
        <w:tc>
          <w:tcPr>
            <w:tcW w:w="9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80"/>
          </w:cols>
          <w:pgMar w:left="680" w:top="1167"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10.17+</w:t>
            </w:r>
          </w:p>
        </w:tc>
        <w:tc>
          <w:tcPr>
            <w:tcW w:w="9960" w:type="dxa"/>
            <w:vAlign w:val="bottom"/>
            <w:gridSpan w:val="33"/>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Form of Performance Share Unit Award Agreement (2021 Omnibus Incentive Compensation Plan) (incorporated by reference to Exhibit 10.9 to the Company’s Annual Report</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9940" w:type="dxa"/>
            <w:vAlign w:val="bottom"/>
            <w:tcBorders>
              <w:top w:val="single" w:sz="8" w:color="0000FF"/>
            </w:tcBorders>
            <w:gridSpan w:val="32"/>
          </w:tcPr>
          <w:p>
            <w:pPr>
              <w:spacing w:after="0" w:line="118"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on Form 10-Q (Commission file no. 001-40470) filed with the SEC on May 8, 2024).</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409"/>
              <w:spacing w:after="0"/>
              <w:rPr>
                <w:sz w:val="20"/>
                <w:szCs w:val="20"/>
                <w:color w:val="auto"/>
              </w:rPr>
            </w:pPr>
            <w:r>
              <w:rPr>
                <w:rFonts w:ascii="Times New Roman" w:cs="Times New Roman" w:eastAsia="Times New Roman" w:hAnsi="Times New Roman"/>
                <w:sz w:val="14"/>
                <w:szCs w:val="14"/>
                <w:color w:val="auto"/>
              </w:rPr>
              <w:t>10.18+</w:t>
            </w:r>
          </w:p>
        </w:tc>
        <w:tc>
          <w:tcPr>
            <w:tcW w:w="40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60" w:type="dxa"/>
            <w:vAlign w:val="bottom"/>
            <w:vMerge w:val="continue"/>
          </w:tcPr>
          <w:p>
            <w:pPr>
              <w:spacing w:after="0"/>
              <w:rPr>
                <w:sz w:val="15"/>
                <w:szCs w:val="15"/>
                <w:color w:val="auto"/>
              </w:rPr>
            </w:pPr>
          </w:p>
        </w:tc>
        <w:tc>
          <w:tcPr>
            <w:tcW w:w="9960" w:type="dxa"/>
            <w:vAlign w:val="bottom"/>
            <w:gridSpan w:val="33"/>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GXO Logistics, Inc. Long-Term Cash Award Agreement Under the 2021 Omnibus Incentive Compensation Plan ((incorporated by reference to Exhibit 10.24 to the</w:t>
              </w:r>
            </w:hyperlink>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6720" w:type="dxa"/>
            <w:vAlign w:val="bottom"/>
            <w:tcBorders>
              <w:top w:val="single" w:sz="8" w:color="0000FF"/>
              <w:bottom w:val="single" w:sz="8" w:color="0000FF"/>
            </w:tcBorders>
            <w:gridSpan w:val="13"/>
          </w:tcPr>
          <w:p>
            <w:pPr>
              <w:spacing w:after="0" w:line="139"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Company’s Annual Report on Form 10-K (Commission file no. 001-40470) filed with the SEC on February 18, 2025).</w:t>
              </w:r>
            </w:hyperlink>
          </w:p>
        </w:tc>
        <w:tc>
          <w:tcPr>
            <w:tcW w:w="2560" w:type="dxa"/>
            <w:vAlign w:val="bottom"/>
            <w:tcBorders>
              <w:top w:val="single" w:sz="8" w:color="0000FF"/>
            </w:tcBorders>
            <w:gridSpan w:val="4"/>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10.19+</w:t>
            </w:r>
          </w:p>
        </w:tc>
        <w:tc>
          <w:tcPr>
            <w:tcW w:w="9960" w:type="dxa"/>
            <w:vAlign w:val="bottom"/>
            <w:gridSpan w:val="33"/>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Form of Restricted Stock Unit Award Agreement (2021 Omnibus Incentive Compensation Plan) (incorporated by reference to Exhibit 10.2 of the Company's Quarterly Report</w:t>
              </w:r>
            </w:hyperlink>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9900" w:type="dxa"/>
            <w:vAlign w:val="bottom"/>
            <w:tcBorders>
              <w:top w:val="single" w:sz="8" w:color="0000FF"/>
            </w:tcBorders>
            <w:gridSpan w:val="30"/>
          </w:tcPr>
          <w:p>
            <w:pPr>
              <w:spacing w:after="0" w:line="139"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on Form 10-Q (Commission file no. 001-40470) filed with the SEC on May 8, 2025).</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409"/>
              <w:spacing w:after="0"/>
              <w:rPr>
                <w:sz w:val="20"/>
                <w:szCs w:val="20"/>
                <w:color w:val="auto"/>
              </w:rPr>
            </w:pPr>
            <w:r>
              <w:rPr>
                <w:rFonts w:ascii="Times New Roman" w:cs="Times New Roman" w:eastAsia="Times New Roman" w:hAnsi="Times New Roman"/>
                <w:sz w:val="14"/>
                <w:szCs w:val="14"/>
                <w:color w:val="auto"/>
              </w:rPr>
              <w:t>10.20+</w:t>
            </w:r>
          </w:p>
        </w:tc>
        <w:tc>
          <w:tcPr>
            <w:tcW w:w="40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60" w:type="dxa"/>
            <w:vAlign w:val="bottom"/>
            <w:vMerge w:val="continue"/>
          </w:tcPr>
          <w:p>
            <w:pPr>
              <w:spacing w:after="0"/>
              <w:rPr>
                <w:sz w:val="16"/>
                <w:szCs w:val="16"/>
                <w:color w:val="auto"/>
              </w:rPr>
            </w:pPr>
          </w:p>
        </w:tc>
        <w:tc>
          <w:tcPr>
            <w:tcW w:w="9960" w:type="dxa"/>
            <w:vAlign w:val="bottom"/>
            <w:gridSpan w:val="33"/>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Form of Performance Share Unit Award Agreement (2021 Omnibus Incentive Compensation Plan) (incorporated by reference to Exhibit 10.3 of the Company's Quarterly</w:t>
              </w:r>
            </w:hyperlink>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9620" w:type="dxa"/>
            <w:vAlign w:val="bottom"/>
            <w:tcBorders>
              <w:top w:val="single" w:sz="8" w:color="0000FF"/>
            </w:tcBorders>
            <w:gridSpan w:val="21"/>
          </w:tcPr>
          <w:p>
            <w:pPr>
              <w:spacing w:after="0" w:line="139"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Report on Form 10-Q (Commission file no. 001-40470) filed with the SEC on May 8, 2025).</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10.21+</w:t>
            </w:r>
          </w:p>
        </w:tc>
        <w:tc>
          <w:tcPr>
            <w:tcW w:w="9960" w:type="dxa"/>
            <w:vAlign w:val="bottom"/>
            <w:gridSpan w:val="33"/>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Form of Performance Share Unit Award Agreement (2021 Omnibus Incentive Compensation Plan) (incorporated by reference to Exhibit 10.1 of the Company's Quarterly</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560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Report on Form 10-Q (Commission file no. 001-40470) filed with the SEC on November 6, 2025).</w:t>
              </w:r>
            </w:hyperlink>
          </w:p>
        </w:tc>
        <w:tc>
          <w:tcPr>
            <w:tcW w:w="402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10.22+</w:t>
            </w:r>
          </w:p>
        </w:tc>
        <w:tc>
          <w:tcPr>
            <w:tcW w:w="9960" w:type="dxa"/>
            <w:vAlign w:val="bottom"/>
            <w:gridSpan w:val="33"/>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Offer Letter, dated June 19, 2025, between Patrick Kelleher and GXO Logistics, Inc. (incorporated by reference to Exhibit 10.1 to the Company’s Current Report on Form 8-K</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992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(Commission file no. 001-40470) filed with the SEC on June 20, 2025).</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409"/>
              <w:spacing w:after="0"/>
              <w:rPr>
                <w:sz w:val="20"/>
                <w:szCs w:val="20"/>
                <w:color w:val="auto"/>
              </w:rPr>
            </w:pPr>
            <w:r>
              <w:rPr>
                <w:rFonts w:ascii="Times New Roman" w:cs="Times New Roman" w:eastAsia="Times New Roman" w:hAnsi="Times New Roman"/>
                <w:sz w:val="14"/>
                <w:szCs w:val="14"/>
                <w:color w:val="auto"/>
              </w:rPr>
              <w:t>10.23+</w:t>
            </w:r>
          </w:p>
        </w:tc>
        <w:tc>
          <w:tcPr>
            <w:tcW w:w="40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60" w:type="dxa"/>
            <w:vAlign w:val="bottom"/>
            <w:vMerge w:val="continue"/>
          </w:tcPr>
          <w:p>
            <w:pPr>
              <w:spacing w:after="0"/>
              <w:rPr>
                <w:sz w:val="15"/>
                <w:szCs w:val="15"/>
                <w:color w:val="auto"/>
              </w:rPr>
            </w:pPr>
          </w:p>
        </w:tc>
        <w:tc>
          <w:tcPr>
            <w:tcW w:w="9960" w:type="dxa"/>
            <w:vAlign w:val="bottom"/>
            <w:gridSpan w:val="33"/>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Offer Letter between XPO Logistics Europe and Malcolm Wilson, dated as of May 14, 2021 (incorporated by reference to Exhibit 10.7 to the Company’s Registration</w:t>
              </w:r>
            </w:hyperlink>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5300" w:type="dxa"/>
            <w:vAlign w:val="bottom"/>
            <w:tcBorders>
              <w:top w:val="single" w:sz="8" w:color="0000FF"/>
              <w:bottom w:val="single" w:sz="8" w:color="0000FF"/>
            </w:tcBorders>
            <w:gridSpan w:val="6"/>
          </w:tcPr>
          <w:p>
            <w:pPr>
              <w:spacing w:after="0" w:line="139"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Statement on Form 10 (Commission file no. 001-40470) filed with the SEC on June 9, 2021).</w:t>
              </w:r>
            </w:hyperlink>
          </w:p>
        </w:tc>
        <w:tc>
          <w:tcPr>
            <w:tcW w:w="4100" w:type="dxa"/>
            <w:vAlign w:val="bottom"/>
            <w:tcBorders>
              <w:top w:val="single" w:sz="8" w:color="0000FF"/>
            </w:tcBorders>
            <w:gridSpan w:val="13"/>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10.24+</w:t>
            </w:r>
          </w:p>
        </w:tc>
        <w:tc>
          <w:tcPr>
            <w:tcW w:w="9960" w:type="dxa"/>
            <w:vAlign w:val="bottom"/>
            <w:gridSpan w:val="33"/>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Service Agreement between XPO Supply Chain UK Limited and Malcolm Wilson, dated as of May 14, 2021 (incorporated by reference to Exhibit 10.8 to the Company’s</w:t>
              </w:r>
            </w:hyperlink>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6020" w:type="dxa"/>
            <w:vAlign w:val="bottom"/>
            <w:tcBorders>
              <w:top w:val="single" w:sz="8" w:color="0000FF"/>
              <w:bottom w:val="single" w:sz="8" w:color="0000FF"/>
            </w:tcBorders>
            <w:gridSpan w:val="9"/>
          </w:tcPr>
          <w:p>
            <w:pPr>
              <w:spacing w:after="0" w:line="139"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Registration Statement on Form 10 (Commission file no. 001-40470) filed with the SEC on June 9, 2021).</w:t>
              </w:r>
            </w:hyperlink>
          </w:p>
        </w:tc>
        <w:tc>
          <w:tcPr>
            <w:tcW w:w="3620" w:type="dxa"/>
            <w:vAlign w:val="bottom"/>
            <w:tcBorders>
              <w:top w:val="single" w:sz="8" w:color="0000FF"/>
            </w:tcBorders>
            <w:gridSpan w:val="13"/>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10.25+</w:t>
            </w:r>
          </w:p>
        </w:tc>
        <w:tc>
          <w:tcPr>
            <w:tcW w:w="9960" w:type="dxa"/>
            <w:vAlign w:val="bottom"/>
            <w:gridSpan w:val="33"/>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Settlement Agreement, dated as of February 17, 2025, by and between GXO Logistics UK Limited and Malcolm Wilson (incorporated by reference to Exhibit 10.27 to the</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968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Company’s Annual Report on Form 10-K(Commission file no. 001-40470) files with the SEC on February 18, 2025).</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409"/>
              <w:spacing w:after="0"/>
              <w:rPr>
                <w:sz w:val="20"/>
                <w:szCs w:val="20"/>
                <w:color w:val="auto"/>
              </w:rPr>
            </w:pPr>
            <w:r>
              <w:rPr>
                <w:rFonts w:ascii="Times New Roman" w:cs="Times New Roman" w:eastAsia="Times New Roman" w:hAnsi="Times New Roman"/>
                <w:sz w:val="14"/>
                <w:szCs w:val="14"/>
                <w:color w:val="auto"/>
              </w:rPr>
              <w:t>10.26+</w:t>
            </w:r>
          </w:p>
        </w:tc>
        <w:tc>
          <w:tcPr>
            <w:tcW w:w="452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60" w:type="dxa"/>
            <w:vAlign w:val="bottom"/>
            <w:vMerge w:val="continue"/>
          </w:tcPr>
          <w:p>
            <w:pPr>
              <w:spacing w:after="0"/>
              <w:rPr>
                <w:sz w:val="15"/>
                <w:szCs w:val="15"/>
                <w:color w:val="auto"/>
              </w:rPr>
            </w:pPr>
          </w:p>
        </w:tc>
        <w:tc>
          <w:tcPr>
            <w:tcW w:w="9960" w:type="dxa"/>
            <w:vAlign w:val="bottom"/>
            <w:gridSpan w:val="33"/>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Offer Letter between XPO Logistics Europe and Karlis Kirsis, dated as of July 9, 2021 (incorporated by reference to Exhibit 10.16 to the Company’s Amendment No. 4 to the</w:t>
              </w:r>
            </w:hyperlink>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9880" w:type="dxa"/>
            <w:vAlign w:val="bottom"/>
            <w:tcBorders>
              <w:top w:val="single" w:sz="8" w:color="0000FF"/>
            </w:tcBorders>
            <w:gridSpan w:val="29"/>
          </w:tcPr>
          <w:p>
            <w:pPr>
              <w:spacing w:after="0" w:line="139"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Registration Statement on Form 10 (Commission file no. 001-40470) filed with the SEC on July 15, 2021)</w:t>
              </w:r>
              <w:r>
                <w:rPr>
                  <w:rFonts w:ascii="Times New Roman" w:cs="Times New Roman" w:eastAsia="Times New Roman" w:hAnsi="Times New Roman"/>
                  <w:sz w:val="14"/>
                  <w:szCs w:val="14"/>
                  <w:color w:val="000000"/>
                </w:rPr>
                <w:t>.</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409"/>
              <w:spacing w:after="0"/>
              <w:rPr>
                <w:sz w:val="20"/>
                <w:szCs w:val="20"/>
                <w:color w:val="auto"/>
              </w:rPr>
            </w:pPr>
            <w:r>
              <w:rPr>
                <w:rFonts w:ascii="Times New Roman" w:cs="Times New Roman" w:eastAsia="Times New Roman" w:hAnsi="Times New Roman"/>
                <w:sz w:val="14"/>
                <w:szCs w:val="14"/>
                <w:color w:val="auto"/>
              </w:rPr>
              <w:t>10.27+</w:t>
            </w:r>
          </w:p>
        </w:tc>
        <w:tc>
          <w:tcPr>
            <w:tcW w:w="452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60" w:type="dxa"/>
            <w:vAlign w:val="bottom"/>
            <w:vMerge w:val="continue"/>
          </w:tcPr>
          <w:p>
            <w:pPr>
              <w:spacing w:after="0"/>
              <w:rPr>
                <w:sz w:val="16"/>
                <w:szCs w:val="16"/>
                <w:color w:val="auto"/>
              </w:rPr>
            </w:pPr>
          </w:p>
        </w:tc>
        <w:tc>
          <w:tcPr>
            <w:tcW w:w="9960" w:type="dxa"/>
            <w:vAlign w:val="bottom"/>
            <w:gridSpan w:val="33"/>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Service Agreement between XPO Supply Chain UK Limited and Karlis Kirsis, dated as of July 9, 2021 (incorporated by reference to Exhibit 10.14 to the Company’s</w:t>
              </w:r>
            </w:hyperlink>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9380" w:type="dxa"/>
            <w:vAlign w:val="bottom"/>
            <w:tcBorders>
              <w:top w:val="single" w:sz="8" w:color="0000FF"/>
            </w:tcBorders>
            <w:gridSpan w:val="18"/>
          </w:tcPr>
          <w:p>
            <w:pPr>
              <w:spacing w:after="0" w:line="139"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Amendment No. 4 to the Registration Statement on Form 10 (Commission file no. 001-40470) filed with the SEC on July 15, 2021).</w:t>
              </w:r>
            </w:hyperlink>
          </w:p>
        </w:tc>
        <w:tc>
          <w:tcPr>
            <w:tcW w:w="140" w:type="dxa"/>
            <w:vAlign w:val="bottom"/>
            <w:gridSpan w:val="2"/>
          </w:tcPr>
          <w:p>
            <w:pPr>
              <w:spacing w:after="0"/>
              <w:rPr>
                <w:sz w:val="12"/>
                <w:szCs w:val="12"/>
                <w:color w:val="auto"/>
              </w:rPr>
            </w:pPr>
          </w:p>
        </w:tc>
        <w:tc>
          <w:tcPr>
            <w:tcW w:w="1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409"/>
              <w:spacing w:after="0"/>
              <w:rPr>
                <w:sz w:val="20"/>
                <w:szCs w:val="20"/>
                <w:color w:val="auto"/>
              </w:rPr>
            </w:pPr>
            <w:r>
              <w:rPr>
                <w:rFonts w:ascii="Times New Roman" w:cs="Times New Roman" w:eastAsia="Times New Roman" w:hAnsi="Times New Roman"/>
                <w:sz w:val="14"/>
                <w:szCs w:val="14"/>
                <w:color w:val="auto"/>
              </w:rPr>
              <w:t>10.28+</w:t>
            </w:r>
          </w:p>
        </w:tc>
        <w:tc>
          <w:tcPr>
            <w:tcW w:w="452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60" w:type="dxa"/>
            <w:vAlign w:val="bottom"/>
            <w:vMerge w:val="continue"/>
          </w:tcPr>
          <w:p>
            <w:pPr>
              <w:spacing w:after="0"/>
              <w:rPr>
                <w:sz w:val="16"/>
                <w:szCs w:val="16"/>
                <w:color w:val="auto"/>
              </w:rPr>
            </w:pPr>
          </w:p>
        </w:tc>
        <w:tc>
          <w:tcPr>
            <w:tcW w:w="9960" w:type="dxa"/>
            <w:vAlign w:val="bottom"/>
            <w:gridSpan w:val="33"/>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Pension Top Up Letter between XPO Logistics Europe and Karlis Kirsis, dated as of July 9, 2021 (incorporated by reference to Exhibit 10.15 to the Company’s Amendment</w:t>
              </w:r>
            </w:hyperlink>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9780" w:type="dxa"/>
            <w:vAlign w:val="bottom"/>
            <w:tcBorders>
              <w:top w:val="single" w:sz="8" w:color="0000FF"/>
            </w:tcBorders>
            <w:gridSpan w:val="27"/>
          </w:tcPr>
          <w:p>
            <w:pPr>
              <w:spacing w:after="0" w:line="139"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No. 4 to the Registration Statement on Form 10 (Commission file no. 001-40470) filed with the SEC on July 15, 2021).</w:t>
              </w:r>
            </w:hyperlink>
          </w:p>
        </w:tc>
        <w:tc>
          <w:tcPr>
            <w:tcW w:w="8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409"/>
              <w:spacing w:after="0"/>
              <w:rPr>
                <w:sz w:val="20"/>
                <w:szCs w:val="20"/>
                <w:color w:val="auto"/>
              </w:rPr>
            </w:pPr>
            <w:r>
              <w:rPr>
                <w:rFonts w:ascii="Times New Roman" w:cs="Times New Roman" w:eastAsia="Times New Roman" w:hAnsi="Times New Roman"/>
                <w:sz w:val="14"/>
                <w:szCs w:val="14"/>
                <w:color w:val="auto"/>
              </w:rPr>
              <w:t>10.29+</w:t>
            </w:r>
          </w:p>
        </w:tc>
        <w:tc>
          <w:tcPr>
            <w:tcW w:w="452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60" w:type="dxa"/>
            <w:vAlign w:val="bottom"/>
            <w:vMerge w:val="continue"/>
          </w:tcPr>
          <w:p>
            <w:pPr>
              <w:spacing w:after="0"/>
              <w:rPr>
                <w:sz w:val="16"/>
                <w:szCs w:val="16"/>
                <w:color w:val="auto"/>
              </w:rPr>
            </w:pPr>
          </w:p>
        </w:tc>
        <w:tc>
          <w:tcPr>
            <w:tcW w:w="9960" w:type="dxa"/>
            <w:vAlign w:val="bottom"/>
            <w:gridSpan w:val="33"/>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Offer Letter between XPO Logistics, Inc. and Baris Oran, dated as of April 20, 2021 (incorporated by reference to Exhibit 10.9 to the Company’s Registration Statement on</w:t>
              </w:r>
            </w:hyperlink>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4520" w:type="dxa"/>
            <w:vAlign w:val="bottom"/>
            <w:tcBorders>
              <w:top w:val="single" w:sz="8" w:color="0000FF"/>
              <w:bottom w:val="single" w:sz="8" w:color="0000FF"/>
            </w:tcBorders>
            <w:gridSpan w:val="2"/>
          </w:tcPr>
          <w:p>
            <w:pPr>
              <w:spacing w:after="0" w:line="139"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Form 10 (Commission file no. 001-40470) filed with the SEC on June 9, 2021).</w:t>
              </w:r>
            </w:hyperlink>
          </w:p>
        </w:tc>
        <w:tc>
          <w:tcPr>
            <w:tcW w:w="522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10.30+</w:t>
            </w:r>
          </w:p>
        </w:tc>
        <w:tc>
          <w:tcPr>
            <w:tcW w:w="9960" w:type="dxa"/>
            <w:vAlign w:val="bottom"/>
            <w:gridSpan w:val="33"/>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Settlement Agreement, dated as of November 4, 2025, by and between GXO Logistics, Inc. and Baris Oran (incorporated by reference to Exhibit 10.2 to the Company’s</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952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Quarterly Report on Form 10-Q (Commission file no. 001-404070) filed with the SEC on November 6, 2025).</w:t>
              </w:r>
            </w:hyperlink>
          </w:p>
        </w:tc>
        <w:tc>
          <w:tcPr>
            <w:tcW w:w="180" w:type="dxa"/>
            <w:vAlign w:val="bottom"/>
            <w:gridSpan w:val="4"/>
          </w:tcPr>
          <w:p>
            <w:pPr>
              <w:spacing w:after="0"/>
              <w:rPr>
                <w:sz w:val="10"/>
                <w:szCs w:val="10"/>
                <w:color w:val="auto"/>
              </w:rPr>
            </w:pPr>
          </w:p>
        </w:tc>
        <w:tc>
          <w:tcPr>
            <w:tcW w:w="6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180" w:type="dxa"/>
            <w:vAlign w:val="bottom"/>
            <w:gridSpan w:val="4"/>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80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10.31+</w:t>
            </w:r>
          </w:p>
        </w:tc>
        <w:tc>
          <w:tcPr>
            <w:tcW w:w="9960" w:type="dxa"/>
            <w:vAlign w:val="bottom"/>
            <w:gridSpan w:val="33"/>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Offer Letter between GXO Logistics, Inc. and Elizabeth Fogarty, dated as of October 22, 2021 (incorporated by reference to Exhibit 10.14 to the Company’s Quarterly Report</w:t>
              </w:r>
            </w:hyperlink>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5180" w:type="dxa"/>
            <w:vAlign w:val="bottom"/>
            <w:tcBorders>
              <w:top w:val="single" w:sz="8" w:color="0000FF"/>
              <w:bottom w:val="single" w:sz="8" w:color="0000FF"/>
            </w:tcBorders>
            <w:gridSpan w:val="4"/>
          </w:tcPr>
          <w:p>
            <w:pPr>
              <w:spacing w:after="0" w:line="139"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on Form 10-Q (Commission file no. 001-40470) filed with the SEC on November 2, 2021).</w:t>
              </w:r>
            </w:hyperlink>
          </w:p>
        </w:tc>
        <w:tc>
          <w:tcPr>
            <w:tcW w:w="4680" w:type="dxa"/>
            <w:vAlign w:val="bottom"/>
            <w:tcBorders>
              <w:top w:val="single" w:sz="8" w:color="0000FF"/>
            </w:tcBorders>
            <w:gridSpan w:val="24"/>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10.32+</w:t>
            </w:r>
          </w:p>
        </w:tc>
        <w:tc>
          <w:tcPr>
            <w:tcW w:w="9960" w:type="dxa"/>
            <w:vAlign w:val="bottom"/>
            <w:gridSpan w:val="33"/>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Offer Letter between XPO Supply Chain UK Limited and Richard Cawston, dated as of July 14, 2021 (incorporated by reference to Exhibit 10.23 to the Company’s Annual</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976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58">
              <w:r>
                <w:rPr>
                  <w:rFonts w:ascii="Times New Roman" w:cs="Times New Roman" w:eastAsia="Times New Roman" w:hAnsi="Times New Roman"/>
                  <w:sz w:val="13"/>
                  <w:szCs w:val="13"/>
                  <w:color w:val="0000FF"/>
                </w:rPr>
                <w:t>Report on Form 10-K (Commission file no. 001-40470) filed with the SEC on February 15, 2024).</w:t>
              </w:r>
            </w:hyperlink>
          </w:p>
        </w:tc>
        <w:tc>
          <w:tcPr>
            <w:tcW w:w="20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580" w:type="dxa"/>
            <w:vAlign w:val="bottom"/>
            <w:gridSpan w:val="7"/>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800" w:type="dxa"/>
            <w:vAlign w:val="bottom"/>
            <w:gridSpan w:val="9"/>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10.33+</w:t>
            </w:r>
          </w:p>
        </w:tc>
        <w:tc>
          <w:tcPr>
            <w:tcW w:w="9960" w:type="dxa"/>
            <w:vAlign w:val="bottom"/>
            <w:gridSpan w:val="33"/>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Service Agreement between XPO Supply Chain UK Limited and Richard Cawston, dated as of July 12, 2021 (incorporated by reference to Exhibit 10.24 to the Company’s</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604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59">
              <w:r>
                <w:rPr>
                  <w:rFonts w:ascii="Times New Roman" w:cs="Times New Roman" w:eastAsia="Times New Roman" w:hAnsi="Times New Roman"/>
                  <w:sz w:val="13"/>
                  <w:szCs w:val="13"/>
                  <w:color w:val="0000FF"/>
                </w:rPr>
                <w:t>Annual Report on Form 10-K (Commission file no. 001-40470) filed with the SEC on February 15, 2024).</w:t>
              </w:r>
            </w:hyperlink>
          </w:p>
        </w:tc>
        <w:tc>
          <w:tcPr>
            <w:tcW w:w="3660" w:type="dxa"/>
            <w:vAlign w:val="bottom"/>
            <w:tcBorders>
              <w:top w:val="single" w:sz="8" w:color="0000FF"/>
            </w:tcBorders>
            <w:gridSpan w:val="14"/>
          </w:tcPr>
          <w:p>
            <w:pPr>
              <w:spacing w:after="0"/>
              <w:rPr>
                <w:sz w:val="10"/>
                <w:szCs w:val="10"/>
                <w:color w:val="auto"/>
              </w:rPr>
            </w:pPr>
          </w:p>
        </w:tc>
        <w:tc>
          <w:tcPr>
            <w:tcW w:w="26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60" w:type="dxa"/>
            <w:vAlign w:val="bottom"/>
          </w:tcPr>
          <w:p>
            <w:pPr>
              <w:jc w:val="center"/>
              <w:ind w:right="429"/>
              <w:spacing w:after="0"/>
              <w:rPr>
                <w:sz w:val="20"/>
                <w:szCs w:val="20"/>
                <w:color w:val="auto"/>
              </w:rPr>
            </w:pPr>
            <w:r>
              <w:rPr>
                <w:rFonts w:ascii="Times New Roman" w:cs="Times New Roman" w:eastAsia="Times New Roman" w:hAnsi="Times New Roman"/>
                <w:sz w:val="14"/>
                <w:szCs w:val="14"/>
                <w:color w:val="auto"/>
                <w:w w:val="99"/>
              </w:rPr>
              <w:t>10.34*+</w:t>
            </w:r>
          </w:p>
        </w:tc>
        <w:tc>
          <w:tcPr>
            <w:tcW w:w="69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Settlement Agreement, dated as of February 20, 2026, by and between GXO Logistics UK Limited and Richard Cawston.</w:t>
            </w:r>
          </w:p>
        </w:tc>
        <w:tc>
          <w:tcPr>
            <w:tcW w:w="306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80"/>
          </w:cols>
          <w:pgMar w:left="680" w:top="1167" w:right="339" w:bottom="1440" w:gutter="0" w:footer="0" w:header="0"/>
        </w:sectPr>
      </w:pPr>
    </w:p>
    <w:bookmarkStart w:id="82" w:name="page83"/>
    <w:bookmarkEnd w:id="82"/>
    <w:tbl>
      <w:tblPr>
        <w:tblLayout w:type="fixed"/>
        <w:tblInd w:w="320" w:type="dxa"/>
        <w:tblCellMar>
          <w:top w:w="0" w:type="dxa"/>
          <w:left w:w="0" w:type="dxa"/>
          <w:bottom w:w="0" w:type="dxa"/>
          <w:right w:w="0" w:type="dxa"/>
        </w:tblCellMar>
      </w:tblPr>
      <w:tr>
        <w:trPr>
          <w:trHeight w:val="161"/>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10.35+</w:t>
            </w:r>
          </w:p>
        </w:tc>
        <w:tc>
          <w:tcPr>
            <w:tcW w:w="9980" w:type="dxa"/>
            <w:vAlign w:val="bottom"/>
            <w:gridSpan w:val="22"/>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Offer Letter between GXO Logistics FST Limited and Corinna Refsgaard, dated as of March 7, 2024 (incorporated by reference to Exhibit 10.1 to the Company’s Quarterly</w:t>
              </w:r>
            </w:hyperlink>
          </w:p>
        </w:tc>
      </w:tr>
      <w:tr>
        <w:trPr>
          <w:trHeight w:val="118"/>
        </w:trPr>
        <w:tc>
          <w:tcPr>
            <w:tcW w:w="1020" w:type="dxa"/>
            <w:vAlign w:val="bottom"/>
          </w:tcPr>
          <w:p>
            <w:pPr>
              <w:spacing w:after="0"/>
              <w:rPr>
                <w:sz w:val="10"/>
                <w:szCs w:val="10"/>
                <w:color w:val="auto"/>
              </w:rPr>
            </w:pPr>
          </w:p>
        </w:tc>
        <w:tc>
          <w:tcPr>
            <w:tcW w:w="978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61">
              <w:r>
                <w:rPr>
                  <w:rFonts w:ascii="Times New Roman" w:cs="Times New Roman" w:eastAsia="Times New Roman" w:hAnsi="Times New Roman"/>
                  <w:sz w:val="13"/>
                  <w:szCs w:val="13"/>
                  <w:color w:val="0000FF"/>
                </w:rPr>
                <w:t>Report on Form 10-Q (Commission file no. 001-404070) filed with the SEC on August 6, 2024).</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10.36+</w:t>
            </w:r>
          </w:p>
        </w:tc>
        <w:tc>
          <w:tcPr>
            <w:tcW w:w="9980" w:type="dxa"/>
            <w:vAlign w:val="bottom"/>
            <w:gridSpan w:val="22"/>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Service Agreement between GXO Logistics FST Limited and Corinna Refsgaard, dated as of February 23, 2024 (incorporated by reference to Exhibit 10.2 to the Company’s</w:t>
              </w:r>
            </w:hyperlink>
          </w:p>
        </w:tc>
      </w:tr>
      <w:tr>
        <w:trPr>
          <w:trHeight w:val="118"/>
        </w:trPr>
        <w:tc>
          <w:tcPr>
            <w:tcW w:w="1020" w:type="dxa"/>
            <w:vAlign w:val="bottom"/>
          </w:tcPr>
          <w:p>
            <w:pPr>
              <w:spacing w:after="0"/>
              <w:rPr>
                <w:sz w:val="10"/>
                <w:szCs w:val="10"/>
                <w:color w:val="auto"/>
              </w:rPr>
            </w:pPr>
          </w:p>
        </w:tc>
        <w:tc>
          <w:tcPr>
            <w:tcW w:w="606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62">
              <w:r>
                <w:rPr>
                  <w:rFonts w:ascii="Times New Roman" w:cs="Times New Roman" w:eastAsia="Times New Roman" w:hAnsi="Times New Roman"/>
                  <w:sz w:val="13"/>
                  <w:szCs w:val="13"/>
                  <w:color w:val="0000FF"/>
                </w:rPr>
                <w:t>Quarterly Report on Form 10-Q (Commission file no. 001-404070) filed with the SEC on August 6, 2024).</w:t>
              </w:r>
            </w:hyperlink>
          </w:p>
        </w:tc>
        <w:tc>
          <w:tcPr>
            <w:tcW w:w="3760" w:type="dxa"/>
            <w:vAlign w:val="bottom"/>
            <w:tcBorders>
              <w:top w:val="single" w:sz="8" w:color="0000FF"/>
            </w:tcBorders>
            <w:gridSpan w:val="7"/>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10.37+</w:t>
            </w:r>
          </w:p>
        </w:tc>
        <w:tc>
          <w:tcPr>
            <w:tcW w:w="9980" w:type="dxa"/>
            <w:vAlign w:val="bottom"/>
            <w:gridSpan w:val="22"/>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Pension Top Up Letter between GXO Logistics FST Limited and Corinna Refsgaard, dated as of April 10, 2024 (incorporated by reference to Exhibit 10.3 to the Company’s</w:t>
              </w:r>
            </w:hyperlink>
          </w:p>
        </w:tc>
      </w:tr>
      <w:tr>
        <w:trPr>
          <w:trHeight w:val="118"/>
        </w:trPr>
        <w:tc>
          <w:tcPr>
            <w:tcW w:w="1020" w:type="dxa"/>
            <w:vAlign w:val="bottom"/>
          </w:tcPr>
          <w:p>
            <w:pPr>
              <w:spacing w:after="0"/>
              <w:rPr>
                <w:sz w:val="10"/>
                <w:szCs w:val="10"/>
                <w:color w:val="auto"/>
              </w:rPr>
            </w:pPr>
          </w:p>
        </w:tc>
        <w:tc>
          <w:tcPr>
            <w:tcW w:w="606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63">
              <w:r>
                <w:rPr>
                  <w:rFonts w:ascii="Times New Roman" w:cs="Times New Roman" w:eastAsia="Times New Roman" w:hAnsi="Times New Roman"/>
                  <w:sz w:val="13"/>
                  <w:szCs w:val="13"/>
                  <w:color w:val="0000FF"/>
                </w:rPr>
                <w:t>Quarterly Report on Form 10-Q (Commission file no. 001-404070) filed with the SEC on August 6, 2024).</w:t>
              </w:r>
            </w:hyperlink>
          </w:p>
        </w:tc>
        <w:tc>
          <w:tcPr>
            <w:tcW w:w="3740" w:type="dxa"/>
            <w:vAlign w:val="bottom"/>
            <w:tcBorders>
              <w:top w:val="single" w:sz="8" w:color="0000FF"/>
            </w:tcBorders>
            <w:gridSpan w:val="6"/>
          </w:tcPr>
          <w:p>
            <w:pPr>
              <w:spacing w:after="0"/>
              <w:rPr>
                <w:sz w:val="10"/>
                <w:szCs w:val="10"/>
                <w:color w:val="auto"/>
              </w:rPr>
            </w:pPr>
          </w:p>
        </w:tc>
        <w:tc>
          <w:tcPr>
            <w:tcW w:w="1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10.38+</w:t>
            </w:r>
          </w:p>
        </w:tc>
        <w:tc>
          <w:tcPr>
            <w:tcW w:w="9980" w:type="dxa"/>
            <w:vAlign w:val="bottom"/>
            <w:gridSpan w:val="22"/>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Agreement and Promise of Reimbursement between GXO Logistics FST Limited and Corinna Refsgaard, dated as of March 7, 2024 (incorporated by reference to Exhibit 10.4</w:t>
              </w:r>
            </w:hyperlink>
          </w:p>
        </w:tc>
      </w:tr>
      <w:tr>
        <w:trPr>
          <w:trHeight w:val="118"/>
        </w:trPr>
        <w:tc>
          <w:tcPr>
            <w:tcW w:w="1020" w:type="dxa"/>
            <w:vAlign w:val="bottom"/>
          </w:tcPr>
          <w:p>
            <w:pPr>
              <w:spacing w:after="0"/>
              <w:rPr>
                <w:sz w:val="10"/>
                <w:szCs w:val="10"/>
                <w:color w:val="auto"/>
              </w:rPr>
            </w:pPr>
          </w:p>
        </w:tc>
        <w:tc>
          <w:tcPr>
            <w:tcW w:w="710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64">
              <w:r>
                <w:rPr>
                  <w:rFonts w:ascii="Times New Roman" w:cs="Times New Roman" w:eastAsia="Times New Roman" w:hAnsi="Times New Roman"/>
                  <w:sz w:val="13"/>
                  <w:szCs w:val="13"/>
                  <w:color w:val="0000FF"/>
                </w:rPr>
                <w:t>to the Company’s Quarterly Report on Form 10-Q (Commission file no. 001-404070) filed with the SEC on August 6, 2024).</w:t>
              </w:r>
            </w:hyperlink>
          </w:p>
        </w:tc>
        <w:tc>
          <w:tcPr>
            <w:tcW w:w="2840" w:type="dxa"/>
            <w:vAlign w:val="bottom"/>
            <w:tcBorders>
              <w:top w:val="single" w:sz="8" w:color="0000FF"/>
            </w:tcBorders>
            <w:gridSpan w:val="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10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w w:val="99"/>
              </w:rPr>
              <w:t>10.39*+</w:t>
            </w:r>
          </w:p>
        </w:tc>
        <w:tc>
          <w:tcPr>
            <w:tcW w:w="99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Employment contract between GXO Logistics Netherlands B.V. and Bart Beeks, dated as of February 12, 2026.</w:t>
            </w:r>
          </w:p>
        </w:tc>
      </w:tr>
      <w:tr>
        <w:trPr>
          <w:trHeight w:val="160"/>
        </w:trPr>
        <w:tc>
          <w:tcPr>
            <w:tcW w:w="10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w w:val="99"/>
              </w:rPr>
              <w:t>10.40*+</w:t>
            </w:r>
          </w:p>
        </w:tc>
        <w:tc>
          <w:tcPr>
            <w:tcW w:w="51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Benefits Letter between GXO Logistics, Inc. and Bart Beeks, dated as of January 29, 2026.</w:t>
            </w:r>
          </w:p>
        </w:tc>
        <w:tc>
          <w:tcPr>
            <w:tcW w:w="1140" w:type="dxa"/>
            <w:vAlign w:val="bottom"/>
            <w:tcBorders>
              <w:top w:val="single" w:sz="8" w:color="0000FF"/>
            </w:tcBorders>
            <w:gridSpan w:val="3"/>
          </w:tcPr>
          <w:p>
            <w:pPr>
              <w:spacing w:after="0"/>
              <w:rPr>
                <w:sz w:val="13"/>
                <w:szCs w:val="13"/>
                <w:color w:val="auto"/>
              </w:rPr>
            </w:pPr>
          </w:p>
        </w:tc>
        <w:tc>
          <w:tcPr>
            <w:tcW w:w="3660" w:type="dxa"/>
            <w:vAlign w:val="bottom"/>
            <w:gridSpan w:val="10"/>
          </w:tcPr>
          <w:p>
            <w:pPr>
              <w:spacing w:after="0"/>
              <w:rPr>
                <w:sz w:val="13"/>
                <w:szCs w:val="13"/>
                <w:color w:val="auto"/>
              </w:rPr>
            </w:pPr>
          </w:p>
        </w:tc>
      </w:tr>
      <w:tr>
        <w:trPr>
          <w:trHeight w:val="160"/>
        </w:trPr>
        <w:tc>
          <w:tcPr>
            <w:tcW w:w="10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w w:val="99"/>
              </w:rPr>
              <w:t>10.41*+</w:t>
            </w:r>
          </w:p>
        </w:tc>
        <w:tc>
          <w:tcPr>
            <w:tcW w:w="51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Offer letter between GXO Logistics, Inc. and Karen Bomber, dated as of January 15, 2026.</w:t>
            </w:r>
          </w:p>
        </w:tc>
        <w:tc>
          <w:tcPr>
            <w:tcW w:w="4820" w:type="dxa"/>
            <w:vAlign w:val="bottom"/>
            <w:gridSpan w:val="14"/>
          </w:tcPr>
          <w:p>
            <w:pPr>
              <w:spacing w:after="0"/>
              <w:rPr>
                <w:sz w:val="13"/>
                <w:szCs w:val="13"/>
                <w:color w:val="auto"/>
              </w:rPr>
            </w:pPr>
          </w:p>
        </w:tc>
      </w:tr>
      <w:tr>
        <w:trPr>
          <w:trHeight w:val="16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19.1*</w:t>
            </w:r>
          </w:p>
        </w:tc>
        <w:tc>
          <w:tcPr>
            <w:tcW w:w="3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GXO Logistics, Inc. Insider Trading Policy, effective March 18, 2025.</w:t>
            </w:r>
          </w:p>
        </w:tc>
        <w:tc>
          <w:tcPr>
            <w:tcW w:w="6000" w:type="dxa"/>
            <w:vAlign w:val="bottom"/>
            <w:gridSpan w:val="15"/>
          </w:tcPr>
          <w:p>
            <w:pPr>
              <w:spacing w:after="0"/>
              <w:rPr>
                <w:sz w:val="13"/>
                <w:szCs w:val="13"/>
                <w:color w:val="auto"/>
              </w:rPr>
            </w:pPr>
          </w:p>
        </w:tc>
      </w:tr>
      <w:tr>
        <w:trPr>
          <w:trHeight w:val="16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21.1*</w:t>
            </w:r>
          </w:p>
        </w:tc>
        <w:tc>
          <w:tcPr>
            <w:tcW w:w="99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Subsidiaries of the Registrant.</w:t>
            </w:r>
          </w:p>
        </w:tc>
      </w:tr>
      <w:tr>
        <w:trPr>
          <w:trHeight w:val="20"/>
        </w:trPr>
        <w:tc>
          <w:tcPr>
            <w:tcW w:w="10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22.1*</w:t>
            </w:r>
          </w:p>
        </w:tc>
        <w:tc>
          <w:tcPr>
            <w:tcW w:w="99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Subsidiary Guarantors and Issuers of Guaranteed Securities</w:t>
            </w:r>
            <w:r>
              <w:rPr>
                <w:rFonts w:ascii="Times New Roman" w:cs="Times New Roman" w:eastAsia="Times New Roman" w:hAnsi="Times New Roman"/>
                <w:sz w:val="14"/>
                <w:szCs w:val="14"/>
                <w:color w:val="000000"/>
              </w:rPr>
              <w:t>.</w:t>
            </w:r>
          </w:p>
        </w:tc>
      </w:tr>
      <w:tr>
        <w:trPr>
          <w:trHeight w:val="20"/>
        </w:trPr>
        <w:tc>
          <w:tcPr>
            <w:tcW w:w="10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23.1*</w:t>
            </w:r>
          </w:p>
        </w:tc>
        <w:tc>
          <w:tcPr>
            <w:tcW w:w="3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6540" w:type="dxa"/>
            <w:vAlign w:val="bottom"/>
            <w:gridSpan w:val="17"/>
          </w:tcPr>
          <w:p>
            <w:pPr>
              <w:spacing w:after="0"/>
              <w:rPr>
                <w:sz w:val="13"/>
                <w:szCs w:val="13"/>
                <w:color w:val="auto"/>
              </w:rPr>
            </w:pPr>
          </w:p>
        </w:tc>
      </w:tr>
      <w:tr>
        <w:trPr>
          <w:trHeight w:val="16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31.1*</w:t>
            </w:r>
          </w:p>
        </w:tc>
        <w:tc>
          <w:tcPr>
            <w:tcW w:w="99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Certification of the Principal Executive Officer pursuant to Section 302 of the Sarbanes-Oxley Act of 2002, with respect to the registrant’s Annual Report on Form 10-K for</w:t>
            </w:r>
          </w:p>
        </w:tc>
      </w:tr>
      <w:tr>
        <w:trPr>
          <w:trHeight w:val="118"/>
        </w:trPr>
        <w:tc>
          <w:tcPr>
            <w:tcW w:w="1020" w:type="dxa"/>
            <w:vAlign w:val="bottom"/>
          </w:tcPr>
          <w:p>
            <w:pPr>
              <w:spacing w:after="0"/>
              <w:rPr>
                <w:sz w:val="10"/>
                <w:szCs w:val="10"/>
                <w:color w:val="auto"/>
              </w:rPr>
            </w:pPr>
          </w:p>
        </w:tc>
        <w:tc>
          <w:tcPr>
            <w:tcW w:w="2360" w:type="dxa"/>
            <w:vAlign w:val="bottom"/>
            <w:tcBorders>
              <w:top w:val="single" w:sz="8" w:color="0000FF"/>
              <w:bottom w:val="single" w:sz="8" w:color="0000FF"/>
            </w:tcBorders>
            <w:gridSpan w:val="3"/>
          </w:tcPr>
          <w:p>
            <w:pPr>
              <w:spacing w:after="0" w:line="118" w:lineRule="exact"/>
              <w:rPr>
                <w:sz w:val="20"/>
                <w:szCs w:val="20"/>
                <w:color w:val="auto"/>
              </w:rPr>
            </w:pPr>
            <w:r>
              <w:rPr>
                <w:rFonts w:ascii="Times New Roman" w:cs="Times New Roman" w:eastAsia="Times New Roman" w:hAnsi="Times New Roman"/>
                <w:sz w:val="13"/>
                <w:szCs w:val="13"/>
                <w:color w:val="0000FF"/>
              </w:rPr>
              <w:t>the fiscal year ended December 31, 2025.</w:t>
            </w:r>
          </w:p>
        </w:tc>
        <w:tc>
          <w:tcPr>
            <w:tcW w:w="738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31.2*</w:t>
            </w:r>
          </w:p>
        </w:tc>
        <w:tc>
          <w:tcPr>
            <w:tcW w:w="99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Certification of the Principal Financial Officer pursuant to Section 302 of the Sarbanes-Oxley Act of 2002, with respect to the registrant’s Annual Report on Form 10-K for the</w:t>
            </w:r>
          </w:p>
        </w:tc>
      </w:tr>
      <w:tr>
        <w:trPr>
          <w:trHeight w:val="118"/>
        </w:trPr>
        <w:tc>
          <w:tcPr>
            <w:tcW w:w="1020" w:type="dxa"/>
            <w:vAlign w:val="bottom"/>
          </w:tcPr>
          <w:p>
            <w:pPr>
              <w:spacing w:after="0"/>
              <w:rPr>
                <w:sz w:val="10"/>
                <w:szCs w:val="10"/>
                <w:color w:val="auto"/>
              </w:rPr>
            </w:pPr>
          </w:p>
        </w:tc>
        <w:tc>
          <w:tcPr>
            <w:tcW w:w="9920" w:type="dxa"/>
            <w:vAlign w:val="bottom"/>
            <w:tcBorders>
              <w:top w:val="single" w:sz="8" w:color="0000FF"/>
            </w:tcBorders>
            <w:gridSpan w:val="19"/>
          </w:tcPr>
          <w:p>
            <w:pPr>
              <w:spacing w:after="0" w:line="118" w:lineRule="exact"/>
              <w:rPr>
                <w:sz w:val="20"/>
                <w:szCs w:val="20"/>
                <w:color w:val="auto"/>
              </w:rPr>
            </w:pPr>
            <w:r>
              <w:rPr>
                <w:rFonts w:ascii="Times New Roman" w:cs="Times New Roman" w:eastAsia="Times New Roman" w:hAnsi="Times New Roman"/>
                <w:sz w:val="13"/>
                <w:szCs w:val="13"/>
                <w:color w:val="0000FF"/>
              </w:rPr>
              <w:t>fiscal year ended December 31, 2025.</w:t>
            </w: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6240" w:type="dxa"/>
            <w:vAlign w:val="bottom"/>
            <w:gridSpan w:val="9"/>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10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w w:val="98"/>
              </w:rPr>
              <w:t>32.1**</w:t>
            </w:r>
          </w:p>
        </w:tc>
        <w:tc>
          <w:tcPr>
            <w:tcW w:w="99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Certification of the Principal Executive Officer Pursuant to Section 906 of the Sarbanes-Oxley Act of 2002, with respect to the registrant’s Annual Report on Form 10-K for</w:t>
            </w:r>
          </w:p>
        </w:tc>
      </w:tr>
      <w:tr>
        <w:trPr>
          <w:trHeight w:val="118"/>
        </w:trPr>
        <w:tc>
          <w:tcPr>
            <w:tcW w:w="1020" w:type="dxa"/>
            <w:vAlign w:val="bottom"/>
          </w:tcPr>
          <w:p>
            <w:pPr>
              <w:spacing w:after="0"/>
              <w:rPr>
                <w:sz w:val="10"/>
                <w:szCs w:val="10"/>
                <w:color w:val="auto"/>
              </w:rPr>
            </w:pPr>
          </w:p>
        </w:tc>
        <w:tc>
          <w:tcPr>
            <w:tcW w:w="2360" w:type="dxa"/>
            <w:vAlign w:val="bottom"/>
            <w:tcBorders>
              <w:top w:val="single" w:sz="8" w:color="0000FF"/>
              <w:bottom w:val="single" w:sz="8" w:color="0000FF"/>
            </w:tcBorders>
            <w:gridSpan w:val="3"/>
          </w:tcPr>
          <w:p>
            <w:pPr>
              <w:spacing w:after="0" w:line="118" w:lineRule="exact"/>
              <w:rPr>
                <w:sz w:val="20"/>
                <w:szCs w:val="20"/>
                <w:color w:val="auto"/>
              </w:rPr>
            </w:pPr>
            <w:r>
              <w:rPr>
                <w:rFonts w:ascii="Times New Roman" w:cs="Times New Roman" w:eastAsia="Times New Roman" w:hAnsi="Times New Roman"/>
                <w:sz w:val="13"/>
                <w:szCs w:val="13"/>
                <w:color w:val="0000FF"/>
              </w:rPr>
              <w:t>the fiscal year ended December 31, 2025.</w:t>
            </w:r>
          </w:p>
        </w:tc>
        <w:tc>
          <w:tcPr>
            <w:tcW w:w="7400" w:type="dxa"/>
            <w:vAlign w:val="bottom"/>
            <w:tcBorders>
              <w:top w:val="single" w:sz="8" w:color="0000FF"/>
            </w:tcBorders>
            <w:gridSpan w:val="12"/>
          </w:tcPr>
          <w:p>
            <w:pPr>
              <w:spacing w:after="0"/>
              <w:rPr>
                <w:sz w:val="10"/>
                <w:szCs w:val="10"/>
                <w:color w:val="auto"/>
              </w:rPr>
            </w:pPr>
          </w:p>
        </w:tc>
        <w:tc>
          <w:tcPr>
            <w:tcW w:w="20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10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w w:val="98"/>
              </w:rPr>
              <w:t>32.2**</w:t>
            </w:r>
          </w:p>
        </w:tc>
        <w:tc>
          <w:tcPr>
            <w:tcW w:w="99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Certification of the Principal Financial Officer Pursuant to Section 906 of the Sarbanes-Oxley Act of 2002, with respect to the registrant’s Annual Report on Form 10-K for the</w:t>
            </w:r>
          </w:p>
        </w:tc>
      </w:tr>
      <w:tr>
        <w:trPr>
          <w:trHeight w:val="118"/>
        </w:trPr>
        <w:tc>
          <w:tcPr>
            <w:tcW w:w="1020" w:type="dxa"/>
            <w:vAlign w:val="bottom"/>
          </w:tcPr>
          <w:p>
            <w:pPr>
              <w:spacing w:after="0"/>
              <w:rPr>
                <w:sz w:val="10"/>
                <w:szCs w:val="10"/>
                <w:color w:val="auto"/>
              </w:rPr>
            </w:pPr>
          </w:p>
        </w:tc>
        <w:tc>
          <w:tcPr>
            <w:tcW w:w="9960" w:type="dxa"/>
            <w:vAlign w:val="bottom"/>
            <w:tcBorders>
              <w:top w:val="single" w:sz="8" w:color="0000FF"/>
            </w:tcBorders>
            <w:gridSpan w:val="21"/>
          </w:tcPr>
          <w:p>
            <w:pPr>
              <w:spacing w:after="0" w:line="118" w:lineRule="exact"/>
              <w:rPr>
                <w:sz w:val="20"/>
                <w:szCs w:val="20"/>
                <w:color w:val="auto"/>
              </w:rPr>
            </w:pPr>
            <w:r>
              <w:rPr>
                <w:rFonts w:ascii="Times New Roman" w:cs="Times New Roman" w:eastAsia="Times New Roman" w:hAnsi="Times New Roman"/>
                <w:sz w:val="13"/>
                <w:szCs w:val="13"/>
                <w:color w:val="0000FF"/>
              </w:rPr>
              <w:t>fiscal year ended December 31, 2025.</w:t>
            </w:r>
          </w:p>
        </w:tc>
        <w:tc>
          <w:tcPr>
            <w:tcW w:w="20" w:type="dxa"/>
            <w:vAlign w:val="bottom"/>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6460" w:type="dxa"/>
            <w:vAlign w:val="bottom"/>
            <w:gridSpan w:val="16"/>
          </w:tcPr>
          <w:p>
            <w:pPr>
              <w:spacing w:after="0" w:line="20" w:lineRule="exact"/>
              <w:rPr>
                <w:sz w:val="1"/>
                <w:szCs w:val="1"/>
                <w:color w:val="auto"/>
              </w:rPr>
            </w:pPr>
          </w:p>
        </w:tc>
      </w:tr>
      <w:tr>
        <w:trPr>
          <w:trHeight w:val="171"/>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97.1*</w:t>
            </w:r>
          </w:p>
        </w:tc>
        <w:tc>
          <w:tcPr>
            <w:tcW w:w="99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GXO Logistics, Inc. Amended and Restated Clawback Policy.</w:t>
            </w:r>
          </w:p>
        </w:tc>
      </w:tr>
      <w:tr>
        <w:trPr>
          <w:trHeight w:val="188"/>
        </w:trPr>
        <w:tc>
          <w:tcPr>
            <w:tcW w:w="10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w w:val="99"/>
              </w:rPr>
              <w:t>101.INS*</w:t>
            </w:r>
          </w:p>
        </w:tc>
        <w:tc>
          <w:tcPr>
            <w:tcW w:w="35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6460" w:type="dxa"/>
            <w:vAlign w:val="bottom"/>
            <w:gridSpan w:val="16"/>
          </w:tcPr>
          <w:p>
            <w:pPr>
              <w:spacing w:after="0"/>
              <w:rPr>
                <w:sz w:val="16"/>
                <w:szCs w:val="16"/>
                <w:color w:val="auto"/>
              </w:rPr>
            </w:pPr>
          </w:p>
        </w:tc>
      </w:tr>
      <w:tr>
        <w:trPr>
          <w:trHeight w:val="18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101.SCH*</w:t>
            </w:r>
          </w:p>
        </w:tc>
        <w:tc>
          <w:tcPr>
            <w:tcW w:w="998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Inline XBRL Taxonomy Extension Schema.</w:t>
            </w:r>
          </w:p>
        </w:tc>
      </w:tr>
      <w:tr>
        <w:trPr>
          <w:trHeight w:val="18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101.CAL*</w:t>
            </w:r>
          </w:p>
        </w:tc>
        <w:tc>
          <w:tcPr>
            <w:tcW w:w="998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w:t>
            </w:r>
          </w:p>
        </w:tc>
      </w:tr>
      <w:tr>
        <w:trPr>
          <w:trHeight w:val="180"/>
        </w:trPr>
        <w:tc>
          <w:tcPr>
            <w:tcW w:w="10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rPr>
              <w:t>101.DEF*</w:t>
            </w:r>
          </w:p>
        </w:tc>
        <w:tc>
          <w:tcPr>
            <w:tcW w:w="998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w:t>
            </w:r>
          </w:p>
        </w:tc>
      </w:tr>
      <w:tr>
        <w:trPr>
          <w:trHeight w:val="18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101.LAB*</w:t>
            </w:r>
          </w:p>
        </w:tc>
        <w:tc>
          <w:tcPr>
            <w:tcW w:w="998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w:t>
            </w:r>
          </w:p>
        </w:tc>
      </w:tr>
      <w:tr>
        <w:trPr>
          <w:trHeight w:val="180"/>
        </w:trPr>
        <w:tc>
          <w:tcPr>
            <w:tcW w:w="10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rPr>
              <w:t>101.PRE*</w:t>
            </w:r>
          </w:p>
        </w:tc>
        <w:tc>
          <w:tcPr>
            <w:tcW w:w="998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w:t>
            </w:r>
          </w:p>
        </w:tc>
      </w:tr>
      <w:tr>
        <w:trPr>
          <w:trHeight w:val="184"/>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w w:val="99"/>
              </w:rPr>
              <w:t>104*</w:t>
            </w:r>
          </w:p>
        </w:tc>
        <w:tc>
          <w:tcPr>
            <w:tcW w:w="998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209" w:lineRule="exact"/>
        <w:rPr>
          <w:sz w:val="20"/>
          <w:szCs w:val="20"/>
          <w:color w:val="auto"/>
        </w:rPr>
      </w:pPr>
    </w:p>
    <w:p>
      <w:pPr>
        <w:ind w:left="1340" w:hanging="760"/>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3" w:lineRule="exact"/>
        <w:rPr>
          <w:sz w:val="20"/>
          <w:szCs w:val="20"/>
          <w:color w:val="auto"/>
        </w:rPr>
      </w:pPr>
    </w:p>
    <w:p>
      <w:pPr>
        <w:ind w:left="1340" w:hanging="796"/>
        <w:spacing w:after="0"/>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19" w:lineRule="exact"/>
        <w:rPr>
          <w:sz w:val="20"/>
          <w:szCs w:val="20"/>
          <w:color w:val="auto"/>
        </w:rPr>
      </w:pPr>
    </w:p>
    <w:p>
      <w:pPr>
        <w:ind w:left="1340" w:right="60" w:hanging="831"/>
        <w:spacing w:after="0" w:line="237"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 have been omitted pursuant to Item 601(a)(5) of Regulation S-K. The Company will furnish supplementally copies of omitted exhibits to the SEC or its staff upon its request.</w:t>
      </w:r>
    </w:p>
    <w:p>
      <w:pPr>
        <w:spacing w:after="0" w:line="7" w:lineRule="exact"/>
        <w:rPr>
          <w:sz w:val="20"/>
          <w:szCs w:val="20"/>
          <w:color w:val="auto"/>
        </w:rPr>
      </w:pPr>
    </w:p>
    <w:p>
      <w:pPr>
        <w:ind w:left="1340" w:hanging="765"/>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exhibit is a management contract or compensatory plan or arrangement.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7" w:right="339" w:bottom="1440" w:gutter="0" w:footer="0" w:header="0"/>
        </w:sectPr>
      </w:pPr>
    </w:p>
    <w:bookmarkStart w:id="83" w:name="page84"/>
    <w:bookmarkEnd w:id="83"/>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GXO Logistics, Inc.</w:t>
      </w:r>
    </w:p>
    <w:p>
      <w:pPr>
        <w:spacing w:after="0" w:line="234" w:lineRule="exact"/>
        <w:rPr>
          <w:sz w:val="20"/>
          <w:szCs w:val="20"/>
          <w:color w:val="auto"/>
        </w:rPr>
      </w:pPr>
    </w:p>
    <w:p>
      <w:pPr>
        <w:ind w:left="20"/>
        <w:spacing w:after="0"/>
        <w:tabs>
          <w:tab w:leader="none" w:pos="3860" w:val="left"/>
          <w:tab w:leader="none" w:pos="4620" w:val="left"/>
        </w:tabs>
        <w:rPr>
          <w:sz w:val="20"/>
          <w:szCs w:val="20"/>
          <w:color w:val="auto"/>
        </w:rPr>
      </w:pPr>
      <w:r>
        <w:rPr>
          <w:rFonts w:ascii="Times New Roman" w:cs="Times New Roman" w:eastAsia="Times New Roman" w:hAnsi="Times New Roman"/>
          <w:sz w:val="14"/>
          <w:szCs w:val="14"/>
          <w:color w:val="auto"/>
        </w:rPr>
        <w:t>Date: February 25,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Patrick Kelleher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14605</wp:posOffset>
            </wp:positionV>
            <wp:extent cx="422402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6">
                      <a:extLst>
                        <a:ext uri="{28A0092B-C50C-407E-A947-70E740481C1C}"/>
                      </a:extLst>
                    </a:blip>
                    <a:srcRect/>
                    <a:stretch>
                      <a:fillRect/>
                    </a:stretch>
                  </pic:blipFill>
                  <pic:spPr bwMode="auto">
                    <a:xfrm>
                      <a:off x="0" y="0"/>
                      <a:ext cx="4224020" cy="6985"/>
                    </a:xfrm>
                    <a:prstGeom prst="rect">
                      <a:avLst/>
                    </a:prstGeom>
                    <a:noFill/>
                  </pic:spPr>
                </pic:pic>
              </a:graphicData>
            </a:graphic>
          </wp:anchor>
        </w:drawing>
      </w:r>
    </w:p>
    <w:p>
      <w:pPr>
        <w:spacing w:after="0" w:line="1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Patrick Kelleher</w:t>
      </w:r>
    </w:p>
    <w:p>
      <w:pPr>
        <w:spacing w:after="0" w:line="2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28" w:lineRule="exact"/>
        <w:rPr>
          <w:sz w:val="20"/>
          <w:szCs w:val="20"/>
          <w:color w:val="auto"/>
        </w:rPr>
      </w:pPr>
    </w:p>
    <w:p>
      <w:pPr>
        <w:ind w:left="20"/>
        <w:spacing w:after="0"/>
        <w:tabs>
          <w:tab w:leader="none" w:pos="3860" w:val="left"/>
          <w:tab w:leader="none" w:pos="4620" w:val="left"/>
        </w:tabs>
        <w:rPr>
          <w:sz w:val="20"/>
          <w:szCs w:val="20"/>
          <w:color w:val="auto"/>
        </w:rPr>
      </w:pPr>
      <w:r>
        <w:rPr>
          <w:rFonts w:ascii="Times New Roman" w:cs="Times New Roman" w:eastAsia="Times New Roman" w:hAnsi="Times New Roman"/>
          <w:sz w:val="14"/>
          <w:szCs w:val="14"/>
          <w:color w:val="auto"/>
        </w:rPr>
        <w:t>Date: February 25,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14605</wp:posOffset>
            </wp:positionV>
            <wp:extent cx="422402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7">
                      <a:extLst>
                        <a:ext uri="{28A0092B-C50C-407E-A947-70E740481C1C}"/>
                      </a:extLst>
                    </a:blip>
                    <a:srcRect/>
                    <a:stretch>
                      <a:fillRect/>
                    </a:stretch>
                  </pic:blipFill>
                  <pic:spPr bwMode="auto">
                    <a:xfrm>
                      <a:off x="0" y="0"/>
                      <a:ext cx="4224020" cy="6985"/>
                    </a:xfrm>
                    <a:prstGeom prst="rect">
                      <a:avLst/>
                    </a:prstGeom>
                    <a:noFill/>
                  </pic:spPr>
                </pic:pic>
              </a:graphicData>
            </a:graphic>
          </wp:anchor>
        </w:drawing>
      </w:r>
    </w:p>
    <w:p>
      <w:pPr>
        <w:spacing w:after="0" w:line="1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Baris Oran</w:t>
      </w:r>
    </w:p>
    <w:p>
      <w:pPr>
        <w:spacing w:after="0" w:line="2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300" w:top="1141" w:right="6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on the dates indicated.</w:t>
      </w:r>
    </w:p>
    <w:p>
      <w:pPr>
        <w:sectPr>
          <w:pgSz w:w="11900" w:h="16838" w:orient="portrait"/>
          <w:cols w:equalWidth="0" w:num="1">
            <w:col w:w="11260"/>
          </w:cols>
          <w:pgMar w:left="300" w:top="1143" w:right="339" w:bottom="1440" w:gutter="0" w:footer="0" w:header="0"/>
        </w:sect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2340" w:type="dxa"/>
            <w:vAlign w:val="bottom"/>
            <w:gridSpan w:val="2"/>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380" w:type="dxa"/>
            <w:vAlign w:val="bottom"/>
          </w:tcPr>
          <w:p>
            <w:pPr>
              <w:spacing w:after="0"/>
              <w:rPr>
                <w:sz w:val="13"/>
                <w:szCs w:val="13"/>
                <w:color w:val="auto"/>
              </w:rPr>
            </w:pPr>
          </w:p>
        </w:tc>
        <w:tc>
          <w:tcPr>
            <w:tcW w:w="210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12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04"/>
        </w:trPr>
        <w:tc>
          <w:tcPr>
            <w:tcW w:w="4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/s/ Patrick Kelleher</w:t>
            </w:r>
          </w:p>
        </w:tc>
        <w:tc>
          <w:tcPr>
            <w:tcW w:w="4480" w:type="dxa"/>
            <w:vAlign w:val="bottom"/>
            <w:gridSpan w:val="3"/>
          </w:tcPr>
          <w:p>
            <w:pPr>
              <w:jc w:val="center"/>
              <w:ind w:left="489"/>
              <w:spacing w:after="0"/>
              <w:rPr>
                <w:sz w:val="20"/>
                <w:szCs w:val="20"/>
                <w:color w:val="auto"/>
              </w:rPr>
            </w:pPr>
            <w:r>
              <w:rPr>
                <w:rFonts w:ascii="Times New Roman" w:cs="Times New Roman" w:eastAsia="Times New Roman" w:hAnsi="Times New Roman"/>
                <w:sz w:val="14"/>
                <w:szCs w:val="14"/>
                <w:color w:val="auto"/>
              </w:rPr>
              <w:t>Chief Executive Officer</w:t>
            </w:r>
          </w:p>
        </w:tc>
        <w:tc>
          <w:tcPr>
            <w:tcW w:w="212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rPr>
              <w:t>February 25, 2026</w:t>
            </w:r>
          </w:p>
        </w:tc>
      </w:tr>
      <w:tr>
        <w:trPr>
          <w:trHeight w:val="175"/>
        </w:trPr>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Patrick Kelleher</w:t>
            </w:r>
          </w:p>
        </w:tc>
        <w:tc>
          <w:tcPr>
            <w:tcW w:w="4480" w:type="dxa"/>
            <w:vAlign w:val="bottom"/>
            <w:gridSpan w:val="3"/>
          </w:tcPr>
          <w:p>
            <w:pPr>
              <w:jc w:val="center"/>
              <w:ind w:left="489"/>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8"/>
        </w:trPr>
        <w:tc>
          <w:tcPr>
            <w:tcW w:w="4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/s/ Baris Oran</w:t>
            </w:r>
          </w:p>
        </w:tc>
        <w:tc>
          <w:tcPr>
            <w:tcW w:w="4480" w:type="dxa"/>
            <w:vAlign w:val="bottom"/>
            <w:gridSpan w:val="3"/>
          </w:tcPr>
          <w:p>
            <w:pPr>
              <w:jc w:val="center"/>
              <w:ind w:left="489"/>
              <w:spacing w:after="0"/>
              <w:rPr>
                <w:sz w:val="20"/>
                <w:szCs w:val="20"/>
                <w:color w:val="auto"/>
              </w:rPr>
            </w:pPr>
            <w:r>
              <w:rPr>
                <w:rFonts w:ascii="Times New Roman" w:cs="Times New Roman" w:eastAsia="Times New Roman" w:hAnsi="Times New Roman"/>
                <w:sz w:val="14"/>
                <w:szCs w:val="14"/>
                <w:color w:val="auto"/>
              </w:rPr>
              <w:t>Chief Financial Officer</w:t>
            </w:r>
          </w:p>
        </w:tc>
        <w:tc>
          <w:tcPr>
            <w:tcW w:w="212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rPr>
              <w:t>February 25, 2026</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Baris Oran</w:t>
            </w:r>
          </w:p>
        </w:tc>
        <w:tc>
          <w:tcPr>
            <w:tcW w:w="4480" w:type="dxa"/>
            <w:vAlign w:val="bottom"/>
            <w:gridSpan w:val="3"/>
          </w:tcPr>
          <w:p>
            <w:pPr>
              <w:jc w:val="center"/>
              <w:ind w:left="489"/>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8"/>
        </w:trPr>
        <w:tc>
          <w:tcPr>
            <w:tcW w:w="4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Paul Blanchett</w:t>
            </w:r>
          </w:p>
        </w:tc>
        <w:tc>
          <w:tcPr>
            <w:tcW w:w="4480" w:type="dxa"/>
            <w:vAlign w:val="bottom"/>
            <w:gridSpan w:val="3"/>
          </w:tcPr>
          <w:p>
            <w:pPr>
              <w:jc w:val="center"/>
              <w:ind w:left="489"/>
              <w:spacing w:after="0"/>
              <w:rPr>
                <w:sz w:val="20"/>
                <w:szCs w:val="20"/>
                <w:color w:val="auto"/>
              </w:rPr>
            </w:pPr>
            <w:r>
              <w:rPr>
                <w:rFonts w:ascii="Times New Roman" w:cs="Times New Roman" w:eastAsia="Times New Roman" w:hAnsi="Times New Roman"/>
                <w:sz w:val="14"/>
                <w:szCs w:val="14"/>
                <w:color w:val="auto"/>
              </w:rPr>
              <w:t>Chief Accounting Officer</w:t>
            </w:r>
          </w:p>
        </w:tc>
        <w:tc>
          <w:tcPr>
            <w:tcW w:w="212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rPr>
              <w:t>February 25, 2026</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9"/>
              </w:rPr>
              <w:t>Paul Blanchett</w:t>
            </w:r>
          </w:p>
        </w:tc>
        <w:tc>
          <w:tcPr>
            <w:tcW w:w="4480" w:type="dxa"/>
            <w:vAlign w:val="bottom"/>
            <w:gridSpan w:val="3"/>
          </w:tcPr>
          <w:p>
            <w:pPr>
              <w:jc w:val="center"/>
              <w:ind w:left="469"/>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8"/>
        </w:trPr>
        <w:tc>
          <w:tcPr>
            <w:tcW w:w="4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9"/>
              </w:rPr>
              <w:t>/s/ Patrick Byrne</w:t>
            </w:r>
          </w:p>
        </w:tc>
        <w:tc>
          <w:tcPr>
            <w:tcW w:w="4480" w:type="dxa"/>
            <w:vAlign w:val="bottom"/>
            <w:gridSpan w:val="3"/>
          </w:tcPr>
          <w:p>
            <w:pPr>
              <w:jc w:val="center"/>
              <w:ind w:left="489"/>
              <w:spacing w:after="0"/>
              <w:rPr>
                <w:sz w:val="20"/>
                <w:szCs w:val="20"/>
                <w:color w:val="auto"/>
              </w:rPr>
            </w:pPr>
            <w:r>
              <w:rPr>
                <w:rFonts w:ascii="Times New Roman" w:cs="Times New Roman" w:eastAsia="Times New Roman" w:hAnsi="Times New Roman"/>
                <w:sz w:val="14"/>
                <w:szCs w:val="14"/>
                <w:color w:val="auto"/>
              </w:rPr>
              <w:t>Director</w:t>
            </w:r>
          </w:p>
        </w:tc>
        <w:tc>
          <w:tcPr>
            <w:tcW w:w="212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rPr>
              <w:t>February 25, 2026</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Patrick Byrne</w:t>
            </w:r>
          </w:p>
        </w:tc>
        <w:tc>
          <w:tcPr>
            <w:tcW w:w="4480" w:type="dxa"/>
            <w:vAlign w:val="bottom"/>
            <w:gridSpan w:val="3"/>
          </w:tcPr>
          <w:p>
            <w:pPr>
              <w:jc w:val="center"/>
              <w:ind w:left="489"/>
              <w:spacing w:after="0"/>
              <w:rPr>
                <w:sz w:val="20"/>
                <w:szCs w:val="20"/>
                <w:color w:val="auto"/>
              </w:rPr>
            </w:pPr>
            <w:r>
              <w:rPr>
                <w:rFonts w:ascii="Times New Roman" w:cs="Times New Roman" w:eastAsia="Times New Roman" w:hAnsi="Times New Roman"/>
                <w:sz w:val="14"/>
                <w:szCs w:val="14"/>
                <w:color w:val="auto"/>
                <w:w w:val="99"/>
              </w:rPr>
              <w:t>(Chairman)</w:t>
            </w: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8"/>
        </w:trPr>
        <w:tc>
          <w:tcPr>
            <w:tcW w:w="4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Marlene Colucci</w:t>
            </w:r>
          </w:p>
        </w:tc>
        <w:tc>
          <w:tcPr>
            <w:tcW w:w="4480" w:type="dxa"/>
            <w:vAlign w:val="bottom"/>
            <w:gridSpan w:val="3"/>
          </w:tcPr>
          <w:p>
            <w:pPr>
              <w:jc w:val="center"/>
              <w:ind w:left="489"/>
              <w:spacing w:after="0"/>
              <w:rPr>
                <w:sz w:val="20"/>
                <w:szCs w:val="20"/>
                <w:color w:val="auto"/>
              </w:rPr>
            </w:pPr>
            <w:r>
              <w:rPr>
                <w:rFonts w:ascii="Times New Roman" w:cs="Times New Roman" w:eastAsia="Times New Roman" w:hAnsi="Times New Roman"/>
                <w:sz w:val="14"/>
                <w:szCs w:val="14"/>
                <w:color w:val="auto"/>
              </w:rPr>
              <w:t>Director</w:t>
            </w:r>
          </w:p>
        </w:tc>
        <w:tc>
          <w:tcPr>
            <w:tcW w:w="212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rPr>
              <w:t>February 25, 2026</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Marlene Colucci</w:t>
            </w:r>
          </w:p>
        </w:tc>
        <w:tc>
          <w:tcPr>
            <w:tcW w:w="4480" w:type="dxa"/>
            <w:vAlign w:val="bottom"/>
            <w:gridSpan w:val="3"/>
          </w:tcPr>
          <w:p>
            <w:pPr>
              <w:jc w:val="center"/>
              <w:ind w:left="469"/>
              <w:spacing w:after="0"/>
              <w:rPr>
                <w:sz w:val="20"/>
                <w:szCs w:val="20"/>
                <w:color w:val="auto"/>
              </w:rPr>
            </w:pPr>
            <w:r>
              <w:rPr>
                <w:rFonts w:ascii="Times New Roman" w:cs="Times New Roman" w:eastAsia="Times New Roman" w:hAnsi="Times New Roman"/>
                <w:sz w:val="14"/>
                <w:szCs w:val="14"/>
                <w:color w:val="auto"/>
              </w:rPr>
              <w:t>(Lead Independent Director)</w:t>
            </w: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9"/>
        </w:trPr>
        <w:tc>
          <w:tcPr>
            <w:tcW w:w="4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8"/>
              </w:rPr>
              <w:t>/s/ Todd Cooper</w:t>
            </w:r>
          </w:p>
        </w:tc>
        <w:tc>
          <w:tcPr>
            <w:tcW w:w="4480" w:type="dxa"/>
            <w:vAlign w:val="bottom"/>
            <w:gridSpan w:val="3"/>
          </w:tcPr>
          <w:p>
            <w:pPr>
              <w:jc w:val="center"/>
              <w:ind w:left="489"/>
              <w:spacing w:after="0"/>
              <w:rPr>
                <w:sz w:val="20"/>
                <w:szCs w:val="20"/>
                <w:color w:val="auto"/>
              </w:rPr>
            </w:pPr>
            <w:r>
              <w:rPr>
                <w:rFonts w:ascii="Times New Roman" w:cs="Times New Roman" w:eastAsia="Times New Roman" w:hAnsi="Times New Roman"/>
                <w:sz w:val="14"/>
                <w:szCs w:val="14"/>
                <w:color w:val="auto"/>
              </w:rPr>
              <w:t>Director</w:t>
            </w:r>
          </w:p>
        </w:tc>
        <w:tc>
          <w:tcPr>
            <w:tcW w:w="212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rPr>
              <w:t>February 25, 2026</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9"/>
              </w:rPr>
              <w:t>Todd Cooper</w:t>
            </w:r>
          </w:p>
        </w:tc>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9"/>
        </w:trPr>
        <w:tc>
          <w:tcPr>
            <w:tcW w:w="4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9"/>
              </w:rPr>
              <w:t>/s/ Matt Fassler</w:t>
            </w:r>
          </w:p>
        </w:tc>
        <w:tc>
          <w:tcPr>
            <w:tcW w:w="4480" w:type="dxa"/>
            <w:vAlign w:val="bottom"/>
            <w:gridSpan w:val="3"/>
          </w:tcPr>
          <w:p>
            <w:pPr>
              <w:jc w:val="center"/>
              <w:ind w:left="489"/>
              <w:spacing w:after="0"/>
              <w:rPr>
                <w:sz w:val="20"/>
                <w:szCs w:val="20"/>
                <w:color w:val="auto"/>
              </w:rPr>
            </w:pPr>
            <w:r>
              <w:rPr>
                <w:rFonts w:ascii="Times New Roman" w:cs="Times New Roman" w:eastAsia="Times New Roman" w:hAnsi="Times New Roman"/>
                <w:sz w:val="14"/>
                <w:szCs w:val="14"/>
                <w:color w:val="auto"/>
              </w:rPr>
              <w:t>Director</w:t>
            </w:r>
          </w:p>
        </w:tc>
        <w:tc>
          <w:tcPr>
            <w:tcW w:w="212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rPr>
              <w:t>February 25, 2026</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Matt Fassler</w:t>
            </w:r>
          </w:p>
        </w:tc>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9"/>
        </w:trPr>
        <w:tc>
          <w:tcPr>
            <w:tcW w:w="4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/s/ Michael Kneeland</w:t>
            </w:r>
          </w:p>
        </w:tc>
        <w:tc>
          <w:tcPr>
            <w:tcW w:w="4480" w:type="dxa"/>
            <w:vAlign w:val="bottom"/>
            <w:gridSpan w:val="3"/>
          </w:tcPr>
          <w:p>
            <w:pPr>
              <w:jc w:val="center"/>
              <w:ind w:left="489"/>
              <w:spacing w:after="0"/>
              <w:rPr>
                <w:sz w:val="20"/>
                <w:szCs w:val="20"/>
                <w:color w:val="auto"/>
              </w:rPr>
            </w:pPr>
            <w:r>
              <w:rPr>
                <w:rFonts w:ascii="Times New Roman" w:cs="Times New Roman" w:eastAsia="Times New Roman" w:hAnsi="Times New Roman"/>
                <w:sz w:val="14"/>
                <w:szCs w:val="14"/>
                <w:color w:val="auto"/>
              </w:rPr>
              <w:t>Director</w:t>
            </w:r>
          </w:p>
        </w:tc>
        <w:tc>
          <w:tcPr>
            <w:tcW w:w="212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rPr>
              <w:t>February 25, 2026</w:t>
            </w:r>
          </w:p>
        </w:tc>
      </w:tr>
      <w:tr>
        <w:trPr>
          <w:trHeight w:val="175"/>
        </w:trPr>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Michael Kneeland</w:t>
            </w:r>
          </w:p>
        </w:tc>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9"/>
        </w:trPr>
        <w:tc>
          <w:tcPr>
            <w:tcW w:w="4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Julio Nemeth</w:t>
            </w:r>
          </w:p>
        </w:tc>
        <w:tc>
          <w:tcPr>
            <w:tcW w:w="4480" w:type="dxa"/>
            <w:vAlign w:val="bottom"/>
            <w:gridSpan w:val="3"/>
          </w:tcPr>
          <w:p>
            <w:pPr>
              <w:jc w:val="center"/>
              <w:ind w:left="489"/>
              <w:spacing w:after="0"/>
              <w:rPr>
                <w:sz w:val="20"/>
                <w:szCs w:val="20"/>
                <w:color w:val="auto"/>
              </w:rPr>
            </w:pPr>
            <w:r>
              <w:rPr>
                <w:rFonts w:ascii="Times New Roman" w:cs="Times New Roman" w:eastAsia="Times New Roman" w:hAnsi="Times New Roman"/>
                <w:sz w:val="14"/>
                <w:szCs w:val="14"/>
                <w:color w:val="auto"/>
              </w:rPr>
              <w:t>Director</w:t>
            </w:r>
          </w:p>
        </w:tc>
        <w:tc>
          <w:tcPr>
            <w:tcW w:w="212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rPr>
              <w:t>February 25, 2026</w:t>
            </w:r>
          </w:p>
        </w:tc>
      </w:tr>
      <w:tr>
        <w:trPr>
          <w:trHeight w:val="175"/>
        </w:trPr>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Julio Nemeth</w:t>
            </w:r>
          </w:p>
        </w:tc>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9"/>
        </w:trPr>
        <w:tc>
          <w:tcPr>
            <w:tcW w:w="4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9"/>
              </w:rPr>
              <w:t>/s/ Torsten Pilz</w:t>
            </w:r>
          </w:p>
        </w:tc>
        <w:tc>
          <w:tcPr>
            <w:tcW w:w="4480" w:type="dxa"/>
            <w:vAlign w:val="bottom"/>
            <w:gridSpan w:val="3"/>
          </w:tcPr>
          <w:p>
            <w:pPr>
              <w:jc w:val="center"/>
              <w:ind w:left="489"/>
              <w:spacing w:after="0"/>
              <w:rPr>
                <w:sz w:val="20"/>
                <w:szCs w:val="20"/>
                <w:color w:val="auto"/>
              </w:rPr>
            </w:pPr>
            <w:r>
              <w:rPr>
                <w:rFonts w:ascii="Times New Roman" w:cs="Times New Roman" w:eastAsia="Times New Roman" w:hAnsi="Times New Roman"/>
                <w:sz w:val="14"/>
                <w:szCs w:val="14"/>
                <w:color w:val="auto"/>
              </w:rPr>
              <w:t>Director</w:t>
            </w:r>
          </w:p>
        </w:tc>
        <w:tc>
          <w:tcPr>
            <w:tcW w:w="212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rPr>
              <w:t>February 25, 2026</w:t>
            </w:r>
          </w:p>
        </w:tc>
      </w:tr>
      <w:tr>
        <w:trPr>
          <w:trHeight w:val="175"/>
        </w:trPr>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Torsten Pilz</w:t>
            </w:r>
          </w:p>
        </w:tc>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9"/>
        </w:trPr>
        <w:tc>
          <w:tcPr>
            <w:tcW w:w="4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Laura Wilkin</w:t>
            </w:r>
          </w:p>
        </w:tc>
        <w:tc>
          <w:tcPr>
            <w:tcW w:w="4480" w:type="dxa"/>
            <w:vAlign w:val="bottom"/>
            <w:gridSpan w:val="3"/>
          </w:tcPr>
          <w:p>
            <w:pPr>
              <w:jc w:val="center"/>
              <w:ind w:left="489"/>
              <w:spacing w:after="0"/>
              <w:rPr>
                <w:sz w:val="20"/>
                <w:szCs w:val="20"/>
                <w:color w:val="auto"/>
              </w:rPr>
            </w:pPr>
            <w:r>
              <w:rPr>
                <w:rFonts w:ascii="Times New Roman" w:cs="Times New Roman" w:eastAsia="Times New Roman" w:hAnsi="Times New Roman"/>
                <w:sz w:val="14"/>
                <w:szCs w:val="14"/>
                <w:color w:val="auto"/>
              </w:rPr>
              <w:t>Director</w:t>
            </w:r>
          </w:p>
        </w:tc>
        <w:tc>
          <w:tcPr>
            <w:tcW w:w="212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rPr>
              <w:t>February 25, 2026</w:t>
            </w:r>
          </w:p>
        </w:tc>
      </w:tr>
      <w:tr>
        <w:trPr>
          <w:trHeight w:val="175"/>
        </w:trPr>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Laura Wilkin</w:t>
            </w:r>
          </w:p>
        </w:tc>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9"/>
        </w:trPr>
        <w:tc>
          <w:tcPr>
            <w:tcW w:w="4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Kyle Wismans</w:t>
            </w:r>
          </w:p>
        </w:tc>
        <w:tc>
          <w:tcPr>
            <w:tcW w:w="4480" w:type="dxa"/>
            <w:vAlign w:val="bottom"/>
            <w:gridSpan w:val="3"/>
          </w:tcPr>
          <w:p>
            <w:pPr>
              <w:jc w:val="center"/>
              <w:ind w:left="489"/>
              <w:spacing w:after="0"/>
              <w:rPr>
                <w:sz w:val="20"/>
                <w:szCs w:val="20"/>
                <w:color w:val="auto"/>
              </w:rPr>
            </w:pPr>
            <w:r>
              <w:rPr>
                <w:rFonts w:ascii="Times New Roman" w:cs="Times New Roman" w:eastAsia="Times New Roman" w:hAnsi="Times New Roman"/>
                <w:sz w:val="14"/>
                <w:szCs w:val="14"/>
                <w:color w:val="auto"/>
              </w:rPr>
              <w:t>Director</w:t>
            </w:r>
          </w:p>
        </w:tc>
        <w:tc>
          <w:tcPr>
            <w:tcW w:w="212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rPr>
              <w:t>February 25, 2026</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8"/>
              </w:rPr>
              <w:t>Kyle Wismans</w:t>
            </w:r>
          </w:p>
        </w:tc>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1260"/>
          </w:cols>
          <w:pgMar w:left="300" w:top="1143" w:right="339" w:bottom="1440" w:gutter="0" w:footer="0" w:header="0"/>
          <w:type w:val="continuous"/>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8" w:name="page139"/>
    <w:bookmarkEnd w:id="138"/>
    <w:tbl>
      <w:tblPr>
        <w:tblLayout w:type="fixed"/>
        <w:tblInd w:w="16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2"/>
          </w:tcPr>
          <w:p>
            <w:pPr>
              <w:ind w:left="1980"/>
              <w:spacing w:after="0"/>
              <w:rPr>
                <w:sz w:val="20"/>
                <w:szCs w:val="20"/>
                <w:color w:val="auto"/>
              </w:rPr>
            </w:pPr>
            <w:r>
              <w:rPr>
                <w:rFonts w:ascii="Times New Roman" w:cs="Times New Roman" w:eastAsia="Times New Roman" w:hAnsi="Times New Roman"/>
                <w:sz w:val="14"/>
                <w:szCs w:val="14"/>
                <w:b w:val="1"/>
                <w:bCs w:val="1"/>
                <w:color w:val="auto"/>
                <w:w w:val="96"/>
              </w:rPr>
              <w:t>Exhibit 21.1</w:t>
            </w:r>
          </w:p>
        </w:tc>
      </w:tr>
      <w:tr>
        <w:trPr>
          <w:trHeight w:val="329"/>
        </w:trPr>
        <w:tc>
          <w:tcPr>
            <w:tcW w:w="4420" w:type="dxa"/>
            <w:vAlign w:val="bottom"/>
          </w:tcPr>
          <w:p>
            <w:pPr>
              <w:spacing w:after="0"/>
              <w:rPr>
                <w:sz w:val="24"/>
                <w:szCs w:val="24"/>
                <w:color w:val="auto"/>
              </w:rPr>
            </w:pPr>
          </w:p>
        </w:tc>
        <w:tc>
          <w:tcPr>
            <w:tcW w:w="67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Subsidiaries of GXO Logistics, Inc.</w:t>
            </w:r>
          </w:p>
        </w:tc>
      </w:tr>
      <w:tr>
        <w:trPr>
          <w:trHeight w:val="583"/>
        </w:trPr>
        <w:tc>
          <w:tcPr>
            <w:tcW w:w="4420" w:type="dxa"/>
            <w:vAlign w:val="bottom"/>
          </w:tcPr>
          <w:p>
            <w:pPr>
              <w:ind w:left="4000"/>
              <w:spacing w:after="0"/>
              <w:rPr>
                <w:sz w:val="20"/>
                <w:szCs w:val="20"/>
                <w:color w:val="auto"/>
              </w:rPr>
            </w:pPr>
            <w:r>
              <w:rPr>
                <w:rFonts w:ascii="Times New Roman" w:cs="Times New Roman" w:eastAsia="Times New Roman" w:hAnsi="Times New Roman"/>
                <w:sz w:val="13"/>
                <w:szCs w:val="13"/>
                <w:b w:val="1"/>
                <w:bCs w:val="1"/>
                <w:color w:val="auto"/>
              </w:rPr>
              <w:t>Entity</w:t>
            </w:r>
          </w:p>
        </w:tc>
        <w:tc>
          <w:tcPr>
            <w:tcW w:w="212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Location of Incorporation</w:t>
            </w:r>
          </w:p>
        </w:tc>
      </w:tr>
      <w:tr>
        <w:trPr>
          <w:trHeight w:val="158"/>
        </w:trPr>
        <w:tc>
          <w:tcPr>
            <w:tcW w:w="4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GXO Enterprise Services, LLC</w:t>
            </w:r>
          </w:p>
        </w:tc>
        <w:tc>
          <w:tcPr>
            <w:tcW w:w="212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Delaware</w:t>
            </w:r>
          </w:p>
        </w:tc>
        <w:tc>
          <w:tcPr>
            <w:tcW w:w="140" w:type="dxa"/>
            <w:vAlign w:val="bottom"/>
          </w:tcPr>
          <w:p>
            <w:pPr>
              <w:spacing w:after="0"/>
              <w:rPr>
                <w:sz w:val="13"/>
                <w:szCs w:val="13"/>
                <w:color w:val="auto"/>
              </w:rPr>
            </w:pPr>
          </w:p>
        </w:tc>
      </w:tr>
      <w:tr>
        <w:trPr>
          <w:trHeight w:val="170"/>
        </w:trPr>
        <w:tc>
          <w:tcPr>
            <w:tcW w:w="4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GXO Logistics Europe SAS</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France</w:t>
            </w:r>
          </w:p>
        </w:tc>
      </w:tr>
      <w:tr>
        <w:trPr>
          <w:trHeight w:val="170"/>
        </w:trPr>
        <w:tc>
          <w:tcPr>
            <w:tcW w:w="4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GXO Logistics Netherlands BV</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Netherlands</w:t>
            </w:r>
          </w:p>
        </w:tc>
      </w:tr>
      <w:tr>
        <w:trPr>
          <w:trHeight w:val="170"/>
        </w:trPr>
        <w:tc>
          <w:tcPr>
            <w:tcW w:w="4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GXO Logistics Netherlands III BV</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Netherlands</w:t>
            </w:r>
          </w:p>
        </w:tc>
      </w:tr>
      <w:tr>
        <w:trPr>
          <w:trHeight w:val="170"/>
        </w:trPr>
        <w:tc>
          <w:tcPr>
            <w:tcW w:w="44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GXO Logistics Spain SL</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Spain</w:t>
            </w:r>
          </w:p>
        </w:tc>
      </w:tr>
      <w:tr>
        <w:trPr>
          <w:trHeight w:val="170"/>
        </w:trPr>
        <w:tc>
          <w:tcPr>
            <w:tcW w:w="44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GXO Logistics Holdings BV</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Netherlands</w:t>
            </w:r>
          </w:p>
        </w:tc>
      </w:tr>
      <w:tr>
        <w:trPr>
          <w:trHeight w:val="170"/>
        </w:trPr>
        <w:tc>
          <w:tcPr>
            <w:tcW w:w="44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GXO Logistics Capital BV</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Netherlands</w:t>
            </w:r>
          </w:p>
        </w:tc>
      </w:tr>
      <w:tr>
        <w:trPr>
          <w:trHeight w:val="170"/>
        </w:trPr>
        <w:tc>
          <w:tcPr>
            <w:tcW w:w="44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GXO Logistics Holdings UK Unlimited</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80"/>
        </w:trPr>
        <w:tc>
          <w:tcPr>
            <w:tcW w:w="44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GXO Logistics UK II Limited</w:t>
            </w:r>
          </w:p>
        </w:tc>
        <w:tc>
          <w:tcPr>
            <w:tcW w:w="2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442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Northern Commercials (Mirfield) Limited</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44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GXO Logistics UK Limited</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Scotland</w:t>
            </w:r>
          </w:p>
        </w:tc>
      </w:tr>
      <w:tr>
        <w:trPr>
          <w:trHeight w:val="170"/>
        </w:trPr>
        <w:tc>
          <w:tcPr>
            <w:tcW w:w="4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GXO Logistics France SAS</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France</w:t>
            </w:r>
          </w:p>
        </w:tc>
      </w:tr>
      <w:tr>
        <w:trPr>
          <w:trHeight w:val="170"/>
        </w:trPr>
        <w:tc>
          <w:tcPr>
            <w:tcW w:w="4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GXO Logistics Italy SPA</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Italy</w:t>
            </w:r>
          </w:p>
        </w:tc>
      </w:tr>
      <w:tr>
        <w:trPr>
          <w:trHeight w:val="170"/>
        </w:trPr>
        <w:tc>
          <w:tcPr>
            <w:tcW w:w="4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GXO Logistics Finance, LLC</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GXO Logistics Worldwide Holding Company, LLC</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4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GXO Logistics Worldwide, LLC</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GXO Logistics Holding Company</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4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GXO Logistics Supply Chain, Inc.</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North Carolina</w:t>
            </w:r>
          </w:p>
        </w:tc>
      </w:tr>
      <w:tr>
        <w:trPr>
          <w:trHeight w:val="170"/>
        </w:trPr>
        <w:tc>
          <w:tcPr>
            <w:tcW w:w="44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GXO Warehouse Company, Inc.</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Iowa</w:t>
            </w:r>
          </w:p>
        </w:tc>
      </w:tr>
      <w:tr>
        <w:trPr>
          <w:trHeight w:val="170"/>
        </w:trPr>
        <w:tc>
          <w:tcPr>
            <w:tcW w:w="4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Wincanton Holdings Limited</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Kingdom</w:t>
            </w:r>
          </w:p>
        </w:tc>
      </w:tr>
    </w:tbl>
    <w:p>
      <w:pPr>
        <w:spacing w:after="0" w:line="29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names of certain consolidated subsidiaries that do not constitute a significant subsidiary have been omitted. Entities directly owned by subsidiaries of GXO Logistics, Inc. are indented and listed below their immediate parent. Ownership is 100% unless otherwise indicated.</w:t>
      </w:r>
    </w:p>
    <w:p>
      <w:pPr>
        <w:sectPr>
          <w:pgSz w:w="11900" w:h="16838" w:orient="portrait"/>
          <w:cols w:equalWidth="0" w:num="1">
            <w:col w:w="11280"/>
          </w:cols>
          <w:pgMar w:left="300" w:top="1141" w:right="31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4"/>
          <w:szCs w:val="14"/>
          <w:b w:val="1"/>
          <w:bCs w:val="1"/>
          <w:color w:val="auto"/>
        </w:rPr>
        <w:t>Exhibit 22.1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Subsidiary Guarantors and Issuers of Guaranteed Securities</w:t>
      </w:r>
    </w:p>
    <w:p>
      <w:pPr>
        <w:spacing w:after="0" w:line="393"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GXO Logistics Capital B.V. (“GXO Capital”) is a wholly-owned, indirect consolidated subsidiary of GXO Logistics, Inc. (“GXO”) and, as of December 31, 2025, the issuer of certain registered debt securities which are guaranteed by GXO. As of December 31, 2025, the registered debt securities were as follows: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€500 million 3.750% notes due 2030.</w:t>
      </w:r>
    </w:p>
    <w:p>
      <w:pPr>
        <w:sectPr>
          <w:pgSz w:w="11900" w:h="16838" w:orient="portrait"/>
          <w:cols w:equalWidth="0" w:num="1">
            <w:col w:w="11280"/>
          </w:cols>
          <w:pgMar w:left="300" w:top="1141" w:right="31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(No. 333-281757) on Form S-3ASR, (No. 333-264901) on Form S-4, and (No. 333-258653) on Form S-8 of our report dated February 25, 2026, with respect to the consolidated financial statements of GXO Logistics, Inc. and the effectiveness of internal control over financial reporting.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KPMG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2026</w:t>
      </w:r>
    </w:p>
    <w:p>
      <w:pPr>
        <w:sectPr>
          <w:pgSz w:w="11900" w:h="16838" w:orient="portrait"/>
          <w:cols w:equalWidth="0" w:num="1">
            <w:col w:w="11280"/>
          </w:cols>
          <w:pgMar w:left="300" w:top="1141" w:right="31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Patrick Kelleher, certify that:</w:t>
      </w:r>
    </w:p>
    <w:p>
      <w:pPr>
        <w:spacing w:after="0" w:line="116" w:lineRule="exact"/>
        <w:rPr>
          <w:sz w:val="20"/>
          <w:szCs w:val="20"/>
          <w:color w:val="auto"/>
        </w:rPr>
      </w:pPr>
    </w:p>
    <w:p>
      <w:pPr>
        <w:ind w:left="320" w:hanging="124"/>
        <w:spacing w:after="0"/>
        <w:tabs>
          <w:tab w:leader="none" w:pos="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for the year ended December 31, 2025 of GXO Logistics, Inc.;</w:t>
      </w:r>
    </w:p>
    <w:p>
      <w:pPr>
        <w:spacing w:after="0" w:line="115" w:lineRule="exact"/>
        <w:rPr>
          <w:rFonts w:ascii="Times New Roman" w:cs="Times New Roman" w:eastAsia="Times New Roman" w:hAnsi="Times New Roman"/>
          <w:sz w:val="13"/>
          <w:szCs w:val="13"/>
          <w:color w:val="auto"/>
        </w:rPr>
      </w:pPr>
    </w:p>
    <w:p>
      <w:pPr>
        <w:ind w:left="320" w:right="240" w:hanging="124"/>
        <w:spacing w:after="0" w:line="298" w:lineRule="auto"/>
        <w:tabs>
          <w:tab w:leader="none" w:pos="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Times New Roman" w:cs="Times New Roman" w:eastAsia="Times New Roman" w:hAnsi="Times New Roman"/>
          <w:sz w:val="13"/>
          <w:szCs w:val="13"/>
          <w:color w:val="auto"/>
        </w:rPr>
      </w:pPr>
    </w:p>
    <w:p>
      <w:pPr>
        <w:ind w:left="320" w:right="320" w:hanging="124"/>
        <w:spacing w:after="0" w:line="315" w:lineRule="auto"/>
        <w:tabs>
          <w:tab w:leader="none" w:pos="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3"/>
          <w:szCs w:val="13"/>
          <w:color w:val="auto"/>
        </w:rPr>
      </w:pPr>
    </w:p>
    <w:p>
      <w:pPr>
        <w:ind w:left="320" w:right="140" w:hanging="124"/>
        <w:spacing w:after="0" w:line="315" w:lineRule="auto"/>
        <w:tabs>
          <w:tab w:leader="none" w:pos="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3" w:lineRule="exact"/>
        <w:rPr>
          <w:rFonts w:ascii="Times New Roman" w:cs="Times New Roman" w:eastAsia="Times New Roman" w:hAnsi="Times New Roman"/>
          <w:sz w:val="13"/>
          <w:szCs w:val="13"/>
          <w:color w:val="auto"/>
        </w:rPr>
      </w:pPr>
    </w:p>
    <w:p>
      <w:pPr>
        <w:ind w:left="840" w:right="280" w:hanging="199"/>
        <w:spacing w:after="0" w:line="298" w:lineRule="auto"/>
        <w:tabs>
          <w:tab w:leader="none" w:pos="822"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3"/>
          <w:szCs w:val="13"/>
          <w:color w:val="auto"/>
        </w:rPr>
      </w:pPr>
    </w:p>
    <w:p>
      <w:pPr>
        <w:ind w:left="840" w:right="500" w:hanging="199"/>
        <w:spacing w:after="0" w:line="315" w:lineRule="auto"/>
        <w:tabs>
          <w:tab w:leader="none" w:pos="829"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Times New Roman" w:cs="Times New Roman" w:eastAsia="Times New Roman" w:hAnsi="Times New Roman"/>
          <w:sz w:val="13"/>
          <w:szCs w:val="13"/>
          <w:color w:val="auto"/>
        </w:rPr>
      </w:pPr>
    </w:p>
    <w:p>
      <w:pPr>
        <w:ind w:left="840" w:right="80" w:hanging="199"/>
        <w:spacing w:after="0" w:line="315" w:lineRule="auto"/>
        <w:tabs>
          <w:tab w:leader="none" w:pos="822"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3"/>
          <w:szCs w:val="13"/>
          <w:color w:val="auto"/>
        </w:rPr>
      </w:pPr>
    </w:p>
    <w:p>
      <w:pPr>
        <w:ind w:left="840" w:right="100" w:hanging="199"/>
        <w:spacing w:after="0" w:line="298" w:lineRule="auto"/>
        <w:tabs>
          <w:tab w:leader="none" w:pos="829"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3"/>
          <w:szCs w:val="13"/>
          <w:color w:val="auto"/>
        </w:rPr>
      </w:pPr>
    </w:p>
    <w:p>
      <w:pPr>
        <w:ind w:left="320" w:right="120" w:hanging="124"/>
        <w:spacing w:after="0" w:line="315" w:lineRule="auto"/>
        <w:tabs>
          <w:tab w:leader="none" w:pos="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3"/>
          <w:szCs w:val="13"/>
          <w:color w:val="auto"/>
        </w:rPr>
      </w:pPr>
    </w:p>
    <w:p>
      <w:pPr>
        <w:ind w:left="840" w:right="220" w:hanging="199"/>
        <w:spacing w:after="0" w:line="315" w:lineRule="auto"/>
        <w:tabs>
          <w:tab w:leader="none" w:pos="822"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3"/>
          <w:szCs w:val="13"/>
          <w:color w:val="auto"/>
        </w:rPr>
      </w:pPr>
    </w:p>
    <w:p>
      <w:pPr>
        <w:ind w:left="820" w:hanging="179"/>
        <w:spacing w:after="0"/>
        <w:tabs>
          <w:tab w:leader="none" w:pos="820"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/s/ Patrick Kelleher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19685</wp:posOffset>
            </wp:positionV>
            <wp:extent cx="256667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2566670" cy="6985"/>
                    </a:xfrm>
                    <a:prstGeom prst="rect">
                      <a:avLst/>
                    </a:prstGeom>
                    <a:noFill/>
                  </pic:spPr>
                </pic:pic>
              </a:graphicData>
            </a:graphic>
          </wp:anchor>
        </w:drawing>
      </w:r>
    </w:p>
    <w:p>
      <w:pPr>
        <w:spacing w:after="0" w:line="3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Patrick Kelleher</w:t>
      </w:r>
    </w:p>
    <w:p>
      <w:pPr>
        <w:spacing w:after="0" w:line="4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4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(Principal Executive Officer)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February 25, 2026</w:t>
      </w:r>
    </w:p>
    <w:p>
      <w:pPr>
        <w:sectPr>
          <w:pgSz w:w="11900" w:h="16838" w:orient="portrait"/>
          <w:cols w:equalWidth="0" w:num="1">
            <w:col w:w="11280"/>
          </w:cols>
          <w:pgMar w:left="300" w:top="1156" w:right="31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Baris Oran, certify that:</w:t>
      </w:r>
    </w:p>
    <w:p>
      <w:pPr>
        <w:spacing w:after="0" w:line="116" w:lineRule="exact"/>
        <w:rPr>
          <w:sz w:val="20"/>
          <w:szCs w:val="20"/>
          <w:color w:val="auto"/>
        </w:rPr>
      </w:pPr>
    </w:p>
    <w:p>
      <w:pPr>
        <w:ind w:left="320" w:hanging="124"/>
        <w:spacing w:after="0"/>
        <w:tabs>
          <w:tab w:leader="none" w:pos="3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for the year ended December 31, 2025 of GXO Logistics, Inc.;</w:t>
      </w:r>
    </w:p>
    <w:p>
      <w:pPr>
        <w:spacing w:after="0" w:line="115" w:lineRule="exact"/>
        <w:rPr>
          <w:rFonts w:ascii="Times New Roman" w:cs="Times New Roman" w:eastAsia="Times New Roman" w:hAnsi="Times New Roman"/>
          <w:sz w:val="13"/>
          <w:szCs w:val="13"/>
          <w:color w:val="auto"/>
        </w:rPr>
      </w:pPr>
    </w:p>
    <w:p>
      <w:pPr>
        <w:ind w:left="320" w:right="240" w:hanging="124"/>
        <w:spacing w:after="0" w:line="298" w:lineRule="auto"/>
        <w:tabs>
          <w:tab w:leader="none" w:pos="3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Times New Roman" w:cs="Times New Roman" w:eastAsia="Times New Roman" w:hAnsi="Times New Roman"/>
          <w:sz w:val="13"/>
          <w:szCs w:val="13"/>
          <w:color w:val="auto"/>
        </w:rPr>
      </w:pPr>
    </w:p>
    <w:p>
      <w:pPr>
        <w:ind w:left="320" w:right="320" w:hanging="124"/>
        <w:spacing w:after="0" w:line="315" w:lineRule="auto"/>
        <w:tabs>
          <w:tab w:leader="none" w:pos="3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3"/>
          <w:szCs w:val="13"/>
          <w:color w:val="auto"/>
        </w:rPr>
      </w:pPr>
    </w:p>
    <w:p>
      <w:pPr>
        <w:ind w:left="320" w:right="140" w:hanging="124"/>
        <w:spacing w:after="0" w:line="315" w:lineRule="auto"/>
        <w:tabs>
          <w:tab w:leader="none" w:pos="3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3" w:lineRule="exact"/>
        <w:rPr>
          <w:rFonts w:ascii="Times New Roman" w:cs="Times New Roman" w:eastAsia="Times New Roman" w:hAnsi="Times New Roman"/>
          <w:sz w:val="13"/>
          <w:szCs w:val="13"/>
          <w:color w:val="auto"/>
        </w:rPr>
      </w:pPr>
    </w:p>
    <w:p>
      <w:pPr>
        <w:ind w:left="840" w:right="280" w:hanging="199"/>
        <w:spacing w:after="0" w:line="298" w:lineRule="auto"/>
        <w:tabs>
          <w:tab w:leader="none" w:pos="822"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3"/>
          <w:szCs w:val="13"/>
          <w:color w:val="auto"/>
        </w:rPr>
      </w:pPr>
    </w:p>
    <w:p>
      <w:pPr>
        <w:ind w:left="840" w:right="500" w:hanging="199"/>
        <w:spacing w:after="0" w:line="315" w:lineRule="auto"/>
        <w:tabs>
          <w:tab w:leader="none" w:pos="829"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Times New Roman" w:cs="Times New Roman" w:eastAsia="Times New Roman" w:hAnsi="Times New Roman"/>
          <w:sz w:val="13"/>
          <w:szCs w:val="13"/>
          <w:color w:val="auto"/>
        </w:rPr>
      </w:pPr>
    </w:p>
    <w:p>
      <w:pPr>
        <w:ind w:left="840" w:right="80" w:hanging="199"/>
        <w:spacing w:after="0" w:line="315" w:lineRule="auto"/>
        <w:tabs>
          <w:tab w:leader="none" w:pos="822"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3"/>
          <w:szCs w:val="13"/>
          <w:color w:val="auto"/>
        </w:rPr>
      </w:pPr>
    </w:p>
    <w:p>
      <w:pPr>
        <w:ind w:left="840" w:right="100" w:hanging="199"/>
        <w:spacing w:after="0" w:line="298" w:lineRule="auto"/>
        <w:tabs>
          <w:tab w:leader="none" w:pos="829"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3"/>
          <w:szCs w:val="13"/>
          <w:color w:val="auto"/>
        </w:rPr>
      </w:pPr>
    </w:p>
    <w:p>
      <w:pPr>
        <w:ind w:left="320" w:right="120" w:hanging="124"/>
        <w:spacing w:after="0" w:line="315" w:lineRule="auto"/>
        <w:tabs>
          <w:tab w:leader="none" w:pos="3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3"/>
          <w:szCs w:val="13"/>
          <w:color w:val="auto"/>
        </w:rPr>
      </w:pPr>
    </w:p>
    <w:p>
      <w:pPr>
        <w:ind w:left="840" w:right="220" w:hanging="199"/>
        <w:spacing w:after="0" w:line="315" w:lineRule="auto"/>
        <w:tabs>
          <w:tab w:leader="none" w:pos="822"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3"/>
          <w:szCs w:val="13"/>
          <w:color w:val="auto"/>
        </w:rPr>
      </w:pPr>
    </w:p>
    <w:p>
      <w:pPr>
        <w:ind w:left="820" w:hanging="179"/>
        <w:spacing w:after="0"/>
        <w:tabs>
          <w:tab w:leader="none" w:pos="820"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19685</wp:posOffset>
            </wp:positionV>
            <wp:extent cx="256667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2566670" cy="6985"/>
                    </a:xfrm>
                    <a:prstGeom prst="rect">
                      <a:avLst/>
                    </a:prstGeom>
                    <a:noFill/>
                  </pic:spPr>
                </pic:pic>
              </a:graphicData>
            </a:graphic>
          </wp:anchor>
        </w:drawing>
      </w:r>
    </w:p>
    <w:p>
      <w:pPr>
        <w:spacing w:after="0" w:line="3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Baris Oran</w:t>
      </w:r>
    </w:p>
    <w:p>
      <w:pPr>
        <w:spacing w:after="0" w:line="4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4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(Principal Financial Officer)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February 25, 2026</w:t>
      </w:r>
    </w:p>
    <w:p>
      <w:pPr>
        <w:sectPr>
          <w:pgSz w:w="11900" w:h="16838" w:orient="portrait"/>
          <w:cols w:equalWidth="0" w:num="1">
            <w:col w:w="11280"/>
          </w:cols>
          <w:pgMar w:left="300" w:top="1156" w:right="31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CHIEF EXECUTIVE OFFICER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202" w:lineRule="exact"/>
        <w:rPr>
          <w:sz w:val="20"/>
          <w:szCs w:val="20"/>
          <w:color w:val="auto"/>
        </w:rPr>
      </w:pPr>
    </w:p>
    <w:p>
      <w:pPr>
        <w:ind w:right="60" w:firstLine="350"/>
        <w:spacing w:after="0" w:line="306" w:lineRule="auto"/>
        <w:rPr>
          <w:sz w:val="20"/>
          <w:szCs w:val="20"/>
          <w:color w:val="auto"/>
        </w:rPr>
      </w:pPr>
      <w:r>
        <w:rPr>
          <w:rFonts w:ascii="Times New Roman" w:cs="Times New Roman" w:eastAsia="Times New Roman" w:hAnsi="Times New Roman"/>
          <w:sz w:val="14"/>
          <w:szCs w:val="14"/>
          <w:color w:val="auto"/>
        </w:rPr>
        <w:t xml:space="preserve">Solely for the purposes of complying with 18 U.S.C. Section 1350 as adopted pursuant to Section 906 of the Sarbanes-Oxley Act of 2002, I, the undersigned Chief Executive Officer of GXO Logistics, Inc. (the “Company”), hereby certify, based on my knowledge, that the Annual Report on Form 10-K of the Company for the year ended </w:t>
      </w:r>
      <w:r>
        <w:rPr>
          <w:rFonts w:ascii="Times New Roman" w:cs="Times New Roman" w:eastAsia="Times New Roman" w:hAnsi="Times New Roman"/>
          <w:sz w:val="12"/>
          <w:szCs w:val="12"/>
          <w:color w:val="auto"/>
        </w:rPr>
        <w:t>December 31, 2025</w:t>
      </w:r>
      <w:r>
        <w:rPr>
          <w:rFonts w:ascii="Times New Roman" w:cs="Times New Roman" w:eastAsia="Times New Roman" w:hAnsi="Times New Roman"/>
          <w:sz w:val="14"/>
          <w:szCs w:val="14"/>
          <w:color w:val="auto"/>
        </w:rPr>
        <w:t xml:space="preserve">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38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2"/>
          <w:szCs w:val="12"/>
          <w:color w:val="auto"/>
        </w:rPr>
        <w:t>Patrick Kelleher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28575</wp:posOffset>
            </wp:positionV>
            <wp:extent cx="256667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2566670" cy="6985"/>
                    </a:xfrm>
                    <a:prstGeom prst="rect">
                      <a:avLst/>
                    </a:prstGeom>
                    <a:noFill/>
                  </pic:spPr>
                </pic:pic>
              </a:graphicData>
            </a:graphic>
          </wp:anchor>
        </w:drawing>
      </w:r>
    </w:p>
    <w:p>
      <w:pPr>
        <w:spacing w:after="0" w:line="4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Patrick Kelleher</w:t>
      </w:r>
    </w:p>
    <w:p>
      <w:pPr>
        <w:spacing w:after="0" w:line="5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5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February 25, 2026</w:t>
      </w:r>
    </w:p>
    <w:p>
      <w:pPr>
        <w:sectPr>
          <w:pgSz w:w="11900" w:h="16838" w:orient="portrait"/>
          <w:cols w:equalWidth="0" w:num="1">
            <w:col w:w="11280"/>
          </w:cols>
          <w:pgMar w:left="300" w:top="1152" w:right="31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CHIEF FINANCIAL OFFICER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202" w:lineRule="exact"/>
        <w:rPr>
          <w:sz w:val="20"/>
          <w:szCs w:val="20"/>
          <w:color w:val="auto"/>
        </w:rPr>
      </w:pPr>
    </w:p>
    <w:p>
      <w:pPr>
        <w:ind w:right="60" w:firstLine="350"/>
        <w:spacing w:after="0" w:line="306" w:lineRule="auto"/>
        <w:rPr>
          <w:sz w:val="20"/>
          <w:szCs w:val="20"/>
          <w:color w:val="auto"/>
        </w:rPr>
      </w:pPr>
      <w:r>
        <w:rPr>
          <w:rFonts w:ascii="Times New Roman" w:cs="Times New Roman" w:eastAsia="Times New Roman" w:hAnsi="Times New Roman"/>
          <w:sz w:val="14"/>
          <w:szCs w:val="14"/>
          <w:color w:val="auto"/>
        </w:rPr>
        <w:t xml:space="preserve">Solely for the purposes of complying with 18 U.S.C. Section 1350 as adopted pursuant to Section 906 of the Sarbanes-Oxley Act of 2002, I, the undersigned Chief Financial Officer of GXO Logistics, Inc. (the “Company”), hereby certify, based on my knowledge, that the Annual Report on Form 10-K of the Company for the year ended </w:t>
      </w:r>
      <w:r>
        <w:rPr>
          <w:rFonts w:ascii="Times New Roman" w:cs="Times New Roman" w:eastAsia="Times New Roman" w:hAnsi="Times New Roman"/>
          <w:sz w:val="12"/>
          <w:szCs w:val="12"/>
          <w:color w:val="auto"/>
        </w:rPr>
        <w:t>December 31, 2025</w:t>
      </w:r>
      <w:r>
        <w:rPr>
          <w:rFonts w:ascii="Times New Roman" w:cs="Times New Roman" w:eastAsia="Times New Roman" w:hAnsi="Times New Roman"/>
          <w:sz w:val="14"/>
          <w:szCs w:val="14"/>
          <w:color w:val="auto"/>
        </w:rPr>
        <w:t xml:space="preserve">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38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28575</wp:posOffset>
            </wp:positionV>
            <wp:extent cx="256667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2566670" cy="6985"/>
                    </a:xfrm>
                    <a:prstGeom prst="rect">
                      <a:avLst/>
                    </a:prstGeom>
                    <a:noFill/>
                  </pic:spPr>
                </pic:pic>
              </a:graphicData>
            </a:graphic>
          </wp:anchor>
        </w:drawing>
      </w:r>
    </w:p>
    <w:p>
      <w:pPr>
        <w:spacing w:after="0" w:line="4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Baris Oran</w:t>
      </w:r>
    </w:p>
    <w:p>
      <w:pPr>
        <w:spacing w:after="0" w:line="5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5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February 25, 2026</w:t>
      </w:r>
    </w:p>
    <w:p>
      <w:pPr>
        <w:sectPr>
          <w:pgSz w:w="11900" w:h="16838" w:orient="portrait"/>
          <w:cols w:equalWidth="0" w:num="1">
            <w:col w:w="11280"/>
          </w:cols>
          <w:pgMar w:left="300" w:top="1152" w:right="31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7"/>
          <w:szCs w:val="17"/>
          <w:b w:val="1"/>
          <w:bCs w:val="1"/>
          <w:color w:val="auto"/>
        </w:rPr>
        <w:t>GXO Logistics,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-20320</wp:posOffset>
            </wp:positionV>
            <wp:extent cx="186817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1">
                      <a:extLst>
                        <a:ext uri="{28A0092B-C50C-407E-A947-70E740481C1C}"/>
                      </a:extLst>
                    </a:blip>
                    <a:srcRect/>
                    <a:stretch>
                      <a:fillRect/>
                    </a:stretch>
                  </pic:blipFill>
                  <pic:spPr bwMode="auto">
                    <a:xfrm>
                      <a:off x="0" y="0"/>
                      <a:ext cx="1868170" cy="698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(Adopted as of November 21,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Compensation Committee (the “</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of the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of GXO Logistics,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GXO</w:t>
      </w:r>
      <w:r>
        <w:rPr>
          <w:rFonts w:ascii="Times New Roman" w:cs="Times New Roman" w:eastAsia="Times New Roman" w:hAnsi="Times New Roman"/>
          <w:sz w:val="17"/>
          <w:szCs w:val="17"/>
          <w:color w:val="auto"/>
        </w:rPr>
        <w:t>”), has adopted this Clawback Policy (this “</w:t>
      </w:r>
      <w:r>
        <w:rPr>
          <w:rFonts w:ascii="Times New Roman" w:cs="Times New Roman" w:eastAsia="Times New Roman" w:hAnsi="Times New Roman"/>
          <w:sz w:val="17"/>
          <w:szCs w:val="17"/>
          <w:u w:val="single" w:color="auto"/>
          <w:color w:val="auto"/>
        </w:rPr>
        <w:t>Policy</w:t>
      </w:r>
      <w:r>
        <w:rPr>
          <w:rFonts w:ascii="Times New Roman" w:cs="Times New Roman" w:eastAsia="Times New Roman" w:hAnsi="Times New Roman"/>
          <w:sz w:val="17"/>
          <w:szCs w:val="17"/>
          <w:color w:val="auto"/>
        </w:rPr>
        <w:t>”) effective as of October 2, 2023, under which the Company may require the repayment of, or provide for the forfeiture or cancellation of, certain incentive compensation of Covered Executives (as defined below) in accordance with the terms hereof.</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of this policy, the following definitions apply: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“Bonus” means any cash bonus or annual bonus.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Agreement” means any Covered Executive's employment agreement, severance agreement, or offer letter.</w:t>
      </w:r>
    </w:p>
    <w:p>
      <w:pPr>
        <w:spacing w:after="0" w:line="17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“Covenant Breach” means a breach of any applicable restrictive covenant in any Compensation Agreement or other agreement between the Covered Executive and GXO or any of GXO’s affiliates.</w:t>
      </w:r>
    </w:p>
    <w:p>
      <w:pPr>
        <w:spacing w:after="0" w:line="1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“Covered Executive”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An “executive officer” for purposes of this Policy includes at a minimum executive officers identified pursuant to Item 401(b) of SEC Regulation S-K. Covered Executive also includes any other employee of the Company and its subsidiaries designated by the Committee from time to time by notice to the employee.</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“Erroneously Awarded Compensation” means the amount of Incentive Compensation received that exceeds the amount of Incentive Compensation that otherwise would have been received had it been determined based on the restated amounts, and must be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(i) the amount shall be based on a reasonable estimate of the effect of the accounting restatement on the stock price or total shareholder return upon which the incentive-based compensation was received; and (ii) the Company shall maintain documentation of the determination of that reasonable estimate and provide such documentation to the Exchange.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“Exchange” means the New York Stock Exchange or any other national securities exchange on which the Company’s securities are then listed.</w:t>
      </w:r>
    </w:p>
    <w:p>
      <w:pPr>
        <w:sectPr>
          <w:pgSz w:w="11900" w:h="16838" w:orient="portrait"/>
          <w:cols w:equalWidth="0" w:num="1">
            <w:col w:w="11280"/>
          </w:cols>
          <w:pgMar w:left="300" w:top="826"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color w:val="auto"/>
        </w:rPr>
        <w:t>“Exchange Act” means the Securities Exchange Act of 1934, as amended.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“Financial Reporting Measure” means any measure that is determined and presented in accordance with the accounting principles used in preparing the Company’s financial statements, and any measures that are derived wholly or in part from those measures, whether or not the measure is presented within the financial statements or included in a filing with the SEC, such as stock price, total shareholder return, revenue, adjusted earnings before interest, taxes, depreciation, and amortization, and free cash flows.</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“For Cause Termination” means any termination of a Covered Executive’s employment for “cause,” as defined in the Covered Executive’s Compensation Agreement, or if the Covered Executive is not party to a Compensation Agreement, as such term is defined in the GXO Logistics, Inc. 2021 Omnibus Incentive Compensation Plan, as may be amended or restated from time to time, or any successor plan.</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“Incentive Compensation” means any compensation that is awarded, earned or vested based in whole or in part on the attainment of a financial reporting measure. Base salaries, Bonuses or equity awards (including LTI Awards) paid solely upon satisfying one or more subjective standards, strategic or operational measures, or continued employment are not considered Incentive Compensation, unless the awards were granted, paid or vested based in part on a Financial Reporting Measure. Incentive Compensation is deemed received in the Company’s fiscal period during which the Financial Reporting Measure specified in the Incentive Compensation award is attained, even if the payment or grant of the Incentive Compensation occurs after the end of that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“LTI Awards” means any equity-based or cash-based long-term incentive awards.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“Misconduct” means, with respect to a Covered Executive, any of the following that contributes to any material loss to the Company or any of the Company’s affiliates: (i) the material breach of a written policy applicable to the Covered Executive, including, but not limited to, the Company's Code of Ethics, (ii) egregious misconduct by the Covered Executive including, but not limited to, fraud, criminal activities, falsification of Company records, theft, violent acts or threats of violence, or a violation of law, unethical conduct or inappropriate behavior that causes substantial reputational harm to the Company or exposes the Company to substantial legal liability, (iii) the commission of an act or omission which causes the Covered Executive or the Company to be in violation of federal or state securities laws, rules or regulations, (iv) falsifications, omissions or manipulations of accounting records or financial disclosures, or of their supporting documents or of transactions, (v) negligent, reckless or intentional misinterpretations or misapplications of accounting requirements, rules, guidelines, standards or principles, (vi) non-compliance with internal controls and procedures, or (vii) negligent supervision.</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“Restatement” means an accounting restatement due to the material noncompliance of the Company with any financial reporting requirement under the securities laws, including any required accounting restatement that corrects errors (1) that are material to previously issued financial statements, or (2) that would result in a material misstatement if the errors were left uncorrected in the current report or the error correction was recognized in the current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 means the Securities and Exchange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Recoupment and Forfeiture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Triggering Events. </w:t>
      </w:r>
      <w:r>
        <w:rPr>
          <w:rFonts w:ascii="Times New Roman" w:cs="Times New Roman" w:eastAsia="Times New Roman" w:hAnsi="Times New Roman"/>
          <w:sz w:val="17"/>
          <w:szCs w:val="17"/>
          <w:color w:val="auto"/>
        </w:rPr>
        <w:t>Upon the occurrence of any of the following events, the Company shall have the remedies set forth below:</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829" w:right="319" w:bottom="1440" w:gutter="0" w:footer="0" w:header="0"/>
        </w:sectPr>
      </w:pPr>
    </w:p>
    <w:bookmarkStart w:id="147" w:name="page148"/>
    <w:bookmarkEnd w:id="147"/>
    <w:p>
      <w:pPr>
        <w:ind w:left="500" w:hanging="240"/>
        <w:spacing w:after="0"/>
        <w:tabs>
          <w:tab w:leader="none" w:pos="5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Executive has engaged in any Misconduct;</w:t>
      </w:r>
    </w:p>
    <w:p>
      <w:pPr>
        <w:spacing w:after="0" w:line="175"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Executive’s experiences a For Cause Termination;</w:t>
      </w:r>
    </w:p>
    <w:p>
      <w:pPr>
        <w:spacing w:after="0" w:line="186" w:lineRule="exact"/>
        <w:rPr>
          <w:rFonts w:ascii="Times New Roman" w:cs="Times New Roman" w:eastAsia="Times New Roman" w:hAnsi="Times New Roman"/>
          <w:sz w:val="17"/>
          <w:szCs w:val="17"/>
          <w:color w:val="auto"/>
        </w:rPr>
      </w:pPr>
    </w:p>
    <w:p>
      <w:pPr>
        <w:ind w:left="260" w:right="7060"/>
        <w:spacing w:after="0" w:line="453" w:lineRule="auto"/>
        <w:tabs>
          <w:tab w:leader="none" w:pos="55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Executive commits a Covenant Breach; or (iv)The Company is required to prepare a Restatement.</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Misconduct, For Cause Termination and Covenant Breaches - LTI Awards. </w:t>
      </w:r>
      <w:r>
        <w:rPr>
          <w:rFonts w:ascii="Times New Roman" w:cs="Times New Roman" w:eastAsia="Times New Roman" w:hAnsi="Times New Roman"/>
          <w:sz w:val="17"/>
          <w:szCs w:val="17"/>
          <w:color w:val="auto"/>
        </w:rPr>
        <w:t>The Company may (i) in the case of a For Cause Termination, at any time from two years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before and up to six months after such termination, or (ii) in the case of Misconduct or a Covenant Breach, at any time from two years before and up to six months after learning of such conduct or breach, but in no event more than two years after the Covered Executive engages in such conduct or breach:</w:t>
      </w:r>
    </w:p>
    <w:p>
      <w:pPr>
        <w:spacing w:after="0" w:line="144" w:lineRule="exact"/>
        <w:rPr>
          <w:sz w:val="20"/>
          <w:szCs w:val="20"/>
          <w:color w:val="auto"/>
        </w:rPr>
      </w:pPr>
    </w:p>
    <w:p>
      <w:pPr>
        <w:ind w:left="500" w:hanging="240"/>
        <w:spacing w:after="0"/>
        <w:tabs>
          <w:tab w:leader="none" w:pos="5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or cancel any LTI Awards held by the Covered Executive that are unvested or vested and unexercised;</w:t>
      </w:r>
    </w:p>
    <w:p>
      <w:pPr>
        <w:spacing w:after="0" w:line="175" w:lineRule="exact"/>
        <w:rPr>
          <w:rFonts w:ascii="Times New Roman" w:cs="Times New Roman" w:eastAsia="Times New Roman" w:hAnsi="Times New Roman"/>
          <w:sz w:val="17"/>
          <w:szCs w:val="17"/>
          <w:color w:val="auto"/>
        </w:rPr>
      </w:pPr>
    </w:p>
    <w:p>
      <w:pPr>
        <w:ind w:left="520" w:hanging="260"/>
        <w:spacing w:after="0" w:line="276" w:lineRule="auto"/>
        <w:tabs>
          <w:tab w:leader="none" w:pos="5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the Covered Executive to forfeit or remit to the Company any amount payable, or the after-tax net amount paid or received by the Covered Executive, in respect of any LTI Awards the vesting of which was accelerated upon termination of the Covered Executive’s employment for any reason; and/or</w:t>
      </w:r>
    </w:p>
    <w:p>
      <w:pPr>
        <w:spacing w:after="0" w:line="123" w:lineRule="exact"/>
        <w:rPr>
          <w:rFonts w:ascii="Times New Roman" w:cs="Times New Roman" w:eastAsia="Times New Roman" w:hAnsi="Times New Roman"/>
          <w:sz w:val="17"/>
          <w:szCs w:val="17"/>
          <w:color w:val="auto"/>
        </w:rPr>
      </w:pPr>
    </w:p>
    <w:p>
      <w:pPr>
        <w:ind w:left="520" w:hanging="260"/>
        <w:spacing w:after="0" w:line="276" w:lineRule="auto"/>
        <w:tabs>
          <w:tab w:leader="none" w:pos="5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the Covered Executive to forfeit or remit to the Company any shares of Company common stock (or the equivalent value in cash) that were issued to the Covered Executive (or cash that was paid to the Covered Executive) upon vesting, settlement or exercise, as applicable, of any LTI Award;</w:t>
      </w:r>
    </w:p>
    <w:p>
      <w:pPr>
        <w:spacing w:after="0" w:line="123" w:lineRule="exact"/>
        <w:rPr>
          <w:sz w:val="20"/>
          <w:szCs w:val="20"/>
          <w:color w:val="auto"/>
        </w:rPr>
      </w:pPr>
    </w:p>
    <w:p>
      <w:pPr>
        <w:ind w:left="520"/>
        <w:spacing w:after="0" w:line="289"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cases where cure is possible, the Covered Executive shall first be provided a fifteen-day cure period to cease, and to cure, such conduct.</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Misconduct - Annual Bonuses. </w:t>
      </w:r>
      <w:r>
        <w:rPr>
          <w:rFonts w:ascii="Times New Roman" w:cs="Times New Roman" w:eastAsia="Times New Roman" w:hAnsi="Times New Roman"/>
          <w:sz w:val="17"/>
          <w:szCs w:val="17"/>
          <w:color w:val="auto"/>
        </w:rPr>
        <w:t>In the event of Misconduct, the Company may recover the amount by which any compensation paid to the Covered Executive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exceeded the lower amount that would have been payable after accounting for the applicable material loss or such other amount as determined to be appropriate by the Committee, by:</w:t>
      </w:r>
    </w:p>
    <w:p>
      <w:pPr>
        <w:spacing w:after="0" w:line="49" w:lineRule="exact"/>
        <w:rPr>
          <w:sz w:val="20"/>
          <w:szCs w:val="20"/>
          <w:color w:val="auto"/>
        </w:rPr>
      </w:pPr>
    </w:p>
    <w:p>
      <w:pPr>
        <w:ind w:left="500" w:hanging="240"/>
        <w:spacing w:after="0"/>
        <w:tabs>
          <w:tab w:leader="none" w:pos="5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repayment by the Covered Executive of any Bonus previously paid, net of any taxes paid by the Covered Executive on such Bonus; or</w:t>
      </w:r>
    </w:p>
    <w:p>
      <w:pPr>
        <w:spacing w:after="0" w:line="101"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cancelling any earned but unpaid Bonus; and/or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adjusting the Covered Executive’s future compensation in order to recover an appropriate amount with respect to the restated financial results or the material loss.</w:t>
      </w:r>
    </w:p>
    <w:p>
      <w:pPr>
        <w:spacing w:after="0" w:line="2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Restatements. </w:t>
      </w:r>
      <w:r>
        <w:rPr>
          <w:rFonts w:ascii="Times New Roman" w:cs="Times New Roman" w:eastAsia="Times New Roman" w:hAnsi="Times New Roman"/>
          <w:sz w:val="17"/>
          <w:szCs w:val="17"/>
          <w:color w:val="auto"/>
        </w:rPr>
        <w:t>In the event that the Company is required to prepare a Restatement, the Company will recover reasonably promptly the Erroneously Awarded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received by the Covered Executive. If the Committee cannot determine the amount of Erroneously Awarded Compensation received by the Covered Executive directly from the information in the accounting restatement, then it will make its determination based on a reasonable estimate of the effect of the accounting restatement. Recovery of any Erroneously Awarded Compensation will apply to any Erroneously Awarded Compensation received on or after October 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2023 by a Covered Executive:</w:t>
      </w:r>
    </w:p>
    <w:p>
      <w:pPr>
        <w:spacing w:after="0" w:line="73" w:lineRule="exact"/>
        <w:rPr>
          <w:sz w:val="20"/>
          <w:szCs w:val="20"/>
          <w:color w:val="auto"/>
        </w:rPr>
      </w:pPr>
    </w:p>
    <w:p>
      <w:pPr>
        <w:ind w:left="500" w:hanging="240"/>
        <w:spacing w:after="0"/>
        <w:tabs>
          <w:tab w:leader="none" w:pos="5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beginning service as a Covered Executive;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830" w:right="319" w:bottom="1440" w:gutter="0" w:footer="0" w:header="0"/>
        </w:sectPr>
      </w:pPr>
    </w:p>
    <w:bookmarkStart w:id="148" w:name="page149"/>
    <w:bookmarkEnd w:id="148"/>
    <w:p>
      <w:pPr>
        <w:ind w:left="500" w:hanging="240"/>
        <w:spacing w:after="0"/>
        <w:tabs>
          <w:tab w:leader="none" w:pos="5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 served as a Covered Executive at any time during the performance period for that Incentive Compensation;</w:t>
      </w:r>
    </w:p>
    <w:p>
      <w:pPr>
        <w:spacing w:after="0" w:line="90"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the Company has a class of securities listed on the Exchange; and</w:t>
      </w:r>
    </w:p>
    <w:p>
      <w:pPr>
        <w:spacing w:after="0" w:line="101" w:lineRule="exact"/>
        <w:rPr>
          <w:rFonts w:ascii="Times New Roman" w:cs="Times New Roman" w:eastAsia="Times New Roman" w:hAnsi="Times New Roman"/>
          <w:sz w:val="17"/>
          <w:szCs w:val="17"/>
          <w:color w:val="auto"/>
        </w:rPr>
      </w:pPr>
    </w:p>
    <w:p>
      <w:pPr>
        <w:jc w:val="both"/>
        <w:ind w:left="520" w:hanging="260"/>
        <w:spacing w:after="0" w:line="254" w:lineRule="auto"/>
        <w:tabs>
          <w:tab w:leader="none" w:pos="5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three completed fiscal years immediately preceding the date on which the Company was required to prepare the Restatement (including any transition period within or immediately following those three completed fiscal years that results from a change in the Company’s fiscal year, determined in accordance with the rules of the Exchange). However, a transition period between the last day of the Company’s previous fiscal year end and the first day of its new fiscal year that comprises a period of nine to 12 months would be deemed a completed fiscal year. The Company’s obligation to recover Erroneously Awarded Compensation is not dependent on if or when the restated financial statements are filed.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of determining the relevant recovery period, the date that the Company is required to prepare a Restatement is the earlier to occur of:</w:t>
      </w:r>
    </w:p>
    <w:p>
      <w:pPr>
        <w:spacing w:after="0" w:line="91" w:lineRule="exact"/>
        <w:rPr>
          <w:sz w:val="20"/>
          <w:szCs w:val="20"/>
          <w:color w:val="auto"/>
        </w:rPr>
      </w:pPr>
    </w:p>
    <w:p>
      <w:pPr>
        <w:ind w:left="520" w:hanging="260"/>
        <w:spacing w:after="0" w:line="276" w:lineRule="auto"/>
        <w:tabs>
          <w:tab w:leader="none" w:pos="5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Board, a committee thereof or the Company’s officer(s) authorized to take such action if Board action is not required, concludes, or reasonably should have concluded, that the Company is required to prepare a Restatement; and</w:t>
      </w:r>
    </w:p>
    <w:p>
      <w:pPr>
        <w:spacing w:after="0" w:line="38"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a court, regulator or other legally authorized body directs the Company to prepare a Restatement.</w:t>
      </w: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the extent permitted by applicable law, the Committee may, in its discretion, seek recoupment of any excess Incentive Compensation from a Covered Executive from any of the following sources: (1) prior Incentive Compensation payments; (2) future payments of Incentive Compensation; (3) cancellation of outstanding Incentive Compensation; and (4) direct repayment. To the extent permitted by applicable law, the Company may offset such amount against any compensation or other amounts owed by the Company to the Covered Executive.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Covered Executives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Policy applies to the Company’s Covered Executives.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Mandatory Disclosure</w:t>
      </w:r>
    </w:p>
    <w:p>
      <w:pPr>
        <w:spacing w:after="0" w:line="19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Company shall file this Policy and, in the event that the Company is required to prepare a Restatement, will disclose information related to such Restatement in accordance with applicable law, including, for the avoidance of doubt, Rule 10D-1 of the Exchange Act or any rules or standards adopted by the Exchange.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Administration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Policy shall be administered by the Committee. Any determinations made by the Committee shall be final and binding on all affected individuals, and need not be uniform with respect to Covered Executives. The Committee is authorized to interpret and construe this Policy and to make all determinations necessary, appropriate, or advisable for the administration of this Policy. This policy is intended to comply with Section 10D of the Exchange Act, Rule 10D-1 thereunder, and the applicable rules of the Exchange, and will be interpreted and administered consistent with that intent.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829"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color w:val="auto"/>
        </w:rPr>
        <w:t>Amendment; Termination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Committee may amend this Policy from time to time in its discretion and shall amend this Policy as it deems necessary. Notwithstanding anything in this section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Rule 10D-1 of the Exchange Act, or any rules or standards adopted by the Exchange. The Committee may terminate this Policy at any time.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Recoupment Rights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Any right of recoupment under this Policy is in addition to, and not in lieu of, any other remedies or rights of recoupment that may be available to the Company pursuant to the terms of any similar policy in any Compensation Agreement, equity award agreement, or similar agreement and any other legal or equitable remedies available to the Company. Without limiting the foregoing, the provisions of this Policy are in addition to (and not in lieu of) any rights to repayment the Company may have under Section 304 of the Sarbanes-Oxley Act of 2002 (applicable to the Chief Executive Officer and Chief Financial Officer only) and other applicable laws.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Limited Exceptions to Recovery</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Notwithstanding the foregoing, the Committee, in its discretion, may choose to forgo recovery of Erroneously Awarded Compensation under the following circumstances, on the condition that the Committee (or a majority of the independent members of the Board) has made a determination that recovery would be impracticable because:</w:t>
      </w:r>
    </w:p>
    <w:p>
      <w:pPr>
        <w:spacing w:after="0" w:line="130" w:lineRule="exact"/>
        <w:rPr>
          <w:sz w:val="20"/>
          <w:szCs w:val="20"/>
          <w:color w:val="auto"/>
        </w:rPr>
      </w:pPr>
    </w:p>
    <w:p>
      <w:pPr>
        <w:jc w:val="both"/>
        <w:ind w:left="520" w:hanging="260"/>
        <w:spacing w:after="0" w:line="262" w:lineRule="auto"/>
        <w:tabs>
          <w:tab w:leader="none" w:pos="5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expense paid to a third party to assist in enforcing this policy would exceed the recoverable amounts, and in which case the Company has made a reasonable attempt to recover the Erroneously Awarded Compensation, has documented that attempt and has (to the extent required) provided that documentation to the Exchange; or</w:t>
      </w:r>
    </w:p>
    <w:p>
      <w:pPr>
        <w:spacing w:after="0" w:line="106" w:lineRule="exact"/>
        <w:rPr>
          <w:rFonts w:ascii="Times New Roman" w:cs="Times New Roman" w:eastAsia="Times New Roman" w:hAnsi="Times New Roman"/>
          <w:sz w:val="17"/>
          <w:szCs w:val="17"/>
          <w:color w:val="auto"/>
        </w:rPr>
      </w:pPr>
    </w:p>
    <w:p>
      <w:pPr>
        <w:ind w:left="520" w:hanging="260"/>
        <w:spacing w:after="0" w:line="229" w:lineRule="exact"/>
        <w:tabs>
          <w:tab w:leader="none" w:pos="5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likely cause an otherwise tax</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qualified retirement plan, under which benefits are broadly available to employees of the Company, to fail to meet the requirements of Section 401(a)(13) or Section 411(a) of the Internal Revenue Code of 1986.</w:t>
      </w:r>
    </w:p>
    <w:p>
      <w:pPr>
        <w:spacing w:after="0" w:line="153" w:lineRule="exact"/>
        <w:rPr>
          <w:rFonts w:ascii="Times New Roman" w:cs="Times New Roman" w:eastAsia="Times New Roman" w:hAnsi="Times New Roman"/>
          <w:sz w:val="17"/>
          <w:szCs w:val="17"/>
          <w:color w:val="auto"/>
        </w:rPr>
      </w:pPr>
    </w:p>
    <w:p>
      <w:pPr>
        <w:jc w:val="both"/>
        <w:ind w:left="520" w:hanging="260"/>
        <w:spacing w:after="0" w:line="262" w:lineRule="auto"/>
        <w:tabs>
          <w:tab w:leader="none" w:pos="5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violate home country law where that law was adopted prior to November 28, 2022. Before concluding that it would be impracticable to recover any amount of Erroneously Awarded Compensation based on violation of home country law, the Company shall obtain an opinion of home country counsel, acceptable to the Exchange, that recovery would result in such a violation, and shall provide such opinion to the Exchange.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Indemnification; No Liability</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shall not indemnify any Covered Executives against the loss of any Erroneously Awarded Compensation, nor shall the Company directly or indirectly pay or reimburse any Covered Executive for any premiums for third-party insurance policies that such Covered Executive may elect to purchase to fund such Covered Executive’s potential obligations under this Policy. None of the Company, an affiliate of the Company or any member of the Committee or the Board shall have any liability to any Covered Executive as a result of actions taken under this Policy.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826"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color w:val="auto"/>
        </w:rPr>
        <w:t>Successors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Policy shall be binding and enforceable against all Covered Executives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980"/>
          </w:cols>
          <w:pgMar w:left="300" w:top="825" w:right="619" w:bottom="1440" w:gutter="0" w:footer="0" w:header="0"/>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17"/>
          <w:szCs w:val="17"/>
          <w:color w:val="auto"/>
        </w:rPr>
        <w:t>ATTESTATION AND ACKNOWLEDGEMENT</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OF</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AMENDED AND RESTATED CLAWBACK POLICY</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my signature below, I acknowledge and agree that:</w:t>
      </w:r>
    </w:p>
    <w:p>
      <w:pPr>
        <w:spacing w:after="0" w:line="176" w:lineRule="exact"/>
        <w:rPr>
          <w:sz w:val="20"/>
          <w:szCs w:val="20"/>
          <w:color w:val="auto"/>
        </w:rPr>
      </w:pPr>
    </w:p>
    <w:p>
      <w:pPr>
        <w:ind w:left="500" w:hanging="240"/>
        <w:spacing w:after="0"/>
        <w:tabs>
          <w:tab w:leader="none" w:pos="5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received and read the attached Amended and Restated Clawback Policy (this “Policy”).</w:t>
      </w:r>
    </w:p>
    <w:p>
      <w:pPr>
        <w:spacing w:after="0" w:line="175" w:lineRule="exact"/>
        <w:rPr>
          <w:rFonts w:ascii="Times New Roman" w:cs="Times New Roman" w:eastAsia="Times New Roman" w:hAnsi="Times New Roman"/>
          <w:sz w:val="17"/>
          <w:szCs w:val="17"/>
          <w:color w:val="auto"/>
        </w:rPr>
      </w:pPr>
    </w:p>
    <w:p>
      <w:pPr>
        <w:ind w:left="520" w:hanging="260"/>
        <w:spacing w:after="0" w:line="276" w:lineRule="auto"/>
        <w:tabs>
          <w:tab w:leader="none" w:pos="5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hereby agree to abide by all of the terms of this Policy both during and after my employment with the Company, including, without limitation, by promptly repaying or returning any Erroneously Awarded Compensation or other compensation to the Company as determined in accordance with this Policy.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Signature:_________________________</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___________________________</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____________________________</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829" w:right="31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7"/>
          <w:szCs w:val="17"/>
          <w:b w:val="1"/>
          <w:bCs w:val="1"/>
          <w:color w:val="auto"/>
        </w:rPr>
        <w:t>Addendum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GXO LOGISTICS CAPITAL B.V.</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ADDENDUM TO</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CLAWBACK POLICY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GXO LOGISTICS, INC.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November 25, 2025</w:t>
      </w:r>
    </w:p>
    <w:p>
      <w:pPr>
        <w:spacing w:after="0" w:line="176"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GXO Logistics Capital B.V. (“</w:t>
      </w:r>
      <w:r>
        <w:rPr>
          <w:rFonts w:ascii="Times New Roman" w:cs="Times New Roman" w:eastAsia="Times New Roman" w:hAnsi="Times New Roman"/>
          <w:sz w:val="17"/>
          <w:szCs w:val="17"/>
          <w:u w:val="single" w:color="auto"/>
          <w:color w:val="auto"/>
        </w:rPr>
        <w:t>Subsidiary Issuer</w:t>
      </w:r>
      <w:r>
        <w:rPr>
          <w:rFonts w:ascii="Times New Roman" w:cs="Times New Roman" w:eastAsia="Times New Roman" w:hAnsi="Times New Roman"/>
          <w:sz w:val="17"/>
          <w:szCs w:val="17"/>
          <w:color w:val="auto"/>
        </w:rPr>
        <w:t>”) is a wholly owned subsidiary of GXO Logistics,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that has issued securities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 has applied to list for trading on the New York Stock Exchange, with Subsidiary Issuer’s payment obligations on such securities fully and unconditionally guaranteed by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has previously adopted the Amended and Restated Clawback Policy (the “</w:t>
      </w:r>
      <w:r>
        <w:rPr>
          <w:rFonts w:ascii="Times New Roman" w:cs="Times New Roman" w:eastAsia="Times New Roman" w:hAnsi="Times New Roman"/>
          <w:sz w:val="17"/>
          <w:szCs w:val="17"/>
          <w:u w:val="single" w:color="auto"/>
          <w:color w:val="auto"/>
        </w:rPr>
        <w:t>Policy</w:t>
      </w:r>
      <w:r>
        <w:rPr>
          <w:rFonts w:ascii="Times New Roman" w:cs="Times New Roman" w:eastAsia="Times New Roman" w:hAnsi="Times New Roman"/>
          <w:sz w:val="17"/>
          <w:szCs w:val="17"/>
          <w:color w:val="auto"/>
        </w:rPr>
        <w:t>”); and</w:t>
      </w:r>
    </w:p>
    <w:p>
      <w:pPr>
        <w:spacing w:after="0" w:line="70" w:lineRule="exact"/>
        <w:rPr>
          <w:sz w:val="20"/>
          <w:szCs w:val="20"/>
          <w:color w:val="auto"/>
        </w:rPr>
      </w:pPr>
    </w:p>
    <w:p>
      <w:pPr>
        <w:ind w:right="520"/>
        <w:spacing w:after="0" w:line="294"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Subsidiary Issuer does not have any employees, does not award compensation to any employees and does not include separate Subsidiary Issuer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statements in its filings with the U.S. Securities and Exchange Commission.</w:t>
      </w:r>
    </w:p>
    <w:p>
      <w:pPr>
        <w:spacing w:after="0" w:line="3" w:lineRule="exact"/>
        <w:rPr>
          <w:sz w:val="20"/>
          <w:szCs w:val="20"/>
          <w:color w:val="auto"/>
        </w:rPr>
      </w:pPr>
    </w:p>
    <w:p>
      <w:pPr>
        <w:jc w:val="both"/>
        <w:ind w:left="520" w:right="360" w:hanging="260"/>
        <w:spacing w:after="0" w:line="311" w:lineRule="auto"/>
        <w:tabs>
          <w:tab w:leader="none" w:pos="5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Purpose of the Policy</w:t>
      </w:r>
      <w:r>
        <w:rPr>
          <w:rFonts w:ascii="Times New Roman" w:cs="Times New Roman" w:eastAsia="Times New Roman" w:hAnsi="Times New Roman"/>
          <w:sz w:val="16"/>
          <w:szCs w:val="16"/>
          <w:color w:val="auto"/>
        </w:rPr>
        <w:t>. This Policy sets forth the terms on which Subsidiary Issuer may recover erroneously awarded compensation to Subsidiary Issuer’s executive officers. This Policy is intended to comply with Section 10D of the Exchange Act and Section 303A.14 of the NYSE Listed Company Manual.</w:t>
      </w:r>
    </w:p>
    <w:p>
      <w:pPr>
        <w:ind w:left="520" w:right="40" w:hanging="260"/>
        <w:spacing w:after="0" w:line="261" w:lineRule="auto"/>
        <w:tabs>
          <w:tab w:leader="none" w:pos="5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Adoption of the Policy</w:t>
      </w:r>
      <w:r>
        <w:rPr>
          <w:rFonts w:ascii="Times New Roman" w:cs="Times New Roman" w:eastAsia="Times New Roman" w:hAnsi="Times New Roman"/>
          <w:sz w:val="17"/>
          <w:szCs w:val="17"/>
          <w:color w:val="auto"/>
        </w:rPr>
        <w:t>. To the extent required by Section 303A.14 of the New York Stock Exchange Listed Company Manual (the “</w:t>
      </w:r>
      <w:r>
        <w:rPr>
          <w:rFonts w:ascii="Times New Roman" w:cs="Times New Roman" w:eastAsia="Times New Roman" w:hAnsi="Times New Roman"/>
          <w:sz w:val="17"/>
          <w:szCs w:val="17"/>
          <w:u w:val="single" w:color="auto"/>
          <w:color w:val="auto"/>
        </w:rPr>
        <w:t>Listing Rule</w:t>
      </w:r>
      <w:r>
        <w:rPr>
          <w:rFonts w:ascii="Times New Roman" w:cs="Times New Roman" w:eastAsia="Times New Roman" w:hAnsi="Times New Roman"/>
          <w:sz w:val="17"/>
          <w:szCs w:val="17"/>
          <w:color w:val="auto"/>
        </w:rPr>
        <w:t>”), Subsidiary Issuer has adopted the Policy, with effect from and after October 15, 2025 (the date of Subsidiary Issuer’s incorporation), solely in respect of any “incentive-based compensation” (as defined in the Listing Rule) awarded by Subsidiary Issuer (“</w:t>
      </w:r>
      <w:r>
        <w:rPr>
          <w:rFonts w:ascii="Times New Roman" w:cs="Times New Roman" w:eastAsia="Times New Roman" w:hAnsi="Times New Roman"/>
          <w:sz w:val="17"/>
          <w:szCs w:val="17"/>
          <w:u w:val="single" w:color="auto"/>
          <w:color w:val="auto"/>
        </w:rPr>
        <w:t>Subsidiary Issuer Incentive-Based Compensation</w:t>
      </w:r>
      <w:r>
        <w:rPr>
          <w:rFonts w:ascii="Times New Roman" w:cs="Times New Roman" w:eastAsia="Times New Roman" w:hAnsi="Times New Roman"/>
          <w:sz w:val="17"/>
          <w:szCs w:val="17"/>
          <w:color w:val="auto"/>
        </w:rPr>
        <w:t>”) to its “executive officers” (as defined in the Listing Rule), if any, that is “received” (as defined in the Listing Rule), on or after October 15, 2025.</w:t>
      </w:r>
    </w:p>
    <w:p>
      <w:pPr>
        <w:spacing w:after="0" w:line="36" w:lineRule="exact"/>
        <w:rPr>
          <w:rFonts w:ascii="Times New Roman" w:cs="Times New Roman" w:eastAsia="Times New Roman" w:hAnsi="Times New Roman"/>
          <w:sz w:val="17"/>
          <w:szCs w:val="17"/>
          <w:color w:val="auto"/>
        </w:rPr>
      </w:pPr>
    </w:p>
    <w:p>
      <w:pPr>
        <w:ind w:left="520" w:right="140" w:hanging="260"/>
        <w:spacing w:after="0" w:line="259" w:lineRule="auto"/>
        <w:tabs>
          <w:tab w:leader="none" w:pos="5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Recovery Under the Policy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n the event that Subsidiary Issuer is required to restate its financial statements due to material noncompliance of Subsidiary Issuer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Subsidiary Issuer shall reasonably promptly recover any Subsidiary Issuer Incentive-Based Compensation that is required to be recovered under the Listing Rule and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sectPr>
      <w:pgSz w:w="11900" w:h="16838" w:orient="portrait"/>
      <w:cols w:equalWidth="0" w:num="1">
        <w:col w:w="11280"/>
      </w:cols>
      <w:pgMar w:left="300" w:top="82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5"/>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lvl w:ilvl="1">
      <w:lvlJc w:val="left"/>
      <w:lvlText w:val="(%2)"/>
      <w:numFmt w:val="lowerLetter"/>
      <w:start w:val="1"/>
    </w:lvl>
  </w:abstractNum>
  <w:abstractNum w:abstractNumId="21">
    <w:nsid w:val="189A769B"/>
    <w:multiLevelType w:val="hybridMultilevel"/>
    <w:lvl w:ilvl="0">
      <w:lvlJc w:val="left"/>
      <w:lvlText w:val="%1."/>
      <w:numFmt w:val="decimal"/>
      <w:start w:val="1"/>
    </w:lvl>
    <w:lvl w:ilvl="1">
      <w:lvlJc w:val="left"/>
      <w:lvlText w:val="(%2)"/>
      <w:numFmt w:val="lowerLetter"/>
      <w:start w:val="1"/>
    </w:lvl>
  </w:abstractNum>
  <w:abstractNum w:abstractNumId="22">
    <w:nsid w:val="54E49EB4"/>
    <w:multiLevelType w:val="hybridMultilevel"/>
    <w:lvl w:ilvl="0">
      <w:lvlJc w:val="left"/>
      <w:lvlText w:val="(%1)"/>
      <w:numFmt w:val="lowerRoman"/>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24" Type="http://schemas.openxmlformats.org/officeDocument/2006/relationships/image" Target="media/image104.png"/><Relationship Id="rId142" Type="http://schemas.openxmlformats.org/officeDocument/2006/relationships/image" Target="media/image105.png"/><Relationship Id="rId160" Type="http://schemas.openxmlformats.org/officeDocument/2006/relationships/image" Target="media/image106.png"/><Relationship Id="rId165" Type="http://schemas.openxmlformats.org/officeDocument/2006/relationships/image" Target="media/image107.png"/><Relationship Id="rId166" Type="http://schemas.openxmlformats.org/officeDocument/2006/relationships/image" Target="media/image108.png"/><Relationship Id="rId167" Type="http://schemas.openxmlformats.org/officeDocument/2006/relationships/image" Target="media/image109.png"/><Relationship Id="rId168" Type="http://schemas.openxmlformats.org/officeDocument/2006/relationships/image" Target="media/image110.png"/><Relationship Id="rId169" Type="http://schemas.openxmlformats.org/officeDocument/2006/relationships/image" Target="media/image111.png"/><Relationship Id="rId170" Type="http://schemas.openxmlformats.org/officeDocument/2006/relationships/image" Target="media/image112.png"/><Relationship Id="rId171" Type="http://schemas.openxmlformats.org/officeDocument/2006/relationships/image" Target="media/image113.png"/><Relationship Id="rId172" Type="http://schemas.openxmlformats.org/officeDocument/2006/relationships/image" Target="media/image114.png"/><Relationship Id="rId173" Type="http://schemas.openxmlformats.org/officeDocument/2006/relationships/image" Target="media/image115.png"/><Relationship Id="rId174" Type="http://schemas.openxmlformats.org/officeDocument/2006/relationships/image" Target="media/image116.png"/><Relationship Id="rId175" Type="http://schemas.openxmlformats.org/officeDocument/2006/relationships/image" Target="media/image117.png"/><Relationship Id="rId176" Type="http://schemas.openxmlformats.org/officeDocument/2006/relationships/image" Target="media/image118.png"/><Relationship Id="rId177" Type="http://schemas.openxmlformats.org/officeDocument/2006/relationships/image" Target="media/image119.png"/><Relationship Id="rId178" Type="http://schemas.openxmlformats.org/officeDocument/2006/relationships/image" Target="media/image120.png"/><Relationship Id="rId179" Type="http://schemas.openxmlformats.org/officeDocument/2006/relationships/image" Target="media/image121.png"/><Relationship Id="rId180" Type="http://schemas.openxmlformats.org/officeDocument/2006/relationships/image" Target="media/image122.png"/><Relationship Id="rId181" Type="http://schemas.openxmlformats.org/officeDocument/2006/relationships/image" Target="media/image123.png"/><Relationship Id="rId182" Type="http://schemas.openxmlformats.org/officeDocument/2006/relationships/image" Target="media/image124.png"/><Relationship Id="rId183" Type="http://schemas.openxmlformats.org/officeDocument/2006/relationships/image" Target="media/image125.png"/><Relationship Id="rId184" Type="http://schemas.openxmlformats.org/officeDocument/2006/relationships/image" Target="media/image126.png"/><Relationship Id="rId185" Type="http://schemas.openxmlformats.org/officeDocument/2006/relationships/image" Target="media/image127.png"/><Relationship Id="rId186" Type="http://schemas.openxmlformats.org/officeDocument/2006/relationships/image" Target="media/image128.png"/><Relationship Id="rId187" Type="http://schemas.openxmlformats.org/officeDocument/2006/relationships/image" Target="media/image129.png"/><Relationship Id="rId188" Type="http://schemas.openxmlformats.org/officeDocument/2006/relationships/image" Target="media/image130.png"/><Relationship Id="rId189" Type="http://schemas.openxmlformats.org/officeDocument/2006/relationships/image" Target="media/image131.png"/><Relationship Id="rId190" Type="http://schemas.openxmlformats.org/officeDocument/2006/relationships/image" Target="media/image132.png"/><Relationship Id="rId191" Type="http://schemas.openxmlformats.org/officeDocument/2006/relationships/image" Target="media/image133.png"/><Relationship Id="rId192" Type="http://schemas.openxmlformats.org/officeDocument/2006/relationships/image" Target="media/image134.png"/><Relationship Id="rId193" Type="http://schemas.openxmlformats.org/officeDocument/2006/relationships/image" Target="media/image135.png"/><Relationship Id="rId194"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202"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png"/><Relationship Id="rId215"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219" Type="http://schemas.openxmlformats.org/officeDocument/2006/relationships/image" Target="media/image161.png"/><Relationship Id="rId220" Type="http://schemas.openxmlformats.org/officeDocument/2006/relationships/image" Target="media/image162.png"/><Relationship Id="rId221" Type="http://schemas.openxmlformats.org/officeDocument/2006/relationships/image" Target="media/image163.png"/><Relationship Id="rId35" Type="http://schemas.openxmlformats.org/officeDocument/2006/relationships/hyperlink" Target="https://www.sec.gov/ix?doc=/Archives/edgar/data/0001852244/000185224425000007/gxo-20241231.htm#ifbd4faa94cd5424aa207bd4c794286b3_46" TargetMode="External"/><Relationship Id="rId112" Type="http://schemas.openxmlformats.org/officeDocument/2006/relationships/hyperlink" Target="https://www.sec.gov/Archives/edgar/data/0001852244/000162828021015181/exhibit21-form8xkgxoxpo.htm" TargetMode="External"/><Relationship Id="rId113" Type="http://schemas.openxmlformats.org/officeDocument/2006/relationships/hyperlink" Target="https://www.sec.gov/Archives/edgar/data/1852244/000110465924029127/tm247575d1_ex2-1.htm" TargetMode="External"/><Relationship Id="rId114" Type="http://schemas.openxmlformats.org/officeDocument/2006/relationships/hyperlink" Target="https://www.sec.gov/Archives/edgar/data/0001852244/000162828021015181/exhibit31-8xkgxo.htm" TargetMode="External"/><Relationship Id="rId115" Type="http://schemas.openxmlformats.org/officeDocument/2006/relationships/hyperlink" Target="https://www.sec.gov/Archives/edgar/data/1852244/000185224424000022/certificateofamendment-gxo.htm" TargetMode="External"/><Relationship Id="rId116" Type="http://schemas.openxmlformats.org/officeDocument/2006/relationships/hyperlink" Target="https://www.sec.gov/Archives/edgar/data/0001852244/000162828021015181/exhibit32-8xkgxo.htm" TargetMode="External"/><Relationship Id="rId117" Type="http://schemas.openxmlformats.org/officeDocument/2006/relationships/hyperlink" Target="https://www.sec.gov/Archives/edgar/data/1852244/000162828021013619/exhibit41-form10a.htm" TargetMode="External"/><Relationship Id="rId118" Type="http://schemas.openxmlformats.org/officeDocument/2006/relationships/hyperlink" Target="https://www.sec.gov/Archives/edgar/data/1852244/000162828021013619/exhibit42-form10a.htm" TargetMode="External"/><Relationship Id="rId119" Type="http://schemas.openxmlformats.org/officeDocument/2006/relationships/hyperlink" Target="https://www.sec.gov/Archives/edgar/data/1852244/000110465924057479/tm2413514d1_ex4-2.htm" TargetMode="External"/><Relationship Id="rId120" Type="http://schemas.openxmlformats.org/officeDocument/2006/relationships/hyperlink" Target="https://www.sec.gov/Archives/edgar/data/1852244/000110465925115447/tm2531869d1_ex4-4.htm" TargetMode="External"/><Relationship Id="rId121" Type="http://schemas.openxmlformats.org/officeDocument/2006/relationships/hyperlink" Target="https://www.sec.gov/Archives/edgar/data/1852244/000110465925115447/tm2531869d1_ex4-1.htm" TargetMode="External"/><Relationship Id="rId122" Type="http://schemas.openxmlformats.org/officeDocument/2006/relationships/hyperlink" Target="https://www.sec.gov/Archives/edgar/data/1852244/000110465925115447/tm2531869d1_ex4-2.htm" TargetMode="External"/><Relationship Id="rId123" Type="http://schemas.openxmlformats.org/officeDocument/2006/relationships/hyperlink" Target="https://www.sec.gov/Archives/edgar/data/0001852244/000110465921122086/tm2127876d1_ex4-1.htm" TargetMode="External"/><Relationship Id="rId125" Type="http://schemas.openxmlformats.org/officeDocument/2006/relationships/hyperlink" Target="https://www.sec.gov/Archives/edgar/data/1852244/000185224422000010/descriptionofsecurities.htm" TargetMode="External"/><Relationship Id="rId126" Type="http://schemas.openxmlformats.org/officeDocument/2006/relationships/hyperlink" Target="https://www.sec.gov/Archives/edgar/data/0001852244/000162828021015181/exhibit102-form8xkgxoxpo.htm" TargetMode="External"/><Relationship Id="rId127" Type="http://schemas.openxmlformats.org/officeDocument/2006/relationships/hyperlink" Target="https://www.sec.gov/Archives/edgar/data/0001852244/000162828021015181/exhibit103-form8kgxoxpo.htm" TargetMode="External"/><Relationship Id="rId128" Type="http://schemas.openxmlformats.org/officeDocument/2006/relationships/hyperlink" Target="https://www.sec.gov/Archives/edgar/data/0001852244/000162828021015181/exhibit104-form8xkgxoxpo.htm" TargetMode="External"/><Relationship Id="rId129" Type="http://schemas.openxmlformats.org/officeDocument/2006/relationships/hyperlink" Target="https://www.sec.gov/Archives/edgar/data/1852244/000110465922065355/tm2216926d1_ex10-1.htm" TargetMode="External"/><Relationship Id="rId130" Type="http://schemas.openxmlformats.org/officeDocument/2006/relationships/hyperlink" Target="https://www.sec.gov/Archives/edgar/data/1852244/000110465925115447/tm2531869d1_ex10-1.htm" TargetMode="External"/><Relationship Id="rId131" Type="http://schemas.openxmlformats.org/officeDocument/2006/relationships/hyperlink" Target="https://www.sec.gov/Archives/edgar/data/1852244/000110465924041819/tm2410290d1_ex10-1.htm" TargetMode="External"/><Relationship Id="rId132" Type="http://schemas.openxmlformats.org/officeDocument/2006/relationships/hyperlink" Target="https://www.sec.gov/Archives/edgar/data/1852244/000110465924041819/tm2410290d1_ex10-2.htm" TargetMode="External"/><Relationship Id="rId133" Type="http://schemas.openxmlformats.org/officeDocument/2006/relationships/hyperlink" Target="https://www.sec.gov/Archives/edgar/data/1852244/000110465925115447/tm2531869d1_ex10-2.htm" TargetMode="External"/><Relationship Id="rId134" Type="http://schemas.openxmlformats.org/officeDocument/2006/relationships/hyperlink" Target="https://www.sec.gov/Archives/edgar/data/0001852244/000162828021011851/exhibit102-form10.htm" TargetMode="External"/><Relationship Id="rId135" Type="http://schemas.openxmlformats.org/officeDocument/2006/relationships/hyperlink" Target="https://www.sec.gov/Archives/edgar/data/0001852244/000162828021015181/exhibit105-form8xkgxo.htm" TargetMode="External"/><Relationship Id="rId136" Type="http://schemas.openxmlformats.org/officeDocument/2006/relationships/hyperlink" Target="https://www.sec.gov/Archives/edgar/data/0001852244/000162828021015181/exhibit106-form8xkgxo.htm" TargetMode="External"/><Relationship Id="rId137" Type="http://schemas.openxmlformats.org/officeDocument/2006/relationships/hyperlink" Target="https://www.sec.gov/Archives/edgar/data/0001852244/000162828021015181/exhibit107-form8xkgxo.htm" TargetMode="External"/><Relationship Id="rId138" Type="http://schemas.openxmlformats.org/officeDocument/2006/relationships/hyperlink" Target="https://www.sec.gov/Archives/edgar/data/1852244/000185224421000007/gxo-formofdirectorrsuagree.htm" TargetMode="External"/><Relationship Id="rId139" Type="http://schemas.openxmlformats.org/officeDocument/2006/relationships/hyperlink" Target="https://www.sec.gov/Archives/edgar/data/1852244/000185224421000007/gxo-formofrsuagreement.htm" TargetMode="External"/><Relationship Id="rId140" Type="http://schemas.openxmlformats.org/officeDocument/2006/relationships/hyperlink" Target="https://www.sec.gov/Archives/edgar/data/1852244/000185224422000020/gxoformrsuagreement.htm" TargetMode="External"/><Relationship Id="rId141" Type="http://schemas.openxmlformats.org/officeDocument/2006/relationships/hyperlink" Target="https://www.sec.gov/Archives/edgar/data/1852244/000185224422000020/gxoformpsuagreement.htm" TargetMode="External"/><Relationship Id="rId143" Type="http://schemas.openxmlformats.org/officeDocument/2006/relationships/hyperlink" Target="https://www.sec.gov/Archives/edgar/data/1852244/000185224424000014/gxoform2024specialpsuagree.htm" TargetMode="External"/><Relationship Id="rId144" Type="http://schemas.openxmlformats.org/officeDocument/2006/relationships/hyperlink" Target="https://www.sec.gov/Archives/edgar/data/1852244/000185224425000007/exhibit1024.htm" TargetMode="External"/><Relationship Id="rId145" Type="http://schemas.openxmlformats.org/officeDocument/2006/relationships/hyperlink" Target="https://www.sec.gov/Archives/edgar/data/1852244/000185224425000027/gxologistics-2025rsuagreem.htm" TargetMode="External"/><Relationship Id="rId146" Type="http://schemas.openxmlformats.org/officeDocument/2006/relationships/hyperlink" Target="https://www.sec.gov/Archives/edgar/data/1852244/000185224425000027/gxologistics-2025psuagreem.htm" TargetMode="External"/><Relationship Id="rId147" Type="http://schemas.openxmlformats.org/officeDocument/2006/relationships/hyperlink" Target="https://www.sec.gov/Archives/edgar/data/1852244/000185224425000108/gxologistics-2025psuagreem.htm" TargetMode="External"/><Relationship Id="rId148" Type="http://schemas.openxmlformats.org/officeDocument/2006/relationships/hyperlink" Target="https://www.sec.gov/Archives/edgar/data/1852244/000110465925060942/tm2518398d1_ex10-1.htm" TargetMode="External"/><Relationship Id="rId149" Type="http://schemas.openxmlformats.org/officeDocument/2006/relationships/hyperlink" Target="https://www.sec.gov/Archives/edgar/data/0001852244/000162828021011851/exhibit107-form10.htm" TargetMode="External"/><Relationship Id="rId150" Type="http://schemas.openxmlformats.org/officeDocument/2006/relationships/hyperlink" Target="https://www.sec.gov/Archives/edgar/data/0001852244/000162828021011851/exhibit108-form10.htm" TargetMode="External"/><Relationship Id="rId151" Type="http://schemas.openxmlformats.org/officeDocument/2006/relationships/hyperlink" Target="https://www.sec.gov/Archives/edgar/data/1852244/000185224425000007/complete_withxdocusignxg.htm" TargetMode="External"/><Relationship Id="rId152" Type="http://schemas.openxmlformats.org/officeDocument/2006/relationships/hyperlink" Target="https://www.sec.gov/Archives/edgar/data/1852244/000162828021013885/exhibit1016-form10a2.htm" TargetMode="External"/><Relationship Id="rId153" Type="http://schemas.openxmlformats.org/officeDocument/2006/relationships/hyperlink" Target="https://www.sec.gov/Archives/edgar/data/1852244/000162828021013885/exhibit1014-form10a2.htm" TargetMode="External"/><Relationship Id="rId154" Type="http://schemas.openxmlformats.org/officeDocument/2006/relationships/hyperlink" Target="https://www.sec.gov/Archives/edgar/data/1852244/000162828021013885/exhibit1015-form10a2.htm" TargetMode="External"/><Relationship Id="rId155" Type="http://schemas.openxmlformats.org/officeDocument/2006/relationships/hyperlink" Target="https://www.sec.gov/Archives/edgar/data/0001852244/000162828021011851/exhibit109-form10.htm" TargetMode="External"/><Relationship Id="rId156" Type="http://schemas.openxmlformats.org/officeDocument/2006/relationships/hyperlink" Target="https://www.sec.gov/Archives/edgar/data/1852244/000185224425000108/gxo-separationagreementx.htm" TargetMode="External"/><Relationship Id="rId157" Type="http://schemas.openxmlformats.org/officeDocument/2006/relationships/hyperlink" Target="https://www.sec.gov/Archives/edgar/data/1852244/000185224421000007/offerletterbetweengxologis.htm" TargetMode="External"/><Relationship Id="rId158" Type="http://schemas.openxmlformats.org/officeDocument/2006/relationships/hyperlink" Target="https://www.sec.gov/Archives/edgar/data/1852244/000185224424000007/cawstonrichard_ukofferle.htm" TargetMode="External"/><Relationship Id="rId159" Type="http://schemas.openxmlformats.org/officeDocument/2006/relationships/hyperlink" Target="https://www.sec.gov/Archives/edgar/data/1852244/000185224424000007/cawstonrichard_xpoxgxouk.htm" TargetMode="External"/><Relationship Id="rId161" Type="http://schemas.openxmlformats.org/officeDocument/2006/relationships/hyperlink" Target="https://www.sec.gov/Archives/edgar/data/1852244/000185224424000028/gxo-offerletterbetweenco.htm" TargetMode="External"/><Relationship Id="rId162" Type="http://schemas.openxmlformats.org/officeDocument/2006/relationships/hyperlink" Target="https://www.sec.gov/Archives/edgar/data/1852244/000185224424000028/a2024-02x23gxoserviceagr.htm" TargetMode="External"/><Relationship Id="rId163" Type="http://schemas.openxmlformats.org/officeDocument/2006/relationships/hyperlink" Target="https://www.sec.gov/Archives/edgar/data/1852244/000185224424000028/pensiontopupletterbetwee.htm" TargetMode="External"/><Relationship Id="rId164" Type="http://schemas.openxmlformats.org/officeDocument/2006/relationships/hyperlink" Target="https://www.sec.gov/Archives/edgar/data/1852244/000185224424000028/corinnarefsgaard-gxoag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2026-02-25T16:36:17Z</dcterms:created>
  <dcterms:modified xsi:type="dcterms:W3CDTF">2026-02-25T16:36:17Z</dcterms:modified>
</cp:coreProperties>
</file>