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481893.xml.htm"/>
      <w:bookmarkStart w:id="1" w:name="kswkform4_17794818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Wismans Kyle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GXO LOGISTICS,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AMERICAN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GXO Logistics, Inc.</w:t>
              </w:r>
            </w:hyperlink>
            <w:r>
              <w:rPr/>
              <w:t xml:space="preserve"> [ </w:t>
            </w:r>
            <w:r>
              <w:rPr>
                <w:rFonts w:ascii="Times;serif" w:hAnsi="Times;serif"/>
                <w:color w:val="0000FF"/>
                <w:sz w:val="24"/>
                <w:shd w:fill="FFFFFF" w:val="clear"/>
              </w:rPr>
              <w:t>GXO</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05/20/2026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3,837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3,837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either (i) one share of GXO Logistics, Inc. ("GXO") common stock, par value $0.01 per share ("GXO Common Stock"), or (ii) a cash payment equal to the fair market value of one share of GXO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shall vest on the earlier of (i) May 20, 2027 and (ii) the date of the next annual meeting of stockholders (the "Vesting Date"), provided that the Reporting Person continues to serve as a member of the Board of Directors of GXO through and until the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Karlis P. Kirsis,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7257" TargetMode="External"/><Relationship Id="rId5" Type="http://schemas.openxmlformats.org/officeDocument/2006/relationships/hyperlink" Target="http://www.sec.gov/cgi-bin/browse-edgar?action=getcompany&amp;CIK=00018522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667</Words>
  <Characters>3538</Characters>
  <CharactersWithSpaces>4141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