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30, 2021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GXO LOGISTICS,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jc w:val="center"/>
              <w:ind w:right="830"/>
              <w:spacing w:after="0"/>
              <w:rPr>
                <w:sz w:val="20"/>
                <w:szCs w:val="20"/>
                <w:color w:val="auto"/>
              </w:rPr>
            </w:pPr>
            <w:r>
              <w:rPr>
                <w:rFonts w:ascii="Arial" w:cs="Arial" w:eastAsia="Arial" w:hAnsi="Arial"/>
                <w:sz w:val="18"/>
                <w:szCs w:val="18"/>
                <w:color w:val="auto"/>
                <w:w w:val="92"/>
              </w:rPr>
              <w:t>Delaware</w:t>
            </w:r>
          </w:p>
        </w:tc>
        <w:tc>
          <w:tcPr>
            <w:tcW w:w="2820" w:type="dxa"/>
            <w:vAlign w:val="bottom"/>
            <w:gridSpan w:val="3"/>
          </w:tcPr>
          <w:p>
            <w:pPr>
              <w:jc w:val="right"/>
              <w:ind w:right="1340"/>
              <w:spacing w:after="0"/>
              <w:rPr>
                <w:sz w:val="20"/>
                <w:szCs w:val="20"/>
                <w:color w:val="auto"/>
              </w:rPr>
            </w:pPr>
            <w:r>
              <w:rPr>
                <w:rFonts w:ascii="Arial" w:cs="Arial" w:eastAsia="Arial" w:hAnsi="Arial"/>
                <w:sz w:val="18"/>
                <w:szCs w:val="18"/>
                <w:color w:val="auto"/>
              </w:rPr>
              <w:t>001-40470</w:t>
            </w:r>
          </w:p>
        </w:tc>
        <w:tc>
          <w:tcPr>
            <w:tcW w:w="3880" w:type="dxa"/>
            <w:vAlign w:val="bottom"/>
          </w:tcPr>
          <w:p>
            <w:pPr>
              <w:jc w:val="center"/>
              <w:ind w:left="190"/>
              <w:spacing w:after="0"/>
              <w:rPr>
                <w:sz w:val="20"/>
                <w:szCs w:val="20"/>
                <w:color w:val="auto"/>
              </w:rPr>
            </w:pPr>
            <w:r>
              <w:rPr>
                <w:rFonts w:ascii="Arial" w:cs="Arial" w:eastAsia="Arial" w:hAnsi="Arial"/>
                <w:sz w:val="18"/>
                <w:szCs w:val="18"/>
                <w:color w:val="auto"/>
                <w:w w:val="91"/>
              </w:rPr>
              <w:t>86-2098312</w:t>
            </w:r>
          </w:p>
        </w:tc>
      </w:tr>
      <w:tr>
        <w:trPr>
          <w:trHeight w:val="216"/>
        </w:trPr>
        <w:tc>
          <w:tcPr>
            <w:tcW w:w="4540" w:type="dxa"/>
            <w:vAlign w:val="bottom"/>
          </w:tcPr>
          <w:p>
            <w:pPr>
              <w:jc w:val="center"/>
              <w:ind w:right="830"/>
              <w:spacing w:after="0"/>
              <w:rPr>
                <w:sz w:val="20"/>
                <w:szCs w:val="20"/>
                <w:color w:val="auto"/>
              </w:rPr>
            </w:pPr>
            <w:r>
              <w:rPr>
                <w:rFonts w:ascii="Arial" w:cs="Arial" w:eastAsia="Arial" w:hAnsi="Arial"/>
                <w:sz w:val="18"/>
                <w:szCs w:val="18"/>
                <w:color w:val="auto"/>
                <w:w w:val="93"/>
              </w:rPr>
              <w:t>(State or other jurisdiction of</w:t>
            </w:r>
          </w:p>
        </w:tc>
        <w:tc>
          <w:tcPr>
            <w:tcW w:w="2820" w:type="dxa"/>
            <w:vAlign w:val="bottom"/>
            <w:gridSpan w:val="3"/>
          </w:tcPr>
          <w:p>
            <w:pPr>
              <w:jc w:val="center"/>
              <w:ind w:right="620"/>
              <w:spacing w:after="0"/>
              <w:rPr>
                <w:sz w:val="20"/>
                <w:szCs w:val="20"/>
                <w:color w:val="auto"/>
              </w:rPr>
            </w:pPr>
            <w:r>
              <w:rPr>
                <w:rFonts w:ascii="Arial" w:cs="Arial" w:eastAsia="Arial" w:hAnsi="Arial"/>
                <w:sz w:val="18"/>
                <w:szCs w:val="18"/>
                <w:color w:val="auto"/>
                <w:w w:val="93"/>
              </w:rPr>
              <w:t>(Commission File Number)</w:t>
            </w:r>
          </w:p>
        </w:tc>
        <w:tc>
          <w:tcPr>
            <w:tcW w:w="388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4540" w:type="dxa"/>
            <w:vAlign w:val="bottom"/>
          </w:tcPr>
          <w:p>
            <w:pPr>
              <w:jc w:val="center"/>
              <w:ind w:right="830"/>
              <w:spacing w:after="0"/>
              <w:rPr>
                <w:sz w:val="20"/>
                <w:szCs w:val="20"/>
                <w:color w:val="auto"/>
              </w:rPr>
            </w:pPr>
            <w:r>
              <w:rPr>
                <w:rFonts w:ascii="Arial" w:cs="Arial" w:eastAsia="Arial" w:hAnsi="Arial"/>
                <w:sz w:val="18"/>
                <w:szCs w:val="18"/>
                <w:color w:val="auto"/>
                <w:w w:val="92"/>
              </w:rPr>
              <w:t>incorporation)</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80" w:type="dxa"/>
            <w:vAlign w:val="bottom"/>
          </w:tcPr>
          <w:p>
            <w:pPr>
              <w:jc w:val="center"/>
              <w:ind w:left="2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54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color w:val="auto"/>
                <w:w w:val="91"/>
              </w:rPr>
              <w:t>Two American Lane, Greenwich, Connecticut</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06831</w:t>
            </w:r>
          </w:p>
        </w:tc>
      </w:tr>
      <w:tr>
        <w:trPr>
          <w:trHeight w:val="224"/>
        </w:trPr>
        <w:tc>
          <w:tcPr>
            <w:tcW w:w="4540" w:type="dxa"/>
            <w:vAlign w:val="bottom"/>
          </w:tcPr>
          <w:p>
            <w:pPr>
              <w:jc w:val="center"/>
              <w:ind w:left="890"/>
              <w:spacing w:after="0"/>
              <w:rPr>
                <w:sz w:val="20"/>
                <w:szCs w:val="20"/>
                <w:color w:val="auto"/>
              </w:rPr>
            </w:pPr>
            <w:r>
              <w:rPr>
                <w:rFonts w:ascii="Arial" w:cs="Arial" w:eastAsia="Arial" w:hAnsi="Arial"/>
                <w:sz w:val="18"/>
                <w:szCs w:val="18"/>
                <w:color w:val="auto"/>
                <w:w w:val="92"/>
              </w:rPr>
              <w:t>(Address of principal executive offices)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80" w:type="dxa"/>
            <w:vAlign w:val="bottom"/>
          </w:tcPr>
          <w:p>
            <w:pPr>
              <w:jc w:val="center"/>
              <w:ind w:right="15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(203) 489-1287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2"/>
        </w:trPr>
        <w:tc>
          <w:tcPr>
            <w:tcW w:w="1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Pr>
          <w:p>
            <w:pPr>
              <w:spacing w:after="0"/>
              <w:rPr>
                <w:sz w:val="24"/>
                <w:szCs w:val="24"/>
                <w:color w:val="auto"/>
              </w:rPr>
            </w:pPr>
          </w:p>
        </w:tc>
        <w:tc>
          <w:tcPr>
            <w:tcW w:w="252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453"/>
        </w:trPr>
        <w:tc>
          <w:tcPr>
            <w:tcW w:w="456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Common stock, par value $0.01 per share</w:t>
            </w:r>
          </w:p>
        </w:tc>
        <w:tc>
          <w:tcPr>
            <w:tcW w:w="400" w:type="dxa"/>
            <w:vAlign w:val="bottom"/>
          </w:tcPr>
          <w:p>
            <w:pPr>
              <w:spacing w:after="0"/>
              <w:rPr>
                <w:sz w:val="24"/>
                <w:szCs w:val="24"/>
                <w:color w:val="auto"/>
              </w:rPr>
            </w:pPr>
          </w:p>
        </w:tc>
        <w:tc>
          <w:tcPr>
            <w:tcW w:w="212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GXO</w:t>
            </w:r>
          </w:p>
        </w:tc>
        <w:tc>
          <w:tcPr>
            <w:tcW w:w="78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1" w:name="page2"/>
    <w:bookmarkEnd w:id="1"/>
    <w:p>
      <w:pPr>
        <w:ind w:left="1260" w:hanging="1241"/>
        <w:spacing w:after="0" w:line="282" w:lineRule="auto"/>
        <w:tabs>
          <w:tab w:leader="none" w:pos="1240" w:val="left"/>
        </w:tabs>
        <w:rPr>
          <w:sz w:val="20"/>
          <w:szCs w:val="20"/>
          <w:color w:val="auto"/>
        </w:rPr>
      </w:pPr>
      <w:r>
        <w:rPr>
          <w:rFonts w:ascii="Arial" w:cs="Arial" w:eastAsia="Arial" w:hAnsi="Arial"/>
          <w:sz w:val="18"/>
          <w:szCs w:val="18"/>
          <w:b w:val="1"/>
          <w:bCs w:val="1"/>
          <w:color w:val="212529"/>
        </w:rPr>
        <w:t>Item 5.02.</w:t>
      </w:r>
      <w:r>
        <w:rPr>
          <w:sz w:val="20"/>
          <w:szCs w:val="20"/>
          <w:color w:val="auto"/>
        </w:rPr>
        <w:tab/>
      </w:r>
      <w:r>
        <w:rPr>
          <w:rFonts w:ascii="Arial" w:cs="Arial" w:eastAsia="Arial" w:hAnsi="Arial"/>
          <w:sz w:val="18"/>
          <w:szCs w:val="18"/>
          <w:b w:val="1"/>
          <w:bCs w:val="1"/>
          <w:color w:val="212529"/>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On December 30, 2021, the Compensation Committee ("Committee") of the Board of Directors of GXO Logistics, Inc. (the “Company”) approved special one-time cash bonuses to the executive officers of the Company in respect of their individual contributions to the Company's successful spin-off from XPO Logistics, Inc. on August 2, 2021 (the "Spin-Off Bonuses"). The Committee approved the payment of individual Spin-Off Bonuses to</w:t>
      </w:r>
    </w:p>
    <w:p>
      <w:pPr>
        <w:spacing w:after="0" w:line="2" w:lineRule="exact"/>
        <w:rPr>
          <w:sz w:val="20"/>
          <w:szCs w:val="20"/>
          <w:color w:val="auto"/>
        </w:rPr>
      </w:pPr>
    </w:p>
    <w:p>
      <w:pPr>
        <w:ind w:right="220" w:firstLine="8"/>
        <w:spacing w:after="0" w:line="253"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Malcom Wilson, the Company's Chief Executive Officer, in the amount of $1,500,000, (ii) Baris Oran, the Company's Chief Financial Officer, in the amount of $750,000, (iii) Maryclaire Hammond, the Company's Chief Human Resources Officer, in the amount of $350,000, (iv) Elizabeth Fogarty, the Company's Chief Communications Officer, in the amount of $100,000, and (v) Karlis Kirsis, the Company's Chief Legal Officer, in the amount of $500,000. The Spin-Off Bonuses are scheduled to be paid by January 14, 2022 in U.S. dollars, except for the payments to Messrs. Wilson and Kirsis and Ms. Hammond which will be paid in British pounds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January 5, 2022</w:t>
      </w:r>
      <w:r>
        <w:rPr>
          <w:sz w:val="20"/>
          <w:szCs w:val="20"/>
          <w:color w:val="auto"/>
        </w:rPr>
        <w:tab/>
      </w:r>
      <w:r>
        <w:rPr>
          <w:rFonts w:ascii="Arial" w:cs="Arial" w:eastAsia="Arial" w:hAnsi="Arial"/>
          <w:sz w:val="18"/>
          <w:szCs w:val="18"/>
          <w:b w:val="1"/>
          <w:bCs w:val="1"/>
          <w:color w:val="auto"/>
        </w:rPr>
        <w:t>GXO LOGISTICS,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Baris Oran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2022-01-05T16:17:22Z</dcterms:created>
  <dcterms:modified xsi:type="dcterms:W3CDTF">2022-01-05T16:17:22Z</dcterms:modified>
</cp:coreProperties>
</file>