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19, 2021.</w:t>
      </w:r>
    </w:p>
    <w:p>
      <w:pPr>
        <w:spacing w:after="0" w:line="17" w:lineRule="exact"/>
        <w:rPr>
          <w:sz w:val="24"/>
          <w:szCs w:val="24"/>
          <w:color w:val="auto"/>
        </w:rPr>
      </w:pPr>
    </w:p>
    <w:p>
      <w:pPr>
        <w:ind w:left="9820"/>
        <w:spacing w:after="0"/>
        <w:rPr>
          <w:sz w:val="20"/>
          <w:szCs w:val="20"/>
          <w:color w:val="auto"/>
        </w:rPr>
      </w:pPr>
      <w:r>
        <w:rPr>
          <w:rFonts w:ascii="Arial" w:cs="Arial" w:eastAsia="Arial" w:hAnsi="Arial"/>
          <w:sz w:val="14"/>
          <w:szCs w:val="14"/>
          <w:b w:val="1"/>
          <w:bCs w:val="1"/>
          <w:color w:val="auto"/>
        </w:rPr>
        <w:t>File No. 001-40470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177165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08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540" w:type="dxa"/>
        <w:tblCellMar>
          <w:top w:w="0" w:type="dxa"/>
          <w:left w:w="0" w:type="dxa"/>
          <w:bottom w:w="0" w:type="dxa"/>
          <w:right w:w="0" w:type="dxa"/>
        </w:tblCellMar>
      </w:tblPr>
      <w:tr>
        <w:trPr>
          <w:trHeight w:val="443"/>
        </w:trPr>
        <w:tc>
          <w:tcPr>
            <w:tcW w:w="6040" w:type="dxa"/>
            <w:vAlign w:val="bottom"/>
            <w:gridSpan w:val="3"/>
          </w:tcPr>
          <w:p>
            <w:pPr>
              <w:jc w:val="center"/>
              <w:ind w:left="2026"/>
              <w:spacing w:after="0"/>
              <w:rPr>
                <w:sz w:val="20"/>
                <w:szCs w:val="20"/>
                <w:color w:val="auto"/>
              </w:rPr>
            </w:pPr>
            <w:r>
              <w:rPr>
                <w:rFonts w:ascii="Arial" w:cs="Arial" w:eastAsia="Arial" w:hAnsi="Arial"/>
                <w:sz w:val="36"/>
                <w:szCs w:val="36"/>
                <w:b w:val="1"/>
                <w:bCs w:val="1"/>
                <w:color w:val="auto"/>
                <w:w w:val="92"/>
              </w:rPr>
              <w:t>GXO Logistics,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204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215"/>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(State or other jurisdiction of</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4"/>
              </w:rPr>
              <w:t>incorporation or organization)</w:t>
            </w:r>
          </w:p>
        </w:tc>
        <w:tc>
          <w:tcPr>
            <w:tcW w:w="1580" w:type="dxa"/>
            <w:vAlign w:val="bottom"/>
          </w:tcPr>
          <w:p>
            <w:pPr>
              <w:jc w:val="center"/>
              <w:ind w:left="35"/>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235"/>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Two American Lane</w:t>
            </w:r>
          </w:p>
        </w:tc>
        <w:tc>
          <w:tcPr>
            <w:tcW w:w="158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233"/>
        </w:trPr>
        <w:tc>
          <w:tcPr>
            <w:tcW w:w="604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3"/>
              </w:rPr>
              <w:t>Greenwich, CT</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(Address of principal executive offices)</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r>
        <w:trPr>
          <w:trHeight w:val="469"/>
        </w:trPr>
        <w:tc>
          <w:tcPr>
            <w:tcW w:w="5280" w:type="dxa"/>
            <w:vAlign w:val="bottom"/>
            <w:gridSpan w:val="2"/>
          </w:tcPr>
          <w:p>
            <w:pPr>
              <w:jc w:val="center"/>
              <w:ind w:left="2806"/>
              <w:spacing w:after="0"/>
              <w:rPr>
                <w:sz w:val="20"/>
                <w:szCs w:val="20"/>
                <w:color w:val="auto"/>
              </w:rPr>
            </w:pPr>
            <w:r>
              <w:rPr>
                <w:rFonts w:ascii="Arial" w:cs="Arial" w:eastAsia="Arial" w:hAnsi="Arial"/>
                <w:sz w:val="18"/>
                <w:szCs w:val="18"/>
                <w:color w:val="auto"/>
                <w:w w:val="90"/>
              </w:rPr>
              <w:t>203-489-1287</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left="2026"/>
              <w:spacing w:after="0"/>
              <w:rPr>
                <w:sz w:val="20"/>
                <w:szCs w:val="20"/>
                <w:color w:val="auto"/>
              </w:rPr>
            </w:pPr>
            <w:r>
              <w:rPr>
                <w:rFonts w:ascii="Arial" w:cs="Arial" w:eastAsia="Arial" w:hAnsi="Arial"/>
                <w:sz w:val="16"/>
                <w:szCs w:val="16"/>
                <w:color w:val="auto"/>
                <w:w w:val="91"/>
              </w:rPr>
              <w:t>(Registrant’s telephone number, including area code)</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13"/>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7"/>
              </w:rPr>
              <w:t>to be so Registered</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88"/>
              </w:rPr>
              <w:t>Each Class is to be Registered</w:t>
            </w:r>
          </w:p>
        </w:tc>
      </w:tr>
      <w:tr>
        <w:trPr>
          <w:trHeight w:val="231"/>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68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440" w:gutter="0" w:footer="0" w:header="0"/>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REQUIRED IN REGISTRATION STATEMENT CROSS-REFERENCE SHEET BETWEEN INFORMATION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ITEMS OF FORM 10</w:t>
      </w:r>
    </w:p>
    <w:p>
      <w:pPr>
        <w:spacing w:after="0" w:line="15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“Business,” “Management’s Discussion and Analysis of Financial Condition and Results of Operations,” “Certain Relationships and Related Party Transactions” and “Where You Can Find More Information.” Those sections are incorporated herein by reference.</w:t>
      </w:r>
    </w:p>
    <w:p>
      <w:pPr>
        <w:spacing w:after="0" w:line="12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Information,” and “Management’s Discussion and Analysis of Financial Condition and Results of Operations,” and “Index to Financial Statements” and the financial statements referenced therein. Those sections are incorporated herein by reference.</w:t>
      </w:r>
    </w:p>
    <w:p>
      <w:pPr>
        <w:spacing w:after="0" w:line="1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“Director Compensation.”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175"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“The Separation and Distribution,” “Dividend Policy,” “Capitalization,” and “Description of Capital Stock.” Those sections are incorporated herein by reference.</w:t>
      </w:r>
    </w:p>
    <w:p>
      <w:pPr>
        <w:spacing w:after="0" w:line="8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Material Indebtedness” and “Description of Capital Stock—Sale of Unregistered Securities.” Those sections are incorporated herein by reference.</w:t>
      </w:r>
    </w:p>
    <w:p>
      <w:pPr>
        <w:spacing w:after="0" w:line="112"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17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 and Distribution” “Dividend Policy,” and “Description of Capital Stock.”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 w:name="page4"/>
    <w:bookmarkEnd w:id="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29"/>
          </w:tcPr>
          <w:p>
            <w:pPr>
              <w:ind w:left="1040"/>
              <w:spacing w:after="0"/>
              <w:rPr>
                <w:sz w:val="20"/>
                <w:szCs w:val="20"/>
                <w:color w:val="auto"/>
              </w:rPr>
            </w:pPr>
            <w:r>
              <w:rPr>
                <w:rFonts w:ascii="Arial" w:cs="Arial" w:eastAsia="Arial" w:hAnsi="Arial"/>
                <w:sz w:val="14"/>
                <w:szCs w:val="14"/>
                <w:b w:val="1"/>
                <w:bCs w:val="1"/>
                <w:color w:val="auto"/>
              </w:rPr>
              <w:t>Exhibit Description</w:t>
            </w:r>
          </w:p>
        </w:tc>
      </w:tr>
      <w:tr>
        <w:trPr>
          <w:trHeight w:val="189"/>
        </w:trPr>
        <w:tc>
          <w:tcPr>
            <w:tcW w:w="1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80" w:type="dxa"/>
            <w:vAlign w:val="bottom"/>
            <w:tcBorders>
              <w:top w:val="single" w:sz="8" w:color="auto"/>
            </w:tcBorders>
            <w:gridSpan w:val="34"/>
          </w:tcPr>
          <w:p>
            <w:pPr>
              <w:spacing w:after="0" w:line="189" w:lineRule="exact"/>
              <w:rPr>
                <w:rFonts w:ascii="Arial" w:cs="Arial" w:eastAsia="Arial" w:hAnsi="Arial"/>
                <w:sz w:val="18"/>
                <w:szCs w:val="18"/>
                <w:color w:val="0000FF"/>
              </w:rPr>
            </w:pPr>
            <w:hyperlink r:id="rId14">
              <w:r>
                <w:rPr>
                  <w:rFonts w:ascii="Arial" w:cs="Arial" w:eastAsia="Arial" w:hAnsi="Arial"/>
                  <w:sz w:val="18"/>
                  <w:szCs w:val="18"/>
                  <w:color w:val="0000FF"/>
                </w:rPr>
                <w:t>Form of Separation and Distribution Agreement by and between XPO Logistics, Inc. and GXO Logistics, Inc.</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top w:val="single" w:sz="8" w:color="0000FF"/>
            </w:tcBorders>
            <w:gridSpan w:val="23"/>
          </w:tcPr>
          <w:p>
            <w:pPr>
              <w:spacing w:after="0"/>
              <w:rPr>
                <w:rFonts w:ascii="Arial" w:cs="Arial" w:eastAsia="Arial" w:hAnsi="Arial"/>
                <w:sz w:val="18"/>
                <w:szCs w:val="18"/>
                <w:color w:val="0000FF"/>
                <w:w w:val="98"/>
              </w:rPr>
            </w:pPr>
            <w:hyperlink r:id="rId15">
              <w:r>
                <w:rPr>
                  <w:rFonts w:ascii="Arial" w:cs="Arial" w:eastAsia="Arial" w:hAnsi="Arial"/>
                  <w:sz w:val="18"/>
                  <w:szCs w:val="18"/>
                  <w:color w:val="0000FF"/>
                  <w:w w:val="98"/>
                </w:rPr>
                <w:t>Form of Transition Services Agreement by and between XPO Logistics, Inc. and GXO Logistics, Inc.</w:t>
              </w:r>
            </w:hyperlink>
            <w:r>
              <w:rPr>
                <w:rFonts w:ascii="Arial" w:cs="Arial" w:eastAsia="Arial" w:hAnsi="Arial"/>
                <w:sz w:val="18"/>
                <w:szCs w:val="18"/>
                <w:color w:val="000000"/>
                <w:w w:val="98"/>
              </w:rPr>
              <w:t>*</w:t>
            </w:r>
          </w:p>
        </w:tc>
        <w:tc>
          <w:tcPr>
            <w:tcW w:w="1760" w:type="dxa"/>
            <w:vAlign w:val="bottom"/>
            <w:gridSpan w:val="11"/>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top w:val="single" w:sz="8" w:color="0000FF"/>
            </w:tcBorders>
            <w:gridSpan w:val="18"/>
          </w:tcPr>
          <w:p>
            <w:pPr>
              <w:spacing w:after="0"/>
              <w:rPr>
                <w:rFonts w:ascii="Arial" w:cs="Arial" w:eastAsia="Arial" w:hAnsi="Arial"/>
                <w:sz w:val="18"/>
                <w:szCs w:val="18"/>
                <w:color w:val="0000FF"/>
                <w:w w:val="97"/>
              </w:rPr>
            </w:pPr>
            <w:hyperlink r:id="rId16">
              <w:r>
                <w:rPr>
                  <w:rFonts w:ascii="Arial" w:cs="Arial" w:eastAsia="Arial" w:hAnsi="Arial"/>
                  <w:sz w:val="18"/>
                  <w:szCs w:val="18"/>
                  <w:color w:val="0000FF"/>
                  <w:w w:val="97"/>
                </w:rPr>
                <w:t>Form of Tax Matters Agreement by and between XPO Logistics, Inc. and GXO Logistics, Inc.</w:t>
              </w:r>
            </w:hyperlink>
            <w:r>
              <w:rPr>
                <w:rFonts w:ascii="Arial" w:cs="Arial" w:eastAsia="Arial" w:hAnsi="Arial"/>
                <w:sz w:val="18"/>
                <w:szCs w:val="18"/>
                <w:color w:val="000000"/>
                <w:w w:val="97"/>
              </w:rPr>
              <w:t>*</w:t>
            </w:r>
          </w:p>
        </w:tc>
        <w:tc>
          <w:tcPr>
            <w:tcW w:w="2360" w:type="dxa"/>
            <w:vAlign w:val="bottom"/>
            <w:gridSpan w:val="16"/>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17">
              <w:r>
                <w:rPr>
                  <w:rFonts w:ascii="Arial" w:cs="Arial" w:eastAsia="Arial" w:hAnsi="Arial"/>
                  <w:sz w:val="18"/>
                  <w:szCs w:val="18"/>
                  <w:color w:val="0000FF"/>
                </w:rPr>
                <w:t>Form of Employee Matters Agreement by and between XPO Logistics, Inc. and GXO Logistics, Inc.</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Intellectual Property License Agreement by and between XPO Logistics, Inc. and GXO Logistics, Inc.</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0" w:type="dxa"/>
            <w:vAlign w:val="bottom"/>
            <w:tcBorders>
              <w:top w:val="single" w:sz="8" w:color="0000FF"/>
            </w:tcBorders>
            <w:gridSpan w:val="25"/>
          </w:tcPr>
          <w:p>
            <w:pPr>
              <w:spacing w:after="0"/>
              <w:rPr>
                <w:rFonts w:ascii="Arial" w:cs="Arial" w:eastAsia="Arial" w:hAnsi="Arial"/>
                <w:sz w:val="18"/>
                <w:szCs w:val="18"/>
                <w:color w:val="0000FF"/>
              </w:rPr>
            </w:pPr>
            <w:hyperlink r:id="rId19">
              <w:r>
                <w:rPr>
                  <w:rFonts w:ascii="Arial" w:cs="Arial" w:eastAsia="Arial" w:hAnsi="Arial"/>
                  <w:sz w:val="18"/>
                  <w:szCs w:val="18"/>
                  <w:color w:val="0000FF"/>
                </w:rPr>
                <w:t>Form of Amended and Restated Certificate of Incorporation of GXO Logistics, Inc.</w:t>
              </w:r>
            </w:hyperlink>
            <w:r>
              <w:rPr>
                <w:rFonts w:ascii="Arial" w:cs="Arial" w:eastAsia="Arial" w:hAnsi="Arial"/>
                <w:sz w:val="18"/>
                <w:szCs w:val="18"/>
                <w:color w:val="000000"/>
              </w:rPr>
              <w:t>*</w:t>
            </w:r>
          </w:p>
        </w:tc>
        <w:tc>
          <w:tcPr>
            <w:tcW w:w="1680" w:type="dxa"/>
            <w:vAlign w:val="bottom"/>
            <w:gridSpan w:val="9"/>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tcBorders>
            <w:gridSpan w:val="10"/>
          </w:tcPr>
          <w:p>
            <w:pPr>
              <w:spacing w:after="0"/>
              <w:rPr>
                <w:rFonts w:ascii="Arial" w:cs="Arial" w:eastAsia="Arial" w:hAnsi="Arial"/>
                <w:sz w:val="18"/>
                <w:szCs w:val="18"/>
                <w:color w:val="0000FF"/>
              </w:rPr>
            </w:pPr>
            <w:hyperlink r:id="rId20">
              <w:r>
                <w:rPr>
                  <w:rFonts w:ascii="Arial" w:cs="Arial" w:eastAsia="Arial" w:hAnsi="Arial"/>
                  <w:sz w:val="18"/>
                  <w:szCs w:val="18"/>
                  <w:color w:val="0000FF"/>
                </w:rPr>
                <w:t>Form of Amended and Restated Bylaws of GXO Logistics, Inc.</w:t>
              </w:r>
            </w:hyperlink>
            <w:r>
              <w:rPr>
                <w:rFonts w:ascii="Arial" w:cs="Arial" w:eastAsia="Arial" w:hAnsi="Arial"/>
                <w:sz w:val="18"/>
                <w:szCs w:val="18"/>
                <w:color w:val="000000"/>
              </w:rPr>
              <w:t>*</w:t>
            </w:r>
          </w:p>
        </w:tc>
        <w:tc>
          <w:tcPr>
            <w:tcW w:w="3660" w:type="dxa"/>
            <w:vAlign w:val="bottom"/>
            <w:gridSpan w:val="24"/>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1">
              <w:r>
                <w:rPr>
                  <w:rFonts w:ascii="Arial" w:cs="Arial" w:eastAsia="Arial" w:hAnsi="Arial"/>
                  <w:sz w:val="18"/>
                  <w:szCs w:val="18"/>
                  <w:color w:val="0000FF"/>
                </w:rPr>
                <w:t>Indenture, dated as of July 2, 2021, among GXO Logistics, Inc. and Wells Fargo Bank, National Association, as Trustee</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First Supplemental Indenture, dated as of July 2, 2021, among GXO Logistics, Inc. and Wells Fargo Bank, National Association, as</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2">
              <w:r>
                <w:rPr>
                  <w:rFonts w:ascii="Arial" w:cs="Arial" w:eastAsia="Arial" w:hAnsi="Arial"/>
                  <w:sz w:val="18"/>
                  <w:szCs w:val="18"/>
                  <w:color w:val="0000FF"/>
                </w:rPr>
                <w:t>Trustee</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7"/>
              </w:rPr>
            </w:pPr>
            <w:hyperlink r:id="rId23">
              <w:r>
                <w:rPr>
                  <w:rFonts w:ascii="Arial" w:cs="Arial" w:eastAsia="Arial" w:hAnsi="Arial"/>
                  <w:sz w:val="18"/>
                  <w:szCs w:val="18"/>
                  <w:color w:val="0000FF"/>
                  <w:w w:val="97"/>
                </w:rPr>
                <w:t>Registration Rights Agreement, dated July 2, 2021, by and among GXO Logistics, Inc. Barclays Capital Inc., Citigroup Global</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Markets Inc., Credit Agricole Securities (USA) Inc. and Goldman Sachs &amp; Co. LLC</w:t>
              </w:r>
              <w:r>
                <w:rPr>
                  <w:rFonts w:ascii="Arial" w:cs="Arial" w:eastAsia="Arial" w:hAnsi="Arial"/>
                  <w:sz w:val="18"/>
                  <w:szCs w:val="18"/>
                  <w:color w:val="000000"/>
                </w:rPr>
                <w:t>*</w:t>
              </w:r>
            </w:hyperlink>
          </w:p>
        </w:tc>
        <w:tc>
          <w:tcPr>
            <w:tcW w:w="1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11"/>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GXO Logistics, Inc. 2021 Omnibus Incentive Plan</w:t>
              </w:r>
            </w:hyperlink>
            <w:r>
              <w:rPr>
                <w:rFonts w:ascii="Arial" w:cs="Arial" w:eastAsia="Arial" w:hAnsi="Arial"/>
                <w:sz w:val="18"/>
                <w:szCs w:val="18"/>
                <w:color w:val="000000"/>
              </w:rPr>
              <w:t>*</w:t>
            </w:r>
          </w:p>
        </w:tc>
        <w:tc>
          <w:tcPr>
            <w:tcW w:w="3620" w:type="dxa"/>
            <w:vAlign w:val="bottom"/>
            <w:gridSpan w:val="23"/>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5">
              <w:r>
                <w:rPr>
                  <w:rFonts w:ascii="Arial" w:cs="Arial" w:eastAsia="Arial" w:hAnsi="Arial"/>
                  <w:sz w:val="18"/>
                  <w:szCs w:val="18"/>
                  <w:color w:val="0000FF"/>
                </w:rPr>
                <w:t xml:space="preserve">Form of Option Award Agreement under the XPO Logistics, Inc. </w:t>
              </w:r>
            </w:hyperlink>
            <w:r>
              <w:rPr>
                <w:rFonts w:ascii="Arial" w:cs="Arial" w:eastAsia="Arial" w:hAnsi="Arial"/>
                <w:sz w:val="18"/>
                <w:szCs w:val="18"/>
                <w:color w:val="0000FF"/>
              </w:rPr>
              <w:t xml:space="preserve">2016 </w:t>
            </w:r>
            <w:hyperlink r:id="rId25">
              <w:r>
                <w:rPr>
                  <w:rFonts w:ascii="Arial" w:cs="Arial" w:eastAsia="Arial" w:hAnsi="Arial"/>
                  <w:sz w:val="18"/>
                  <w:szCs w:val="18"/>
                  <w:color w:val="0000FF"/>
                </w:rPr>
                <w:t>Omnibus Incentive Compensation Plan</w:t>
              </w:r>
            </w:hyperlink>
            <w:r>
              <w:rPr>
                <w:rFonts w:ascii="Arial" w:cs="Arial" w:eastAsia="Arial" w:hAnsi="Arial"/>
                <w:sz w:val="18"/>
                <w:szCs w:val="18"/>
                <w:color w:val="000000"/>
              </w:rPr>
              <w:t>*</w:t>
            </w: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tcBorders>
              <w:top w:val="single" w:sz="8" w:color="0000FF"/>
            </w:tcBorders>
            <w:gridSpan w:val="24"/>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GXO Logistics Inc. Severance Plan</w:t>
              </w:r>
            </w:hyperlink>
            <w:r>
              <w:rPr>
                <w:rFonts w:ascii="Arial" w:cs="Arial" w:eastAsia="Arial" w:hAnsi="Arial"/>
                <w:sz w:val="18"/>
                <w:szCs w:val="18"/>
                <w:color w:val="000000"/>
              </w:rPr>
              <w:t>*</w:t>
            </w:r>
          </w:p>
        </w:tc>
        <w:tc>
          <w:tcPr>
            <w:tcW w:w="1740" w:type="dxa"/>
            <w:vAlign w:val="bottom"/>
            <w:gridSpan w:val="10"/>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27">
              <w:r>
                <w:rPr>
                  <w:rFonts w:ascii="Arial" w:cs="Arial" w:eastAsia="Arial" w:hAnsi="Arial"/>
                  <w:sz w:val="18"/>
                  <w:szCs w:val="18"/>
                  <w:color w:val="0000FF"/>
                </w:rPr>
                <w:t>Form of GXO Logistics Inc. Cash Long-Term Incentive Plan</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Award Agreement under the XPO Logistics, Inc. Cash Long-Term Incentive Plan between XPO Logistics, Inc. and Malcolm Wilson,</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8">
              <w:r>
                <w:rPr>
                  <w:rFonts w:ascii="Arial" w:cs="Arial" w:eastAsia="Arial" w:hAnsi="Arial"/>
                  <w:sz w:val="18"/>
                  <w:szCs w:val="18"/>
                  <w:color w:val="0000FF"/>
                </w:rPr>
                <w:t>dated as of January 15, 2020</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Award Agreement under the XPO Logistics, Inc. Cash Long-Term Incentive Plan between XPO Logistics, Inc. and Maryclaire</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9">
              <w:r>
                <w:rPr>
                  <w:rFonts w:ascii="Arial" w:cs="Arial" w:eastAsia="Arial" w:hAnsi="Arial"/>
                  <w:sz w:val="18"/>
                  <w:szCs w:val="18"/>
                  <w:color w:val="0000FF"/>
                </w:rPr>
                <w:t>Hammond, dated as of January 15, 2020</w:t>
              </w:r>
              <w:r>
                <w:rPr>
                  <w:rFonts w:ascii="Arial" w:cs="Arial" w:eastAsia="Arial" w:hAnsi="Arial"/>
                  <w:sz w:val="18"/>
                  <w:szCs w:val="18"/>
                  <w:color w:val="000000"/>
                </w:rPr>
                <w:t>*</w:t>
              </w:r>
            </w:hyperlink>
          </w:p>
        </w:tc>
        <w:tc>
          <w:tcPr>
            <w:tcW w:w="180" w:type="dxa"/>
            <w:vAlign w:val="bottom"/>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0">
              <w:r>
                <w:rPr>
                  <w:rFonts w:ascii="Arial" w:cs="Arial" w:eastAsia="Arial" w:hAnsi="Arial"/>
                  <w:sz w:val="18"/>
                  <w:szCs w:val="18"/>
                  <w:color w:val="0000FF"/>
                </w:rPr>
                <w:t>Offer Letter between XPO Logistics Europe and Malcolm Wilson,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1">
              <w:r>
                <w:rPr>
                  <w:rFonts w:ascii="Arial" w:cs="Arial" w:eastAsia="Arial" w:hAnsi="Arial"/>
                  <w:sz w:val="18"/>
                  <w:szCs w:val="18"/>
                  <w:color w:val="0000FF"/>
                </w:rPr>
                <w:t>Service Agreement between XPO Supply Chain UK Limited and Malcolm Wilson, dated as of May 14, 2021</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top w:val="single" w:sz="8" w:color="0000FF"/>
            </w:tcBorders>
            <w:gridSpan w:val="22"/>
          </w:tcPr>
          <w:p>
            <w:pPr>
              <w:spacing w:after="0"/>
              <w:rPr>
                <w:rFonts w:ascii="Arial" w:cs="Arial" w:eastAsia="Arial" w:hAnsi="Arial"/>
                <w:sz w:val="18"/>
                <w:szCs w:val="18"/>
                <w:color w:val="0000FF"/>
              </w:rPr>
            </w:pPr>
            <w:hyperlink r:id="rId32">
              <w:r>
                <w:rPr>
                  <w:rFonts w:ascii="Arial" w:cs="Arial" w:eastAsia="Arial" w:hAnsi="Arial"/>
                  <w:sz w:val="18"/>
                  <w:szCs w:val="18"/>
                  <w:color w:val="0000FF"/>
                </w:rPr>
                <w:t>Offer Letter between XPO Logistics, Inc. and Baris Oran, dated as of April 20, 2021</w:t>
              </w:r>
            </w:hyperlink>
            <w:r>
              <w:rPr>
                <w:rFonts w:ascii="Arial" w:cs="Arial" w:eastAsia="Arial" w:hAnsi="Arial"/>
                <w:sz w:val="18"/>
                <w:szCs w:val="18"/>
                <w:color w:val="000000"/>
              </w:rPr>
              <w:t>*</w:t>
            </w:r>
          </w:p>
        </w:tc>
        <w:tc>
          <w:tcPr>
            <w:tcW w:w="1840" w:type="dxa"/>
            <w:vAlign w:val="bottom"/>
            <w:gridSpan w:val="12"/>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3">
              <w:r>
                <w:rPr>
                  <w:rFonts w:ascii="Arial" w:cs="Arial" w:eastAsia="Arial" w:hAnsi="Arial"/>
                  <w:sz w:val="18"/>
                  <w:szCs w:val="18"/>
                  <w:color w:val="0000FF"/>
                </w:rPr>
                <w:t>Offer Letter between XPO Logistics Europe and Maryclaire Hammond,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4">
              <w:r>
                <w:rPr>
                  <w:rFonts w:ascii="Arial" w:cs="Arial" w:eastAsia="Arial" w:hAnsi="Arial"/>
                  <w:sz w:val="18"/>
                  <w:szCs w:val="18"/>
                  <w:color w:val="0000FF"/>
                </w:rPr>
                <w:t>Service Agreement between XPO Supply Chain UK Limited and Maryclaire Hammond, dated as of May 14, 2021</w:t>
              </w:r>
            </w:hyperlink>
            <w:r>
              <w:rPr>
                <w:rFonts w:ascii="Arial" w:cs="Arial" w:eastAsia="Arial" w:hAnsi="Arial"/>
                <w:sz w:val="18"/>
                <w:szCs w:val="18"/>
                <w:color w:val="000000"/>
              </w:rPr>
              <w:t>*</w:t>
            </w:r>
          </w:p>
        </w:tc>
      </w:tr>
      <w:tr>
        <w:trPr>
          <w:trHeight w:val="223"/>
        </w:trPr>
        <w:tc>
          <w:tcPr>
            <w:tcW w:w="14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40" w:type="dxa"/>
            <w:vAlign w:val="bottom"/>
            <w:tcBorders>
              <w:top w:val="single" w:sz="8" w:color="0000FF"/>
            </w:tcBorders>
            <w:gridSpan w:val="26"/>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Pension Top Up Letter between XPO Logistics Europe and Maryclaire Hammond, dated as of May 11, 2021</w:t>
              </w:r>
            </w:hyperlink>
            <w:r>
              <w:rPr>
                <w:rFonts w:ascii="Arial" w:cs="Arial" w:eastAsia="Arial" w:hAnsi="Arial"/>
                <w:sz w:val="18"/>
                <w:szCs w:val="18"/>
                <w:color w:val="000000"/>
                <w:w w:val="94"/>
              </w:rPr>
              <w:t>*</w:t>
            </w:r>
          </w:p>
        </w:tc>
        <w:tc>
          <w:tcPr>
            <w:tcW w:w="1440" w:type="dxa"/>
            <w:vAlign w:val="bottom"/>
            <w:gridSpan w:val="8"/>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Credit Agreement, dated as of June 23, 2021, by and among GXO Logistics, Inc., the lenders and other parties from time to time party</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6">
              <w:r>
                <w:rPr>
                  <w:rFonts w:ascii="Arial" w:cs="Arial" w:eastAsia="Arial" w:hAnsi="Arial"/>
                  <w:sz w:val="18"/>
                  <w:szCs w:val="18"/>
                  <w:color w:val="0000FF"/>
                </w:rPr>
                <w:t>thereto, and Citibank, N.A., as Administrative Agent and an Issuing Lender</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r:id="rId37">
              <w:r>
                <w:rPr>
                  <w:rFonts w:ascii="Arial" w:cs="Arial" w:eastAsia="Arial" w:hAnsi="Arial"/>
                  <w:sz w:val="18"/>
                  <w:szCs w:val="18"/>
                  <w:color w:val="0000FF"/>
                </w:rPr>
                <w:t>Service Agreement between XPO Supply Chain UK Limited and Karlis Kirsis, dated as of July 9, 2021</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40" w:type="dxa"/>
            <w:vAlign w:val="bottom"/>
            <w:tcBorders>
              <w:top w:val="single" w:sz="8" w:color="0000FF"/>
            </w:tcBorders>
            <w:gridSpan w:val="19"/>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Pension Top Up Letter between XPO Logistics Europe and Karlis Kirsis, dated as of July 9, 2021</w:t>
              </w:r>
            </w:hyperlink>
            <w:r>
              <w:rPr>
                <w:rFonts w:ascii="Arial" w:cs="Arial" w:eastAsia="Arial" w:hAnsi="Arial"/>
                <w:sz w:val="18"/>
                <w:szCs w:val="18"/>
                <w:color w:val="000000"/>
                <w:w w:val="95"/>
              </w:rPr>
              <w:t>*</w:t>
            </w:r>
          </w:p>
        </w:tc>
        <w:tc>
          <w:tcPr>
            <w:tcW w:w="2240" w:type="dxa"/>
            <w:vAlign w:val="bottom"/>
            <w:gridSpan w:val="15"/>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tcBorders>
              <w:top w:val="single" w:sz="8" w:color="0000FF"/>
            </w:tcBorders>
            <w:gridSpan w:val="16"/>
          </w:tcPr>
          <w:p>
            <w:pPr>
              <w:spacing w:after="0"/>
              <w:rPr>
                <w:rFonts w:ascii="Arial" w:cs="Arial" w:eastAsia="Arial" w:hAnsi="Arial"/>
                <w:sz w:val="18"/>
                <w:szCs w:val="18"/>
                <w:color w:val="0000FF"/>
              </w:rPr>
            </w:pPr>
            <w:hyperlink r:id="rId39">
              <w:r>
                <w:rPr>
                  <w:rFonts w:ascii="Arial" w:cs="Arial" w:eastAsia="Arial" w:hAnsi="Arial"/>
                  <w:sz w:val="18"/>
                  <w:szCs w:val="18"/>
                  <w:color w:val="0000FF"/>
                </w:rPr>
                <w:t>Offer Letter between XPO Logistics Europe and Karlis Kirsis, dated as of July 9, 2021</w:t>
              </w:r>
            </w:hyperlink>
            <w:r>
              <w:rPr>
                <w:rFonts w:ascii="Arial" w:cs="Arial" w:eastAsia="Arial" w:hAnsi="Arial"/>
                <w:sz w:val="18"/>
                <w:szCs w:val="18"/>
                <w:color w:val="000000"/>
              </w:rPr>
              <w:t>*</w:t>
            </w:r>
          </w:p>
        </w:tc>
        <w:tc>
          <w:tcPr>
            <w:tcW w:w="2640" w:type="dxa"/>
            <w:vAlign w:val="bottom"/>
            <w:gridSpan w:val="18"/>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40" w:type="dxa"/>
            <w:vAlign w:val="bottom"/>
            <w:gridSpan w:val="11"/>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Award Agreement under the XPO Logistics, Inc. Cash Long-Term Incentive Plan between XPO Logistics, Inc. and Karlis Kirsis,</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dated as of January 15, 2020</w:t>
              </w:r>
            </w:hyperlink>
          </w:p>
        </w:tc>
        <w:tc>
          <w:tcPr>
            <w:tcW w:w="400" w:type="dxa"/>
            <w:vAlign w:val="bottom"/>
            <w:gridSpan w:val="4"/>
          </w:tcPr>
          <w:p>
            <w:pPr>
              <w:spacing w:after="0"/>
              <w:rPr>
                <w:sz w:val="13"/>
                <w:szCs w:val="13"/>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Borders>
              <w:top w:val="single" w:sz="8" w:color="0000FF"/>
            </w:tcBorders>
            <w:gridSpan w:val="3"/>
          </w:tcPr>
          <w:p>
            <w:pPr>
              <w:spacing w:after="0"/>
              <w:rPr>
                <w:rFonts w:ascii="Arial" w:cs="Arial" w:eastAsia="Arial" w:hAnsi="Arial"/>
                <w:sz w:val="18"/>
                <w:szCs w:val="18"/>
                <w:color w:val="0000FF"/>
              </w:rPr>
            </w:pPr>
            <w:hyperlink r:id="rId40">
              <w:r>
                <w:rPr>
                  <w:rFonts w:ascii="Arial" w:cs="Arial" w:eastAsia="Arial" w:hAnsi="Arial"/>
                  <w:sz w:val="18"/>
                  <w:szCs w:val="18"/>
                  <w:color w:val="0000FF"/>
                </w:rPr>
                <w:t>List of Subsidiaries</w:t>
              </w:r>
            </w:hyperlink>
            <w:r>
              <w:rPr>
                <w:rFonts w:ascii="Arial" w:cs="Arial" w:eastAsia="Arial" w:hAnsi="Arial"/>
                <w:sz w:val="18"/>
                <w:szCs w:val="18"/>
                <w:color w:val="000000"/>
              </w:rPr>
              <w:t>*</w:t>
            </w:r>
          </w:p>
        </w:tc>
        <w:tc>
          <w:tcPr>
            <w:tcW w:w="7640" w:type="dxa"/>
            <w:vAlign w:val="bottom"/>
            <w:gridSpan w:val="31"/>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240" w:type="dxa"/>
            <w:vAlign w:val="bottom"/>
            <w:gridSpan w:val="18"/>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Information Statement of GXO Logistics, Inc., preliminary and subject to completion, dated July 19, 2021</w:t>
              </w:r>
            </w:hyperlink>
          </w:p>
        </w:tc>
      </w:tr>
      <w:tr>
        <w:trPr>
          <w:trHeight w:val="176"/>
        </w:trPr>
        <w:tc>
          <w:tcPr>
            <w:tcW w:w="144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GXO LOGISTICS, INC.</w:t>
      </w:r>
    </w:p>
    <w:p>
      <w:pPr>
        <w:spacing w:after="0" w:line="29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Baris Oran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Baris Oran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19, 2021</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AWARD AGREEMENT UNDER THE XPO</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LOGISTICS, INC. CASH LONGTERM INCENTIVE PLAN,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dated as of 15Jan2020,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Karlis Kirsis.</w:t>
      </w:r>
    </w:p>
    <w:p>
      <w:pPr>
        <w:spacing w:after="0" w:line="148" w:lineRule="exact"/>
        <w:rPr>
          <w:sz w:val="20"/>
          <w:szCs w:val="20"/>
          <w:color w:val="auto"/>
        </w:rPr>
      </w:pPr>
    </w:p>
    <w:p>
      <w:pPr>
        <w:ind w:right="160" w:firstLine="1296"/>
        <w:spacing w:after="0" w:line="265" w:lineRule="auto"/>
        <w:rPr>
          <w:sz w:val="20"/>
          <w:szCs w:val="20"/>
          <w:color w:val="auto"/>
        </w:rPr>
      </w:pPr>
      <w:r>
        <w:rPr>
          <w:rFonts w:ascii="Arial" w:cs="Arial" w:eastAsia="Arial" w:hAnsi="Arial"/>
          <w:sz w:val="21"/>
          <w:szCs w:val="21"/>
          <w:color w:val="auto"/>
        </w:rPr>
        <w:t>This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sets forth the terms and conditions of a cash award (this “</w:t>
      </w:r>
      <w:r>
        <w:rPr>
          <w:rFonts w:ascii="Arial" w:cs="Arial" w:eastAsia="Arial" w:hAnsi="Arial"/>
          <w:sz w:val="21"/>
          <w:szCs w:val="21"/>
          <w:u w:val="single" w:color="auto"/>
          <w:color w:val="auto"/>
        </w:rPr>
        <w:t>Award</w:t>
      </w:r>
      <w:r>
        <w:rPr>
          <w:rFonts w:ascii="Arial" w:cs="Arial" w:eastAsia="Arial" w:hAnsi="Arial"/>
          <w:sz w:val="21"/>
          <w:szCs w:val="21"/>
          <w:color w:val="auto"/>
        </w:rPr>
        <w:t>”) that are subject to the terms and conditions specified herein granted to you under the XPO Logistics, Inc. Cash LongTerm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This Award provides you with the opportunity to earn, subject to the terms of this Award Agreement, up to $180,765 of cash, as set forth in Section 3 of this Award Agreement.</w:t>
      </w:r>
    </w:p>
    <w:p>
      <w:pPr>
        <w:spacing w:after="0" w:line="121"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34"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31" w:lineRule="exact"/>
        <w:rPr>
          <w:sz w:val="20"/>
          <w:szCs w:val="20"/>
          <w:color w:val="auto"/>
        </w:rPr>
      </w:pPr>
    </w:p>
    <w:p>
      <w:pPr>
        <w:ind w:right="42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3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2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your dereliction of duties or gross negligence or failure to perform your duties or refusal to follow any lawful directive of the officer to whom you report; (ii) your abuse of or dependency on alcohol or drugs (illicit or otherwise) that adversely affects your performance of duties for the Company; (iii) your commission of any fraud, embezzlement, theft or dishonesty, or any deliberate misappropriation of money or other assets of the Company; (iv) your breach of any fiduciary duties to the Company or any agreement with the Company; (v) any act, or failure to act, by you in bad faith to the detriment of the Company; (vi) your failure to provide the Company with at least 30 days’ advanced written notice of your intention to resign; (vii) your failure to cooperate in good faith with a governmental or internal investigation of the Company or any of its directors, managers, officers or employees, if the Company requests your cooperation; (viii) your failure to follow Company policies, including the Company’s code of conduct and/or ethics policy, as may be in effect from time to time, and (ix) your conviction of, or plea of nolo contendere to, a felony or any serious crime; provided that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6" w:name="page7"/>
    <w:bookmarkEnd w:id="6"/>
    <w:p>
      <w:pPr>
        <w:jc w:val="both"/>
        <w:ind w:right="20"/>
        <w:spacing w:after="0" w:line="253" w:lineRule="auto"/>
        <w:rPr>
          <w:sz w:val="20"/>
          <w:szCs w:val="20"/>
          <w:color w:val="auto"/>
        </w:rPr>
      </w:pPr>
      <w:r>
        <w:rPr>
          <w:rFonts w:ascii="Arial" w:cs="Arial" w:eastAsia="Arial" w:hAnsi="Arial"/>
          <w:sz w:val="22"/>
          <w:szCs w:val="22"/>
          <w:color w:val="auto"/>
        </w:rPr>
        <w:t>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66"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21"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next regularly scheduled payroll date following the earliest of (i) the applicable Vesting Date; (ii) the date of your termination of employment; or (iii) a Change of Control.</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Date</w:t>
      </w:r>
      <w:r>
        <w:rPr>
          <w:rFonts w:ascii="Arial" w:cs="Arial" w:eastAsia="Arial" w:hAnsi="Arial"/>
          <w:sz w:val="19"/>
          <w:szCs w:val="19"/>
          <w:color w:val="auto"/>
        </w:rPr>
        <w:t>” means the date on which the service requirement set forth in Section 3(a) of this Award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 met.</w:t>
      </w:r>
    </w:p>
    <w:p>
      <w:pPr>
        <w:spacing w:after="0" w:line="148" w:lineRule="exact"/>
        <w:rPr>
          <w:sz w:val="20"/>
          <w:szCs w:val="20"/>
          <w:color w:val="auto"/>
        </w:rPr>
      </w:pPr>
    </w:p>
    <w:p>
      <w:pPr>
        <w:ind w:left="100" w:right="140" w:firstLine="1296"/>
        <w:spacing w:after="0" w:line="24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Vesting and Settlement. Regularly Scheduled Settlement.</w:t>
      </w:r>
      <w:r>
        <w:rPr>
          <w:rFonts w:ascii="Arial" w:cs="Arial" w:eastAsia="Arial" w:hAnsi="Arial"/>
          <w:sz w:val="22"/>
          <w:szCs w:val="22"/>
          <w:color w:val="auto"/>
        </w:rPr>
        <w:t xml:space="preserve"> Except as otherwise provided in this Award Agreement, the vesting period will be the three calendar year period commencing with the year in which the Grant Date occurs and onetwelfth of the Award will become vested on the last day of the calendar quarter in which the Grant Date occurs and each subsequent calendar quarter during such vesting period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your continued employment through each such Vesting Date.</w:t>
      </w:r>
    </w:p>
    <w:p>
      <w:pPr>
        <w:spacing w:after="0" w:line="138" w:lineRule="exact"/>
        <w:rPr>
          <w:sz w:val="20"/>
          <w:szCs w:val="20"/>
          <w:color w:val="auto"/>
        </w:rPr>
      </w:pPr>
    </w:p>
    <w:p>
      <w:pPr>
        <w:ind w:left="1940" w:hanging="636"/>
        <w:spacing w:after="0"/>
        <w:tabs>
          <w:tab w:leader="none" w:pos="1940"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Notwithstanding anything to the contrary in this Award Agreement 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48" w:lineRule="exact"/>
        <w:rPr>
          <w:sz w:val="20"/>
          <w:szCs w:val="20"/>
          <w:color w:val="auto"/>
        </w:rPr>
      </w:pPr>
    </w:p>
    <w:p>
      <w:pPr>
        <w:ind w:left="1940" w:hanging="636"/>
        <w:spacing w:after="0"/>
        <w:tabs>
          <w:tab w:leader="none" w:pos="1940" w:val="left"/>
        </w:tabs>
        <w:numPr>
          <w:ilvl w:val="0"/>
          <w:numId w:val="3"/>
        </w:numPr>
        <w:rPr>
          <w:rFonts w:ascii="Arial" w:cs="Arial" w:eastAsia="Arial" w:hAnsi="Arial"/>
          <w:sz w:val="21"/>
          <w:szCs w:val="21"/>
          <w:color w:val="auto"/>
        </w:rPr>
      </w:pPr>
      <w:r>
        <w:rPr>
          <w:rFonts w:ascii="Arial" w:cs="Arial" w:eastAsia="Arial" w:hAnsi="Arial"/>
          <w:sz w:val="21"/>
          <w:szCs w:val="21"/>
          <w:color w:val="auto"/>
        </w:rPr>
        <w:t>if your employment terminates by reason of your death, the remainder of the Award shall vest in full</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immediately;</w:t>
      </w:r>
    </w:p>
    <w:p>
      <w:pPr>
        <w:spacing w:after="0" w:line="147" w:lineRule="exact"/>
        <w:rPr>
          <w:rFonts w:ascii="Arial" w:cs="Arial" w:eastAsia="Arial" w:hAnsi="Arial"/>
          <w:sz w:val="21"/>
          <w:szCs w:val="21"/>
          <w:color w:val="auto"/>
        </w:rPr>
      </w:pPr>
    </w:p>
    <w:p>
      <w:pPr>
        <w:ind w:left="660" w:right="20" w:firstLine="644"/>
        <w:spacing w:after="0" w:line="263" w:lineRule="auto"/>
        <w:tabs>
          <w:tab w:leader="none" w:pos="1950"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the remainder of the Award shall be immediately forfeited;</w:t>
      </w:r>
    </w:p>
    <w:p>
      <w:pPr>
        <w:spacing w:after="0" w:line="120" w:lineRule="exact"/>
        <w:rPr>
          <w:rFonts w:ascii="Arial" w:cs="Arial" w:eastAsia="Arial" w:hAnsi="Arial"/>
          <w:sz w:val="22"/>
          <w:szCs w:val="22"/>
          <w:color w:val="auto"/>
        </w:rPr>
      </w:pPr>
    </w:p>
    <w:p>
      <w:pPr>
        <w:ind w:left="660" w:firstLine="644"/>
        <w:spacing w:after="0" w:line="250" w:lineRule="auto"/>
        <w:tabs>
          <w:tab w:leader="none" w:pos="1956"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your employment is terminated by the Company without Cause,(A) you shall vest in the sum of the portion of the Award scheduled and eligible to vest on each of the Vesting Dates occurring after the date of termination and before the next anniversary of the Grant Date immediately following the date of termination, and (B) the remainder of the Award shall be forfeited; and</w:t>
      </w:r>
    </w:p>
    <w:p>
      <w:pPr>
        <w:spacing w:after="0" w:line="133" w:lineRule="exact"/>
        <w:rPr>
          <w:rFonts w:ascii="Arial" w:cs="Arial" w:eastAsia="Arial" w:hAnsi="Arial"/>
          <w:sz w:val="22"/>
          <w:szCs w:val="22"/>
          <w:color w:val="auto"/>
        </w:rPr>
      </w:pPr>
    </w:p>
    <w:p>
      <w:pPr>
        <w:ind w:left="660" w:right="80" w:firstLine="644"/>
        <w:spacing w:after="0" w:line="247" w:lineRule="auto"/>
        <w:tabs>
          <w:tab w:leader="none" w:pos="1944"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you resign for any reason, (A) you shall vest in a portion of the Award, solely with respect to the portion of the Award scheduled and eligible to vest on the Vesting Date immediately following the date of termination, equal to the product of (x) the portion of the Award scheduled and eligible to vest on the Vesting Date immediately following the date of termination and (y) a fraction, the numerator of which is the number of days from the Vesting Date immediately preceding the date of termination (or, if such termination is after the Grant Date but prior to the first Vesting Date,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7" w:name="page8"/>
    <w:bookmarkEnd w:id="7"/>
    <w:p>
      <w:pPr>
        <w:ind w:left="660" w:right="20"/>
        <w:spacing w:after="0" w:line="250" w:lineRule="auto"/>
        <w:rPr>
          <w:sz w:val="20"/>
          <w:szCs w:val="20"/>
          <w:color w:val="auto"/>
        </w:rPr>
      </w:pPr>
      <w:r>
        <w:rPr>
          <w:rFonts w:ascii="Arial" w:cs="Arial" w:eastAsia="Arial" w:hAnsi="Arial"/>
          <w:sz w:val="22"/>
          <w:szCs w:val="22"/>
          <w:color w:val="auto"/>
        </w:rPr>
        <w:t>through the date of termination of your employment and the denominator of which is the number of days from the Vesting Date immediately preceding the date of termination (or, if such termination is after the Grant Date but prior to the first Vesting Date, the Grant Date) through the Vesting Date immediately following the date of termination, and (B) the remainder of the Award shall be forfeited.</w:t>
      </w:r>
    </w:p>
    <w:p>
      <w:pPr>
        <w:spacing w:after="0" w:line="134" w:lineRule="exact"/>
        <w:rPr>
          <w:sz w:val="20"/>
          <w:szCs w:val="20"/>
          <w:color w:val="auto"/>
        </w:rPr>
      </w:pPr>
    </w:p>
    <w:p>
      <w:pPr>
        <w:ind w:left="660" w:right="360" w:firstLine="648"/>
        <w:spacing w:after="0" w:line="247" w:lineRule="auto"/>
        <w:rPr>
          <w:sz w:val="20"/>
          <w:szCs w:val="20"/>
          <w:color w:val="auto"/>
        </w:rPr>
      </w:pPr>
      <w:r>
        <w:rPr>
          <w:rFonts w:ascii="Arial" w:cs="Arial" w:eastAsia="Arial" w:hAnsi="Arial"/>
          <w:sz w:val="22"/>
          <w:szCs w:val="22"/>
          <w:color w:val="auto"/>
        </w:rPr>
        <w:t>By way of illustration, if, on the date that is two (2) months after the first Vesting Date, your employment terminates (A) by reason of a termination by the Company without Cause, you shall vest in threetwelfths of the Award (i.e., the sum of the onetwelfth of the Award that was scheduled and eligible to vest on the second, third, and fourth Vesting Dates) or (B) by reason of your resignation, you shall vest in twothirds (2/3) of the portion of the Award (i.e., onetwelfth) that was scheduled and eligible to vest on the second Vesting Date and, in each case, the remainder of the Award shall be forfeited.</w:t>
      </w:r>
    </w:p>
    <w:p>
      <w:pPr>
        <w:spacing w:after="0" w:line="139" w:lineRule="exact"/>
        <w:rPr>
          <w:sz w:val="20"/>
          <w:szCs w:val="20"/>
          <w:color w:val="auto"/>
        </w:rPr>
      </w:pPr>
    </w:p>
    <w:p>
      <w:pPr>
        <w:ind w:left="1940" w:hanging="636"/>
        <w:spacing w:after="0"/>
        <w:tabs>
          <w:tab w:leader="none" w:pos="194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Upon a Change of Control that occurs during your employment, the Award shall vest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full immediately.</w:t>
      </w:r>
    </w:p>
    <w:p>
      <w:pPr>
        <w:spacing w:after="0" w:line="147" w:lineRule="exact"/>
        <w:rPr>
          <w:rFonts w:ascii="Arial" w:cs="Arial" w:eastAsia="Arial" w:hAnsi="Arial"/>
          <w:sz w:val="19"/>
          <w:szCs w:val="19"/>
          <w:color w:val="auto"/>
        </w:rPr>
      </w:pPr>
    </w:p>
    <w:p>
      <w:pPr>
        <w:ind w:right="340" w:firstLine="1304"/>
        <w:spacing w:after="0" w:line="253" w:lineRule="auto"/>
        <w:tabs>
          <w:tab w:leader="none" w:pos="1941"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Settlement of Award.</w:t>
      </w:r>
      <w:r>
        <w:rPr>
          <w:rFonts w:ascii="Arial" w:cs="Arial" w:eastAsia="Arial" w:hAnsi="Arial"/>
          <w:sz w:val="22"/>
          <w:szCs w:val="22"/>
          <w:color w:val="auto"/>
        </w:rPr>
        <w:t xml:space="preserve"> On the Settlement Date, the Company shall deliver to you or your legal representative a lump sum cash payment equal to the portion of the Award that has vested in accordance with the terms of this Award Agreement.</w:t>
      </w:r>
    </w:p>
    <w:p>
      <w:pPr>
        <w:spacing w:after="0" w:line="131" w:lineRule="exact"/>
        <w:rPr>
          <w:sz w:val="20"/>
          <w:szCs w:val="20"/>
          <w:color w:val="auto"/>
        </w:rPr>
      </w:pPr>
    </w:p>
    <w:p>
      <w:pPr>
        <w:ind w:right="80" w:firstLine="1296"/>
        <w:spacing w:after="0" w:line="288"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Award.</w:t>
      </w:r>
      <w:r>
        <w:rPr>
          <w:rFonts w:ascii="Arial" w:cs="Arial" w:eastAsia="Arial" w:hAnsi="Arial"/>
          <w:sz w:val="19"/>
          <w:szCs w:val="19"/>
          <w:color w:val="auto"/>
        </w:rPr>
        <w:t xml:space="preserve"> If you (a) breach any restrictive covenant (which, for the avoidance of doubt, includes any noncompete, nonsolicit, non disparagement or confidentiality provisions) contained in any arrangements with the Company (including any Employment Agreement and the confidentiality covenant contained in Section 10(c) hereof) to which you are subject or (b) engage in fraud or willful misconduct that contributes materially to any financial restatement or material loss to the Company or any of its Subsidiaries, your rights with respect to the Award shall immediately terminate, and you shall be entitled to no further payments or benefits with respect thereto and, if the Award has vested and/or settled, the Company may require you to forfeit or remit to the Company any amount payable, or the aftertax net amount paid or received by you, in respect of the Award; provided, however, that (i) the Company shall make such demand that you forfeit or remit any such amount no later than six months after learning of the conduct described in this Section 4 and (ii) in cases where cure is possible, you shall first be provided a 15day cure period to cease, and to cure, such conduct.</w:t>
      </w:r>
    </w:p>
    <w:p>
      <w:pPr>
        <w:spacing w:after="0" w:line="105"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xml:space="preserve"> Unless otherwise provided by the Administrator in its discretion, the Award may not be sold, assigned, alienated, transferred, pledged, attached or otherwise encumbered except as provided in Section 8(a) of the Plan. Any purported sale, assignment, alienation, transfer, pledge, attachment or other encumbrance of the Award in violation of the provisions of this Section 5 and Section 8(a) of the Plan shall be void.</w:t>
      </w:r>
    </w:p>
    <w:p>
      <w:pPr>
        <w:spacing w:after="0" w:line="121" w:lineRule="exact"/>
        <w:rPr>
          <w:sz w:val="20"/>
          <w:szCs w:val="20"/>
          <w:color w:val="auto"/>
        </w:rPr>
      </w:pPr>
    </w:p>
    <w:p>
      <w:pPr>
        <w:ind w:right="60" w:firstLine="1296"/>
        <w:spacing w:after="0" w:line="26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Withholding, Consents and Legends. Withholding.</w:t>
      </w:r>
      <w:r>
        <w:rPr>
          <w:rFonts w:ascii="Arial" w:cs="Arial" w:eastAsia="Arial" w:hAnsi="Arial"/>
          <w:sz w:val="21"/>
          <w:szCs w:val="21"/>
          <w:color w:val="auto"/>
        </w:rPr>
        <w:t xml:space="preserve"> The delivery of cash pursuant to Section 3 of this Award Agreement is conditioned on satisfaction of any applicable withholding taxes in accordance with this Section 8(c) of the Plan. No later than the date as of which an amount first becomes includible in your gross income for Federal, state, local or foreign income tax purposes with respect to any portion of the Award, you shall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 w:name="page9"/>
    <w:bookmarkEnd w:id="8"/>
    <w:p>
      <w:pPr>
        <w:ind w:right="120"/>
        <w:spacing w:after="0" w:line="297" w:lineRule="auto"/>
        <w:rPr>
          <w:sz w:val="20"/>
          <w:szCs w:val="20"/>
          <w:color w:val="auto"/>
        </w:rPr>
      </w:pPr>
      <w:r>
        <w:rPr>
          <w:rFonts w:ascii="Arial" w:cs="Arial" w:eastAsia="Arial" w:hAnsi="Arial"/>
          <w:sz w:val="19"/>
          <w:szCs w:val="19"/>
          <w:color w:val="auto"/>
        </w:rPr>
        <w:t>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the Award, if authorized by the Administrator in its sole discretion, you may satisfy, in whole or in part, any withholding tax liability by having the Company withhold from the cash you would be entitled to receive upon settlement of the Award, an amount equal to such withholding tax liability.</w:t>
      </w:r>
    </w:p>
    <w:p>
      <w:pPr>
        <w:spacing w:after="0" w:line="93" w:lineRule="exact"/>
        <w:rPr>
          <w:sz w:val="20"/>
          <w:szCs w:val="20"/>
          <w:color w:val="auto"/>
        </w:rPr>
      </w:pPr>
    </w:p>
    <w:p>
      <w:pPr>
        <w:ind w:right="240" w:firstLine="1304"/>
        <w:spacing w:after="0" w:line="250" w:lineRule="auto"/>
        <w:tabs>
          <w:tab w:leader="none" w:pos="194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Award are conditioned on the receipt to the full satisfaction of the Administrator of any required consents that the Administrator may determine to be necessary or advisable (including your consent to the Company’s supplying to any thirdparty recordkeeper of the Plan such personal information as the Administrator deems advisable to administer the Plan).</w:t>
      </w:r>
    </w:p>
    <w:p>
      <w:pPr>
        <w:spacing w:after="0" w:line="13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21" w:lineRule="exact"/>
        <w:rPr>
          <w:sz w:val="20"/>
          <w:szCs w:val="20"/>
          <w:color w:val="auto"/>
        </w:rPr>
      </w:pPr>
    </w:p>
    <w:p>
      <w:pPr>
        <w:jc w:val="both"/>
        <w:ind w:right="260" w:firstLine="1296"/>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xml:space="preserve"> The Administrator shall have full and plenary discretion with respect to any actions to be taken or determinations to be made in connection with this Award Agreement, and its determinations shall be final, binding and conclusive.</w:t>
      </w:r>
    </w:p>
    <w:p>
      <w:pPr>
        <w:spacing w:after="0" w:line="131" w:lineRule="exact"/>
        <w:rPr>
          <w:sz w:val="20"/>
          <w:szCs w:val="20"/>
          <w:color w:val="auto"/>
        </w:rPr>
      </w:pPr>
    </w:p>
    <w:p>
      <w:pPr>
        <w:ind w:right="220" w:firstLine="1296"/>
        <w:spacing w:after="0" w:line="28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Dispute Resolution. Jurisdiction and Venue.</w:t>
      </w:r>
      <w:r>
        <w:rPr>
          <w:rFonts w:ascii="Arial" w:cs="Arial" w:eastAsia="Arial" w:hAnsi="Arial"/>
          <w:sz w:val="19"/>
          <w:szCs w:val="19"/>
          <w:color w:val="auto"/>
        </w:rPr>
        <w:t>Notwithstanding any provision in your Employment Agreement,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9(a). You and the Company irrevocably and unconditionally waive any objection to the laying of venue of any action, suit or proceeding arising out of this Award Agreement or the Plan in</w:t>
      </w:r>
    </w:p>
    <w:p>
      <w:pPr>
        <w:spacing w:after="0" w:line="7" w:lineRule="exact"/>
        <w:rPr>
          <w:sz w:val="20"/>
          <w:szCs w:val="20"/>
          <w:color w:val="auto"/>
        </w:rPr>
      </w:pPr>
    </w:p>
    <w:p>
      <w:pPr>
        <w:jc w:val="both"/>
        <w:ind w:right="60" w:firstLine="8"/>
        <w:spacing w:after="0" w:line="262" w:lineRule="auto"/>
        <w:tabs>
          <w:tab w:leader="none" w:pos="354"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22" w:lineRule="exact"/>
        <w:rPr>
          <w:rFonts w:ascii="Arial" w:cs="Arial" w:eastAsia="Arial" w:hAnsi="Arial"/>
          <w:sz w:val="21"/>
          <w:szCs w:val="21"/>
          <w:color w:val="auto"/>
        </w:rPr>
      </w:pPr>
    </w:p>
    <w:p>
      <w:pPr>
        <w:ind w:right="20" w:firstLine="1304"/>
        <w:spacing w:after="0" w:line="253" w:lineRule="auto"/>
        <w:tabs>
          <w:tab w:leader="none" w:pos="1941"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9" w:name="page10"/>
    <w:bookmarkEnd w:id="9"/>
    <w:p>
      <w:pPr>
        <w:ind w:right="60" w:firstLine="1304"/>
        <w:spacing w:after="0" w:line="250" w:lineRule="auto"/>
        <w:tabs>
          <w:tab w:leader="none" w:pos="19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9,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34"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180"/>
          </w:cols>
          <w:pgMar w:left="320" w:top="1428" w:right="399" w:bottom="1440" w:gutter="0" w:footer="0" w:header="0"/>
        </w:sectPr>
      </w:pP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182" w:lineRule="exact"/>
        <w:rPr>
          <w:sz w:val="20"/>
          <w:szCs w:val="20"/>
          <w:color w:val="auto"/>
        </w:rPr>
      </w:pPr>
    </w:p>
    <w:p>
      <w:pPr>
        <w:sectPr>
          <w:pgSz w:w="11900" w:h="16838" w:orient="portrait"/>
          <w:cols w:equalWidth="0" w:num="2">
            <w:col w:w="3180" w:space="720"/>
            <w:col w:w="7280"/>
          </w:cols>
          <w:pgMar w:left="320" w:top="1428" w:right="39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your address as most recently supplied</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to the Company and set forth in the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Company’s records</w:t>
      </w:r>
    </w:p>
    <w:p>
      <w:pPr>
        <w:spacing w:after="0" w:line="148" w:lineRule="exact"/>
        <w:rPr>
          <w:sz w:val="20"/>
          <w:szCs w:val="20"/>
          <w:color w:val="auto"/>
        </w:rPr>
      </w:pPr>
    </w:p>
    <w:p>
      <w:pPr>
        <w:sectPr>
          <w:pgSz w:w="11900" w:h="16838" w:orient="portrait"/>
          <w:cols w:equalWidth="0" w:num="2">
            <w:col w:w="3160" w:space="720"/>
            <w:col w:w="7300"/>
          </w:cols>
          <w:pgMar w:left="320" w:top="1428" w:right="399" w:bottom="1440" w:gutter="0" w:footer="0" w:header="0"/>
          <w:type w:val="continuous"/>
        </w:sectPr>
      </w:pPr>
    </w:p>
    <w:p>
      <w:pPr>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21"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3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38"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Administrator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set forth in Section 14(d) of this Award Agreement, any such waiver, amendment, alteration, suspension, discontinuance, cancelation or termination that would materially and adversely impair your rights under this Award Agreement shall not to that extent be effective without your consent.</w:t>
      </w:r>
    </w:p>
    <w:p>
      <w:pPr>
        <w:spacing w:after="0" w:line="121" w:lineRule="exact"/>
        <w:rPr>
          <w:sz w:val="20"/>
          <w:szCs w:val="20"/>
          <w:color w:val="auto"/>
        </w:rPr>
      </w:pPr>
    </w:p>
    <w:p>
      <w:pPr>
        <w:ind w:right="440" w:firstLine="1296"/>
        <w:spacing w:after="0" w:line="253"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type w:val="continuous"/>
        </w:sectPr>
      </w:pPr>
    </w:p>
    <w:bookmarkStart w:id="10" w:name="page11"/>
    <w:bookmarkEnd w:id="10"/>
    <w:p>
      <w:pPr>
        <w:ind w:right="120" w:firstLine="1304"/>
        <w:spacing w:after="0" w:line="297" w:lineRule="auto"/>
        <w:tabs>
          <w:tab w:leader="none" w:pos="1941" w:val="left"/>
        </w:tabs>
        <w:numPr>
          <w:ilvl w:val="0"/>
          <w:numId w:val="8"/>
        </w:numPr>
        <w:rPr>
          <w:rFonts w:ascii="Arial" w:cs="Arial" w:eastAsia="Arial" w:hAnsi="Arial"/>
          <w:sz w:val="19"/>
          <w:szCs w:val="19"/>
          <w:color w:val="auto"/>
        </w:rPr>
      </w:pPr>
      <w:r>
        <w:rPr>
          <w:rFonts w:ascii="Arial" w:cs="Arial" w:eastAsia="Arial" w:hAnsi="Arial"/>
          <w:sz w:val="19"/>
          <w:szCs w:val="19"/>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92" w:lineRule="exact"/>
        <w:rPr>
          <w:rFonts w:ascii="Arial" w:cs="Arial" w:eastAsia="Arial" w:hAnsi="Arial"/>
          <w:sz w:val="19"/>
          <w:szCs w:val="19"/>
          <w:color w:val="auto"/>
        </w:rPr>
      </w:pPr>
    </w:p>
    <w:p>
      <w:pPr>
        <w:ind w:right="20" w:firstLine="1304"/>
        <w:spacing w:after="0" w:line="290" w:lineRule="auto"/>
        <w:tabs>
          <w:tab w:leader="none" w:pos="1939"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 Section 1.409A2(b)(2)(iii).</w:t>
      </w:r>
    </w:p>
    <w:p>
      <w:pPr>
        <w:spacing w:after="0" w:line="101" w:lineRule="exact"/>
        <w:rPr>
          <w:rFonts w:ascii="Arial" w:cs="Arial" w:eastAsia="Arial" w:hAnsi="Arial"/>
          <w:sz w:val="19"/>
          <w:szCs w:val="19"/>
          <w:color w:val="auto"/>
        </w:rPr>
      </w:pPr>
    </w:p>
    <w:p>
      <w:pPr>
        <w:ind w:right="20" w:firstLine="1304"/>
        <w:spacing w:after="0" w:line="246" w:lineRule="auto"/>
        <w:tabs>
          <w:tab w:leader="none" w:pos="1941" w:val="left"/>
        </w:tabs>
        <w:numPr>
          <w:ilvl w:val="0"/>
          <w:numId w:val="8"/>
        </w:numPr>
        <w:rPr>
          <w:rFonts w:ascii="Arial" w:cs="Arial" w:eastAsia="Arial" w:hAnsi="Arial"/>
          <w:sz w:val="22"/>
          <w:szCs w:val="22"/>
          <w:color w:val="auto"/>
        </w:rPr>
      </w:pPr>
      <w:r>
        <w:rPr>
          <w:rFonts w:ascii="Arial" w:cs="Arial" w:eastAsia="Arial" w:hAnsi="Arial"/>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42"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34"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Section 280G</w:t>
      </w:r>
      <w:r>
        <w:rPr>
          <w:rFonts w:ascii="Arial" w:cs="Arial" w:eastAsia="Arial" w:hAnsi="Arial"/>
          <w:sz w:val="21"/>
          <w:szCs w:val="21"/>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21"/>
          <w:szCs w:val="21"/>
          <w:u w:val="single" w:color="auto"/>
          <w:color w:val="auto"/>
        </w:rPr>
        <w:t>CIC Benefits</w:t>
      </w:r>
      <w:r>
        <w:rPr>
          <w:rFonts w:ascii="Arial" w:cs="Arial" w:eastAsia="Arial" w:hAnsi="Arial"/>
          <w:sz w:val="21"/>
          <w:szCs w:val="21"/>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21"/>
          <w:szCs w:val="21"/>
          <w:u w:val="single" w:color="auto"/>
          <w:color w:val="auto"/>
        </w:rPr>
        <w:t>Excise Tax</w:t>
      </w:r>
      <w:r>
        <w:rPr>
          <w:rFonts w:ascii="Arial" w:cs="Arial" w:eastAsia="Arial" w:hAnsi="Arial"/>
          <w:sz w:val="21"/>
          <w:szCs w:val="21"/>
          <w:color w:val="auto"/>
        </w:rPr>
        <w:t>”), then your CIC Benefits shall be reduced to such lesser amount (the “</w:t>
      </w:r>
      <w:r>
        <w:rPr>
          <w:rFonts w:ascii="Arial" w:cs="Arial" w:eastAsia="Arial" w:hAnsi="Arial"/>
          <w:sz w:val="21"/>
          <w:szCs w:val="21"/>
          <w:u w:val="single" w:color="auto"/>
          <w:color w:val="auto"/>
        </w:rPr>
        <w:t>Reduced Amount</w:t>
      </w:r>
      <w:r>
        <w:rPr>
          <w:rFonts w:ascii="Arial" w:cs="Arial" w:eastAsia="Arial" w:hAnsi="Arial"/>
          <w:sz w:val="21"/>
          <w:szCs w:val="21"/>
          <w:color w:val="auto"/>
        </w:rPr>
        <w:t xml:space="preserve">”) that would result in no portion of such benefits being subject to the Excise Tax;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amounts shall not be so reduced if the Company determines, based on the advice of Golden Parachute Tax Solutions LLC, or such other nationally recognized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9"/>
          <w:szCs w:val="19"/>
          <w:color w:val="auto"/>
        </w:rPr>
        <w:t>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16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16,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16, and the Company shall bear the cost of all fees the Accounting Firm charges in connection with any calculations contemplated by this Section 16. In connection with making determinations under this Section 16, the Accounting Firm shall take into account the value of any reasonable compensation for services to be rendered by you before or after the Change of Control, including any non competition provisions that may apply to you and the Company shall cooperate in the valuation of any such services, including any non-competition provisions.</w:t>
      </w: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parties have duly executed this Award Agreement as of the date first written above.</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XPO LOGISTICS, INC.</w:t>
      </w: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by</w:t>
      </w:r>
    </w:p>
    <w:p>
      <w:pPr>
        <w:spacing w:after="0" w:line="287"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24130</wp:posOffset>
            </wp:positionV>
            <wp:extent cx="2374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51"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Name: Meghan Henson</w:t>
      </w:r>
    </w:p>
    <w:p>
      <w:pPr>
        <w:spacing w:after="0" w:line="58"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extLst>
                    </a:blip>
                    <a:srcRect/>
                    <a:stretch>
                      <a:fillRect/>
                    </a:stretch>
                  </pic:blipFill>
                  <pic:spPr bwMode="auto">
                    <a:xfrm>
                      <a:off x="0" y="0"/>
                      <a:ext cx="2571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July [</w:t>
      </w:r>
      <w:r>
        <w:rPr>
          <w:sz w:val="20"/>
          <w:szCs w:val="20"/>
          <w:color w:val="auto"/>
        </w:rPr>
        <w:tab/>
      </w:r>
      <w:r>
        <w:rPr>
          <w:rFonts w:ascii="Arial" w:cs="Arial" w:eastAsia="Arial" w:hAnsi="Arial"/>
          <w:sz w:val="16"/>
          <w:szCs w:val="16"/>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XPO Logistics, Inc. Stockholder:</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previously announced plans to separate XPO Logistics, Inc. (“XPO”) into two independent, publicly traded companies. The separation will occur through a distribution by XPO of all of the outstanding shares of a newly formed company named GXO Logistics, Inc. (“GXO”), consisting of XPO’s existing logistics business. XPO will continue to be a publicly traded company after the separation and will consist of its existing transportation business.</w:t>
      </w:r>
    </w:p>
    <w:p>
      <w:pPr>
        <w:spacing w:after="0" w:line="9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separation is expected to create two industry-leading, independent public companies with distinct investment identities and clearly delineated service offerings in vast end markets: GXO will be the largest pure-play contract logistics provider in the world, with one of the largest global e-commerce fulfillment platforms, and XPO will be a global provider of transportation services, primarily less-than-truckload transportation and truck brokerage.</w:t>
      </w:r>
    </w:p>
    <w:p>
      <w:pPr>
        <w:spacing w:after="0" w:line="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Each company will have an independent corporate strategy and distinct profit drivers, and will be able to effectively allocate resources and manage its capital in line with its strategic priorities. The separation will create a separate equity currency for GXO, allowing each company to structure incentive compensation arrangements that are more closely aligned with the performance of its respective business. As separate entities, each company will be better positioned to pursue its own growth opportunities, including the increasing demand for outsourcing, digital transportation management and warehouse automation, as our customers demand faster, leaner, smarter supply chains to meet the expectations of their end-markets.</w:t>
      </w:r>
    </w:p>
    <w:p>
      <w:pPr>
        <w:spacing w:after="0" w:line="1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Upon completion of the distribution, each XPO stockholder as of July 23, 2021, the record date for the distribution, will receive one share of GXO common stock for every share of XPO common stock held as of the close of business on the record date. GXO common stock will be issued in book-entry form only, which means that no physical share certificates will be issued. For U.S. federal income tax purposes, the distribution is intended to be tax-free to XPO stockholders. No vote of XPO stockholders is required for the distribution. You do not need to take any action to receive shares of GXO to which you are entitled as an XPO stockholder, and you do not need to pay any consideration or surrender or exchange your XPO common stock, which will continue to trade on the New York Stock Exchange.</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encourage you to read the attached information statement, which is being provided to all XPO stockholders that held shares of XPO on the record date for the distribution. The information statement describes the planned distribution of GXO common stock in detail and contains important business and financial information about GXO. The included financial statements of GXO are prepared from XPO’s historical accounting records and contain certain allocations of XPO’s costs, and we encourage you to read them together with the pro forma financial information included in the attached information statement, which gives effect to the separation and reflects GXO’s anticipated post-separation capital structure, including the assignment of certain assets and assumption of certain liabilities not included in the historical financial statements.</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the separation will create new opportunities for both companies to realize significant growth, led by management teams with a demonstrated commitment to our investors, customers, employees and community. As an XPO shareholder, you’ve seen the benefit of this commitment first-hand through a decade of operational excellence and productive capital allocation. We look forward to the potential we expect will be unlocked by the spin-off — for XPO, for GXO and for you, as a stockholder of both companies.</w:t>
      </w:r>
    </w:p>
    <w:p>
      <w:pPr>
        <w:spacing w:after="0" w:line="17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XPO Logistics, Inc.</w:t>
      </w:r>
    </w:p>
    <w:p>
      <w:pPr>
        <w:sectPr>
          <w:pgSz w:w="11900" w:h="16838" w:orient="portrait"/>
          <w:cols w:equalWidth="0" w:num="1">
            <w:col w:w="11240"/>
          </w:cols>
          <w:pgMar w:left="320" w:top="121"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July [</w:t>
      </w:r>
      <w:r>
        <w:rPr>
          <w:sz w:val="20"/>
          <w:szCs w:val="20"/>
          <w:color w:val="auto"/>
        </w:rPr>
        <w:tab/>
      </w:r>
      <w:r>
        <w:rPr>
          <w:rFonts w:ascii="Arial" w:cs="Arial" w:eastAsia="Arial" w:hAnsi="Arial"/>
          <w:sz w:val="16"/>
          <w:szCs w:val="16"/>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Future GXO Logistics, Inc. Stockholder:</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I’m excited to welcome you as a future stockholder of GXO Logistics, Inc. (“GXO”), a leader in cutting-edge logistics solutions for supply chains around the world. The planned separation of GXO from XPO is a compelling prospect for our company, and one that we believe will unlock value for all our stakeholders.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opportunity we see in front of GXO is rooted in years of momentum as part of XPO, during which time our business benefited from significant investments in intelligent technology, customer service, talent and scale. As an independent public company, we can build on this strong positioning to capitalize on massive tailwinds in our industry: the secular growth in e-commerce and omnichannel retail, the rapidly increasing customer demand for digital capabilities, and the shift toward outsourcing logistics services. Moreover, as a separate company, we’ll be able to deepen our focus on providing our broad base of customers with tailored solutions, including robotics and other advanced automation, visibility and control. By continuing to develop our proprietary technology, we’ll continue to become increasingly nimble at managing our customers’ supply chains, gaining ground as a trusted partner and advisor as we deliver additional value to those relationships.</w:t>
      </w:r>
    </w:p>
    <w:p>
      <w:pPr>
        <w:spacing w:after="0" w:line="12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Importantly for you as a stockholder, we’ll be able to intensify our focus on our strategic priorities. We’ll also have a simplified business structure, a capital structure tailored to our needs and a clearly delineated investment profile. Our standalone stock listing will create an independent equity currency we can use to structure employee incentive compensation arrangements that are more directly tied to our performance, enhance our ability to recruit talent globally and accomplish accretive acquisitions. We intend to continue to drive profitable growth in our business, capitalizing on substantial market opportunities in our large and fragmented industry, and to be an innovation leader. We expect to list GXO’s common stock on the New York Stock Exchange under the symbol “GXO” when the separation is complete.</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vision for the future is clear. We intend to continue to deliver superior value for our customers. We plan to ensure operational excellence led by top talent, invest in the profitable growth of our business and generate strong cash flows, providing excellent outcomes for our stockholders. For our employees, we’ll build a purposeful culture as an independent, publicly traded company and engage our people in our 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our future and to your support as a holder of GXO common stock.</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GXO Logistics, Inc.</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F1665F"/>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F1665F"/>
        </w:rPr>
        <w:t>Preliminary and Subject to Completion, Dated July 19,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1739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information statement is being furnished in connection with the distribution by XPO Logistics, Inc. (“XPO”) to its stockholders of the outstanding shares of common stock of GXO Logistics, Inc. (“GXO”), a wholly owned subsidiary of XPO that will hold the assets and liabilities associated with XPO’s Logistics segment. To implement the separation, XPO currently plans to distribute all of the shares of GXO common stock on a pro rata basis to XPO stockholders in a distribution that is intended to be tax-free to XPO stockholders for U.S. federal income tax purposes.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every share of common stock of XPO held of record by you as of the close of business on July 23, 2021, which is the record date for the distribution, you will receive one share of GXO common stock. As discussed under “The Separation and Distribution—Trading Between the Record Date and the Distribution Date,” if you sell your shares of XPO common stock in the “regular-way” market after the record date up to the distribution date, you also will be selling your right to receive shares of GXO common stock in connection with the distribution. We expect the shares of GXO common stock to be distributed by XPO to you at 12:01 a.m., Eastern Time, on August 2, 2021. We refer to the date of the distribution of the GXO common stock as the “distribution date.”</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Until the distribution occurs, GXO will be a wholly owned subsidiary of XPO, and consequently, XPO will have the sole and absolute discretion to determine and change the terms of the separation (or to terminate the separation), including the establishment of the record date for the distribution and the distribution date.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 vote of XPO stockholders is required for the distribution. Therefore, you are not being asked for a proxy, and you are requested not to send XPO a proxy, in connection with the distribution. You do not need to pay any consideration, exchange or surrender your existing shares of XPO common stock or take any other action to receive your shares of GXO common stock.</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no current trading market for GXO common stock, although we expect that a limited market, commonly known as a “when-issued” trading market, will develop on or shortly before the record date for the distribution, and we expect “regular-way” trading of GXO common stock to begin on the distribution date. GXO intends to list its common stock on the New York Stock Exchange (the “NYSE”) under the symbol “GXO.” Following the distribution, XPO will continue to trade on the NYSE under the symbol “XPO.”</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reviewing this information statement, you should carefully consider the matters described in the section titled “Risk Factors” beginning on page 20.</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168910</wp:posOffset>
            </wp:positionV>
            <wp:extent cx="1739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5"/>
              </w:rPr>
              <w:t>The date of this information statement is July [</w:t>
            </w:r>
          </w:p>
        </w:tc>
        <w:tc>
          <w:tcPr>
            <w:tcW w:w="2600" w:type="dxa"/>
            <w:vAlign w:val="bottom"/>
          </w:tcPr>
          <w:p>
            <w:pPr>
              <w:jc w:val="right"/>
              <w:ind w:right="1810"/>
              <w:spacing w:after="0"/>
              <w:rPr>
                <w:sz w:val="20"/>
                <w:szCs w:val="20"/>
                <w:color w:val="auto"/>
              </w:rPr>
            </w:pPr>
            <w:r>
              <w:rPr>
                <w:rFonts w:ascii="Arial" w:cs="Arial" w:eastAsia="Arial" w:hAnsi="Arial"/>
                <w:sz w:val="18"/>
                <w:szCs w:val="18"/>
                <w:color w:val="auto"/>
              </w:rPr>
              <w:t>], 2021.</w:t>
            </w:r>
          </w:p>
        </w:tc>
        <w:tc>
          <w:tcPr>
            <w:tcW w:w="700" w:type="dxa"/>
            <w:vAlign w:val="bottom"/>
          </w:tcPr>
          <w:p>
            <w:pPr>
              <w:spacing w:after="0"/>
              <w:rPr>
                <w:sz w:val="20"/>
                <w:szCs w:val="20"/>
                <w:color w:val="auto"/>
              </w:rPr>
            </w:pPr>
          </w:p>
        </w:tc>
      </w:tr>
      <w:tr>
        <w:trPr>
          <w:trHeight w:val="378"/>
        </w:trPr>
        <w:tc>
          <w:tcPr>
            <w:tcW w:w="6140" w:type="dxa"/>
            <w:vAlign w:val="bottom"/>
            <w:gridSpan w:val="2"/>
          </w:tcPr>
          <w:p>
            <w:pPr>
              <w:spacing w:after="0"/>
              <w:rPr>
                <w:sz w:val="20"/>
                <w:szCs w:val="20"/>
                <w:color w:val="auto"/>
              </w:rPr>
            </w:pPr>
            <w:r>
              <w:rPr>
                <w:rFonts w:ascii="Arial" w:cs="Arial" w:eastAsia="Arial" w:hAnsi="Arial"/>
                <w:sz w:val="18"/>
                <w:szCs w:val="18"/>
                <w:color w:val="auto"/>
                <w:w w:val="93"/>
              </w:rPr>
              <w:t>This information statement was first mailed to XPO stockholders on or about July [</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20"/>
          </w:cols>
          <w:pgMar w:left="320" w:top="1440" w:right="359" w:bottom="1440" w:gutter="0" w:footer="0" w:header="0"/>
        </w:sectPr>
      </w:pPr>
    </w:p>
    <w:bookmarkStart w:id="15" w:name="page16"/>
    <w:bookmarkEnd w:id="15"/>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00" w:type="dxa"/>
            <w:vAlign w:val="bottom"/>
            <w:gridSpan w:val="3"/>
          </w:tcPr>
          <w:p>
            <w:pPr>
              <w:ind w:left="200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2380" w:type="dxa"/>
            <w:vAlign w:val="bottom"/>
            <w:tcBorders>
              <w:bottom w:val="single" w:sz="8" w:color="0000FF"/>
            </w:tcBorders>
            <w:gridSpan w:val="11"/>
          </w:tcPr>
          <w:p>
            <w:pPr>
              <w:spacing w:after="0" w:line="201" w:lineRule="exact"/>
              <w:rPr>
                <w:rFonts w:ascii="Arial" w:cs="Arial" w:eastAsia="Arial" w:hAnsi="Arial"/>
                <w:sz w:val="18"/>
                <w:szCs w:val="18"/>
                <w:color w:val="0000FF"/>
                <w:w w:val="91"/>
              </w:rPr>
            </w:pPr>
            <w:hyperlink w:anchor="page17">
              <w:r>
                <w:rPr>
                  <w:rFonts w:ascii="Arial" w:cs="Arial" w:eastAsia="Arial" w:hAnsi="Arial"/>
                  <w:sz w:val="18"/>
                  <w:szCs w:val="18"/>
                  <w:color w:val="0000FF"/>
                  <w:w w:val="91"/>
                </w:rPr>
                <w:t>Information Statement Summary</w:t>
              </w:r>
            </w:hyperlink>
          </w:p>
        </w:tc>
        <w:tc>
          <w:tcPr>
            <w:tcW w:w="6080" w:type="dxa"/>
            <w:vAlign w:val="bottom"/>
            <w:gridSpan w:val="11"/>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1" w:lineRule="exact"/>
              <w:rPr>
                <w:rFonts w:ascii="Arial" w:cs="Arial" w:eastAsia="Arial" w:hAnsi="Arial"/>
                <w:sz w:val="18"/>
                <w:szCs w:val="18"/>
                <w:color w:val="0000FF"/>
                <w:w w:val="99"/>
              </w:rPr>
            </w:pPr>
            <w:hyperlink w:anchor="page17">
              <w:r>
                <w:rPr>
                  <w:rFonts w:ascii="Arial" w:cs="Arial" w:eastAsia="Arial" w:hAnsi="Arial"/>
                  <w:sz w:val="18"/>
                  <w:szCs w:val="18"/>
                  <w:color w:val="0000FF"/>
                  <w:w w:val="99"/>
                </w:rPr>
                <w:t>1</w:t>
              </w:r>
            </w:hyperlink>
          </w:p>
        </w:tc>
        <w:tc>
          <w:tcPr>
            <w:tcW w:w="60" w:type="dxa"/>
            <w:vAlign w:val="bottom"/>
          </w:tcPr>
          <w:p>
            <w:pPr>
              <w:spacing w:after="0"/>
              <w:rPr>
                <w:sz w:val="17"/>
                <w:szCs w:val="17"/>
                <w:color w:val="auto"/>
              </w:rPr>
            </w:pPr>
          </w:p>
        </w:tc>
      </w:tr>
      <w:tr>
        <w:trPr>
          <w:trHeight w:val="209"/>
        </w:trPr>
        <w:tc>
          <w:tcPr>
            <w:tcW w:w="4500" w:type="dxa"/>
            <w:vAlign w:val="bottom"/>
            <w:gridSpan w:val="18"/>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Questions and Answers About the Separation and Distribution</w:t>
              </w:r>
            </w:hyperlink>
          </w:p>
        </w:tc>
        <w:tc>
          <w:tcPr>
            <w:tcW w:w="3960" w:type="dxa"/>
            <w:vAlign w:val="bottom"/>
            <w:gridSpan w:val="4"/>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Summary of Historical and Pro Forma Combined Financial Data</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16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3740" w:type="dxa"/>
            <w:vAlign w:val="bottom"/>
            <w:gridSpan w:val="16"/>
          </w:tcPr>
          <w:p>
            <w:pPr>
              <w:spacing w:after="0"/>
              <w:rPr>
                <w:sz w:val="18"/>
                <w:szCs w:val="18"/>
                <w:color w:val="auto"/>
              </w:rPr>
            </w:pPr>
          </w:p>
        </w:tc>
        <w:tc>
          <w:tcPr>
            <w:tcW w:w="3800" w:type="dxa"/>
            <w:vAlign w:val="bottom"/>
            <w:gridSpan w:val="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60" w:type="dxa"/>
            <w:vAlign w:val="bottom"/>
            <w:gridSpan w:val="17"/>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Cautionary Note Regarding Forward-Looking Statements</w:t>
              </w:r>
            </w:hyperlink>
          </w:p>
        </w:tc>
        <w:tc>
          <w:tcPr>
            <w:tcW w:w="430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38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The Separation and Distribution</w:t>
              </w:r>
            </w:hyperlink>
          </w:p>
        </w:tc>
        <w:tc>
          <w:tcPr>
            <w:tcW w:w="1840" w:type="dxa"/>
            <w:vAlign w:val="bottom"/>
            <w:gridSpan w:val="7"/>
          </w:tcPr>
          <w:p>
            <w:pPr>
              <w:spacing w:after="0"/>
              <w:rPr>
                <w:sz w:val="18"/>
                <w:szCs w:val="18"/>
                <w:color w:val="auto"/>
              </w:rPr>
            </w:pPr>
          </w:p>
        </w:tc>
        <w:tc>
          <w:tcPr>
            <w:tcW w:w="430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40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Dividend Policy</w:t>
              </w:r>
            </w:hyperlink>
          </w:p>
        </w:tc>
        <w:tc>
          <w:tcPr>
            <w:tcW w:w="6140" w:type="dxa"/>
            <w:vAlign w:val="bottom"/>
            <w:gridSpan w:val="12"/>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47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7280" w:type="dxa"/>
            <w:vAlign w:val="bottom"/>
            <w:gridSpan w:val="17"/>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48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Unaudited Pro Forma Condensed Combined Financial Information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49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820" w:type="dxa"/>
            <w:vAlign w:val="bottom"/>
            <w:gridSpan w:val="20"/>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Business</w:t>
              </w:r>
            </w:hyperlink>
          </w:p>
        </w:tc>
        <w:tc>
          <w:tcPr>
            <w:tcW w:w="3640" w:type="dxa"/>
            <w:vAlign w:val="bottom"/>
            <w:gridSpan w:val="2"/>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57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Management’s Discussion and Analysis of Financial Condition and Results of Operations</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68</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60" w:type="dxa"/>
            <w:vAlign w:val="bottom"/>
            <w:gridSpan w:val="2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Management</w:t>
              </w:r>
            </w:hyperlink>
          </w:p>
        </w:tc>
        <w:tc>
          <w:tcPr>
            <w:tcW w:w="2000" w:type="dxa"/>
            <w:vAlign w:val="bottom"/>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80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Directors</w:t>
              </w:r>
            </w:hyperlink>
          </w:p>
        </w:tc>
        <w:tc>
          <w:tcPr>
            <w:tcW w:w="240" w:type="dxa"/>
            <w:vAlign w:val="bottom"/>
          </w:tcPr>
          <w:p>
            <w:pPr>
              <w:spacing w:after="0"/>
              <w:rPr>
                <w:sz w:val="18"/>
                <w:szCs w:val="18"/>
                <w:color w:val="auto"/>
              </w:rPr>
            </w:pPr>
          </w:p>
        </w:tc>
        <w:tc>
          <w:tcPr>
            <w:tcW w:w="7540" w:type="dxa"/>
            <w:vAlign w:val="bottom"/>
            <w:gridSpan w:val="19"/>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81</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Executive Compensation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89</w:t>
              </w:r>
            </w:hyperlink>
          </w:p>
        </w:tc>
        <w:tc>
          <w:tcPr>
            <w:tcW w:w="60" w:type="dxa"/>
            <w:vAlign w:val="bottom"/>
          </w:tcPr>
          <w:p>
            <w:pPr>
              <w:spacing w:after="0"/>
              <w:rPr>
                <w:sz w:val="18"/>
                <w:szCs w:val="18"/>
                <w:color w:val="auto"/>
              </w:rPr>
            </w:pPr>
          </w:p>
        </w:tc>
      </w:tr>
      <w:tr>
        <w:trPr>
          <w:trHeight w:val="20"/>
        </w:trPr>
        <w:tc>
          <w:tcPr>
            <w:tcW w:w="16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00" w:type="dxa"/>
            <w:vAlign w:val="bottom"/>
            <w:gridSpan w:val="7"/>
          </w:tcPr>
          <w:p>
            <w:pPr>
              <w:spacing w:after="0"/>
              <w:rPr>
                <w:rFonts w:ascii="Arial" w:cs="Arial" w:eastAsia="Arial" w:hAnsi="Arial"/>
                <w:sz w:val="18"/>
                <w:szCs w:val="18"/>
                <w:color w:val="0000FF"/>
                <w:w w:val="96"/>
              </w:rPr>
            </w:pPr>
            <w:hyperlink w:anchor="page112">
              <w:r>
                <w:rPr>
                  <w:rFonts w:ascii="Arial" w:cs="Arial" w:eastAsia="Arial" w:hAnsi="Arial"/>
                  <w:sz w:val="18"/>
                  <w:szCs w:val="18"/>
                  <w:color w:val="0000FF"/>
                  <w:w w:val="96"/>
                </w:rPr>
                <w:t>Director Compensation</w:t>
              </w:r>
            </w:hyperlink>
          </w:p>
        </w:tc>
        <w:tc>
          <w:tcPr>
            <w:tcW w:w="6660" w:type="dxa"/>
            <w:vAlign w:val="bottom"/>
            <w:gridSpan w:val="1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96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GXO 2021 Omnibus Incentive Compensation Plan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97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Certain Relationships and Related Party Transactions</w:t>
              </w:r>
            </w:hyperlink>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102</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3540" w:type="dxa"/>
            <w:vAlign w:val="bottom"/>
            <w:gridSpan w:val="14"/>
          </w:tcPr>
          <w:p>
            <w:pPr>
              <w:spacing w:after="0"/>
              <w:rPr>
                <w:rFonts w:ascii="Arial" w:cs="Arial" w:eastAsia="Arial" w:hAnsi="Arial"/>
                <w:sz w:val="18"/>
                <w:szCs w:val="18"/>
                <w:color w:val="0000FF"/>
                <w:w w:val="89"/>
              </w:rPr>
            </w:pPr>
            <w:hyperlink w:anchor="page124">
              <w:r>
                <w:rPr>
                  <w:rFonts w:ascii="Arial" w:cs="Arial" w:eastAsia="Arial" w:hAnsi="Arial"/>
                  <w:sz w:val="18"/>
                  <w:szCs w:val="18"/>
                  <w:color w:val="0000FF"/>
                  <w:w w:val="89"/>
                </w:rPr>
                <w:t>Material U.S. Federal Income Tax Consequences</w:t>
              </w:r>
            </w:hyperlink>
          </w:p>
        </w:tc>
        <w:tc>
          <w:tcPr>
            <w:tcW w:w="300" w:type="dxa"/>
            <w:vAlign w:val="bottom"/>
            <w:gridSpan w:val="2"/>
          </w:tcPr>
          <w:p>
            <w:pPr>
              <w:spacing w:after="0"/>
              <w:rPr>
                <w:sz w:val="18"/>
                <w:szCs w:val="18"/>
                <w:color w:val="auto"/>
              </w:rPr>
            </w:pPr>
          </w:p>
        </w:tc>
        <w:tc>
          <w:tcPr>
            <w:tcW w:w="4620" w:type="dxa"/>
            <w:vAlign w:val="bottom"/>
            <w:gridSpan w:val="6"/>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108</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680" w:type="dxa"/>
            <w:vAlign w:val="bottom"/>
            <w:gridSpan w:val="12"/>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Description of Material Indebtedness</w:t>
              </w:r>
            </w:hyperlink>
          </w:p>
        </w:tc>
        <w:tc>
          <w:tcPr>
            <w:tcW w:w="860" w:type="dxa"/>
            <w:vAlign w:val="bottom"/>
            <w:gridSpan w:val="2"/>
          </w:tcPr>
          <w:p>
            <w:pPr>
              <w:spacing w:after="0"/>
              <w:rPr>
                <w:sz w:val="18"/>
                <w:szCs w:val="18"/>
                <w:color w:val="auto"/>
              </w:rPr>
            </w:pPr>
          </w:p>
        </w:tc>
        <w:tc>
          <w:tcPr>
            <w:tcW w:w="4920" w:type="dxa"/>
            <w:vAlign w:val="bottom"/>
            <w:gridSpan w:val="8"/>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127">
              <w:r>
                <w:rPr>
                  <w:rFonts w:ascii="Arial" w:cs="Arial" w:eastAsia="Arial" w:hAnsi="Arial"/>
                  <w:sz w:val="18"/>
                  <w:szCs w:val="18"/>
                  <w:color w:val="0000FF"/>
                  <w:w w:val="86"/>
                </w:rPr>
                <w:t>111</w:t>
              </w:r>
            </w:hyperlink>
          </w:p>
        </w:tc>
        <w:tc>
          <w:tcPr>
            <w:tcW w:w="60" w:type="dxa"/>
            <w:vAlign w:val="bottom"/>
          </w:tcPr>
          <w:p>
            <w:pPr>
              <w:spacing w:after="0"/>
              <w:rPr>
                <w:sz w:val="18"/>
                <w:szCs w:val="18"/>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8460" w:type="dxa"/>
            <w:vAlign w:val="bottom"/>
            <w:gridSpan w:val="22"/>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Security Ownership of Certain Beneficial Owners and Management</w:t>
              </w:r>
            </w:hyperlink>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113</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060" w:type="dxa"/>
            <w:vAlign w:val="bottom"/>
            <w:gridSpan w:val="8"/>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Description of Capital Stock</w:t>
              </w:r>
            </w:hyperlink>
          </w:p>
        </w:tc>
        <w:tc>
          <w:tcPr>
            <w:tcW w:w="2760" w:type="dxa"/>
            <w:vAlign w:val="bottom"/>
            <w:gridSpan w:val="12"/>
          </w:tcPr>
          <w:p>
            <w:pPr>
              <w:spacing w:after="0"/>
              <w:rPr>
                <w:sz w:val="18"/>
                <w:szCs w:val="18"/>
                <w:color w:val="auto"/>
              </w:rPr>
            </w:pPr>
          </w:p>
        </w:tc>
        <w:tc>
          <w:tcPr>
            <w:tcW w:w="3640" w:type="dxa"/>
            <w:vAlign w:val="bottom"/>
            <w:gridSpan w:val="2"/>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131">
              <w:r>
                <w:rPr>
                  <w:rFonts w:ascii="Arial" w:cs="Arial" w:eastAsia="Arial" w:hAnsi="Arial"/>
                  <w:sz w:val="18"/>
                  <w:szCs w:val="18"/>
                  <w:color w:val="0000FF"/>
                  <w:w w:val="86"/>
                </w:rPr>
                <w:t>115</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880" w:type="dxa"/>
            <w:vAlign w:val="bottom"/>
            <w:gridSpan w:val="13"/>
          </w:tcPr>
          <w:p>
            <w:pPr>
              <w:spacing w:after="0"/>
              <w:rPr>
                <w:rFonts w:ascii="Arial" w:cs="Arial" w:eastAsia="Arial" w:hAnsi="Arial"/>
                <w:sz w:val="18"/>
                <w:szCs w:val="18"/>
                <w:color w:val="0000FF"/>
                <w:w w:val="92"/>
              </w:rPr>
            </w:pPr>
            <w:hyperlink w:anchor="page136">
              <w:r>
                <w:rPr>
                  <w:rFonts w:ascii="Arial" w:cs="Arial" w:eastAsia="Arial" w:hAnsi="Arial"/>
                  <w:sz w:val="18"/>
                  <w:szCs w:val="18"/>
                  <w:color w:val="0000FF"/>
                  <w:w w:val="92"/>
                </w:rPr>
                <w:t>Where You Can Find More Information</w:t>
              </w:r>
            </w:hyperlink>
          </w:p>
        </w:tc>
        <w:tc>
          <w:tcPr>
            <w:tcW w:w="5580" w:type="dxa"/>
            <w:vAlign w:val="bottom"/>
            <w:gridSpan w:val="9"/>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120</w:t>
              </w:r>
            </w:hyperlink>
          </w:p>
        </w:tc>
      </w:tr>
      <w:tr>
        <w:trPr>
          <w:trHeight w:val="210"/>
        </w:trPr>
        <w:tc>
          <w:tcPr>
            <w:tcW w:w="2880" w:type="dxa"/>
            <w:vAlign w:val="bottom"/>
            <w:tcBorders>
              <w:top w:val="single" w:sz="8" w:color="0000FF"/>
            </w:tcBorders>
            <w:gridSpan w:val="13"/>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Index to Financial Statements</w:t>
              </w:r>
            </w:hyperlink>
          </w:p>
        </w:tc>
        <w:tc>
          <w:tcPr>
            <w:tcW w:w="5580" w:type="dxa"/>
            <w:vAlign w:val="bottom"/>
            <w:gridSpan w:val="9"/>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0000FF"/>
            </w:tcBorders>
          </w:tcPr>
          <w:p>
            <w:pPr>
              <w:spacing w:after="0"/>
              <w:rPr>
                <w:rFonts w:ascii="Arial" w:cs="Arial" w:eastAsia="Arial" w:hAnsi="Arial"/>
                <w:sz w:val="9"/>
                <w:szCs w:val="9"/>
                <w:color w:val="0000FF"/>
                <w:w w:val="73"/>
              </w:rPr>
            </w:pPr>
            <w:hyperlink w:anchor="page137">
              <w:r>
                <w:rPr>
                  <w:rFonts w:ascii="Arial" w:cs="Arial" w:eastAsia="Arial" w:hAnsi="Arial"/>
                  <w:sz w:val="9"/>
                  <w:szCs w:val="9"/>
                  <w:color w:val="0000FF"/>
                  <w:w w:val="73"/>
                </w:rPr>
                <w:t>F-1</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Presentation of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the context otherwise requires or otherwise specifies:</w:t>
      </w:r>
    </w:p>
    <w:p>
      <w:pPr>
        <w:spacing w:after="0" w:line="171" w:lineRule="exact"/>
        <w:rPr>
          <w:sz w:val="20"/>
          <w:szCs w:val="20"/>
          <w:color w:val="auto"/>
        </w:rPr>
      </w:pPr>
    </w:p>
    <w:p>
      <w:pPr>
        <w:ind w:left="640" w:right="680" w:hanging="328"/>
        <w:spacing w:after="0" w:line="342" w:lineRule="auto"/>
        <w:tabs>
          <w:tab w:leader="none" w:pos="6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included in this information statement about GXO, including the Combined Financial Statements of GXO, assumes the completion of all of the transactions referred to in this information statement in connection with the separation and distribution.</w:t>
      </w:r>
    </w:p>
    <w:p>
      <w:pPr>
        <w:spacing w:after="0" w:line="69" w:lineRule="exact"/>
        <w:rPr>
          <w:rFonts w:ascii="Arial" w:cs="Arial" w:eastAsia="Arial" w:hAnsi="Arial"/>
          <w:sz w:val="16"/>
          <w:szCs w:val="16"/>
          <w:color w:val="auto"/>
        </w:rPr>
      </w:pPr>
    </w:p>
    <w:p>
      <w:pPr>
        <w:ind w:left="640" w:right="160" w:hanging="328"/>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specified herein, references in this information statement to “GXO,” “we,” “us,” “our,” “our company” and “the company” refer to GXO Logistics, Inc., a Delaware corporation, and its combined subsidiaries.</w:t>
      </w:r>
    </w:p>
    <w:p>
      <w:pPr>
        <w:spacing w:after="0" w:line="116" w:lineRule="exact"/>
        <w:rPr>
          <w:rFonts w:ascii="Arial" w:cs="Arial" w:eastAsia="Arial" w:hAnsi="Arial"/>
          <w:sz w:val="18"/>
          <w:szCs w:val="18"/>
          <w:color w:val="auto"/>
        </w:rPr>
      </w:pPr>
    </w:p>
    <w:p>
      <w:pPr>
        <w:jc w:val="both"/>
        <w:ind w:left="640" w:hanging="328"/>
        <w:spacing w:after="0" w:line="26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in this information statement to “XPO” refer to XPO Logistics, Inc., a Delaware corporation, and its combined subsidiaries, including XPO’s Logistics segment prior to completion of the separation and the distribution and excluding XPO’s Logistics segment following completion of the separation and the distribution.</w:t>
      </w:r>
    </w:p>
    <w:p>
      <w:pPr>
        <w:spacing w:after="0" w:line="129" w:lineRule="exact"/>
        <w:rPr>
          <w:rFonts w:ascii="Arial" w:cs="Arial" w:eastAsia="Arial" w:hAnsi="Arial"/>
          <w:sz w:val="18"/>
          <w:szCs w:val="18"/>
          <w:color w:val="auto"/>
        </w:rPr>
      </w:pPr>
    </w:p>
    <w:p>
      <w:pPr>
        <w:ind w:left="640" w:hanging="32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in this information statement to the “GXO Businesses” refer to XPO’s Logistics segment.</w:t>
      </w:r>
    </w:p>
    <w:p>
      <w:pPr>
        <w:spacing w:after="0" w:line="171" w:lineRule="exact"/>
        <w:rPr>
          <w:rFonts w:ascii="Arial" w:cs="Arial" w:eastAsia="Arial" w:hAnsi="Arial"/>
          <w:sz w:val="18"/>
          <w:szCs w:val="18"/>
          <w:color w:val="auto"/>
        </w:rPr>
      </w:pPr>
    </w:p>
    <w:p>
      <w:pPr>
        <w:ind w:left="640" w:right="120" w:hanging="328"/>
        <w:spacing w:after="0" w:line="26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GXO Businesses from XPO’s other businesses and the creation, as a result of the distribution, of an independent, publicly traded company, GXO, to hold the assets and liabilities associated with the GXO Businesses after the distribution.</w:t>
      </w:r>
    </w:p>
    <w:p>
      <w:pPr>
        <w:spacing w:after="0" w:line="129" w:lineRule="exact"/>
        <w:rPr>
          <w:rFonts w:ascii="Arial" w:cs="Arial" w:eastAsia="Arial" w:hAnsi="Arial"/>
          <w:sz w:val="18"/>
          <w:szCs w:val="18"/>
          <w:color w:val="auto"/>
        </w:rPr>
      </w:pPr>
    </w:p>
    <w:p>
      <w:pPr>
        <w:ind w:left="640" w:right="240" w:hanging="328"/>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“distribution” refer to the pro rata distribution of all of GXO’s issued and outstanding shares of common stock to XPO stockholders as of the close of business on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40" w:top="1440" w:right="439" w:bottom="1440" w:gutter="0" w:footer="0" w:header="0"/>
        </w:sectPr>
      </w:pPr>
    </w:p>
    <w:bookmarkStart w:id="16" w:name="page17"/>
    <w:bookmarkEnd w:id="16"/>
    <w:p>
      <w:pPr>
        <w:spacing w:after="0" w:line="144" w:lineRule="exact"/>
        <w:rPr>
          <w:sz w:val="20"/>
          <w:szCs w:val="20"/>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in this information statement to GXO’s per share data assume a distribution ratio of one share of GXO common stock for every share of XPO common stock.</w:t>
      </w:r>
    </w:p>
    <w:p>
      <w:pPr>
        <w:spacing w:after="0" w:line="11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in this information statement to GXO’s historical assets, liabilities, products, businesses or activities generally refer to the historical assets, liabilities, products, businesses or activities of the GXO Businesses as the businesses were conducted as part of XPO prior to the completion of the separation.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Information</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Unless indicated otherwise, the information concerning the industries and markets in which GXO participates contained in this information statement is based on GXO’s general knowledge of and expectations concerning the industry. The market positions, shares, market sizes and growth estimates included in this information statement are based on estimates using GXO’s internal data and estimates, based on data from various industry analyses, our internal research and adjustments and assumptions that we believe to be reasonable. GXO has not independently verified data from industry analyses and cannot guarantee their accuracy or completeness. In addition, GXO believes that data regarding the industry, market positions, shares, market sizes and growth estimates provide general guidance but are inherently imprecise. Further, GXO’s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1440" w:right="4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 SUMMARY</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the distribution or other information that may be important to you. To better understand the separation, the distribution and our business and financial position, you should carefully review this entire information statement. Unless the context otherwise requires, the information included in this information statement about GXO, including the Combined Financial Statements of GXO, assumes the completion of all of the transactions referred to in this information statement in connection with the separation and distribution. Unless the context otherwise requires, or when otherwise specified, references in this information statement to “GXO,” “we,” “us,” “our,” “our company” and “the company” refer to GXO Logistics, Inc., a Delaware corporation, and its subsidiaries. Unless the context otherwise requires, references in this information statement to “XPO” refer to XPO Logistics, Inc., a Delaware corporation, and its combined subsidiaries, including the GXO Businesses prior to completion of the separation and distribution and excluding the GXO Businesses following the completion of the separation and distribution.</w:t>
      </w:r>
    </w:p>
    <w:p>
      <w:pPr>
        <w:spacing w:after="0" w:line="1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Unless the context otherwise requires, or when otherwise specified, references in this information statement to our historical assets, liabilities, products, businesses or activities of our businesses are generally intended to refer to the historical assets, liabilities, products, businesses or activities of the GXO Businesses as they were conducted as part of XPO prior to completion of the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1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blue-chip leaders in attractive sectors that demonstrate high growth or durable demand over time.</w:t>
      </w:r>
    </w:p>
    <w:p>
      <w:pPr>
        <w:spacing w:after="0" w:line="9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2020, we generated $6.2 billion of revenue. See “Summary Historical and Pro Forma Combined Financial Data” for additional information. As of March 31, 2021, we operated with approximately 93,000 team members (comprised of approximately 66,000 full-time and part-time employees and 27,000 temporary workers engaged through third-party agencies) and had 885 facilities worldwide, with 210 million square feet (20 million square meters) of logistics warehouse space. Approximately 104 million square feet (10 million square meters) was located in Europe; 99 million square feet (9 million square meters) was located in North America; and 7 million square feet (1 million square meters) was located in Asia. We operate these sites primarily on behalf of large corporations, who have outsourced their warehousing, distribution and other related activities to us.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40" w:right="20" w:hanging="322"/>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Our significant scale makes us well-positioned to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logistics 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132" w:lineRule="exact"/>
        <w:rPr>
          <w:rFonts w:ascii="Arial" w:cs="Arial" w:eastAsia="Arial" w:hAnsi="Arial"/>
          <w:sz w:val="18"/>
          <w:szCs w:val="18"/>
          <w:color w:val="auto"/>
        </w:rPr>
      </w:pPr>
    </w:p>
    <w:p>
      <w:pPr>
        <w:ind w:left="640" w:right="900" w:hanging="322"/>
        <w:spacing w:after="0" w:line="30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Robust Technological Differentiation: </w:t>
      </w:r>
      <w:r>
        <w:rPr>
          <w:rFonts w:ascii="Arial" w:cs="Arial" w:eastAsia="Arial" w:hAnsi="Arial"/>
          <w:sz w:val="17"/>
          <w:szCs w:val="17"/>
          <w:color w:val="auto"/>
        </w:rPr>
        <w:t>We are strongly differentiated by our technology as an innovative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sophisticated logistics solutions that enhance visibility, speed, accuracy and cost effectiveness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our customers, and by our ability to customize our technology-enabled services to each customer’s requirements;</w:t>
      </w:r>
    </w:p>
    <w:p>
      <w:pPr>
        <w:spacing w:after="0" w:line="183" w:lineRule="exact"/>
        <w:rPr>
          <w:sz w:val="20"/>
          <w:szCs w:val="20"/>
          <w:color w:val="auto"/>
        </w:rPr>
      </w:pPr>
    </w:p>
    <w:p>
      <w:pPr>
        <w:ind w:left="640" w:right="38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w:t>
      </w:r>
      <w:r>
        <w:rPr>
          <w:rFonts w:ascii="Arial" w:cs="Arial" w:eastAsia="Arial" w:hAnsi="Arial"/>
          <w:sz w:val="18"/>
          <w:szCs w:val="18"/>
          <w:i w:val="1"/>
          <w:iCs w:val="1"/>
          <w:color w:val="auto"/>
        </w:rPr>
        <w:t xml:space="preserve"> </w:t>
      </w:r>
      <w:r>
        <w:rPr>
          <w:rFonts w:ascii="Arial" w:cs="Arial" w:eastAsia="Arial" w:hAnsi="Arial"/>
          <w:sz w:val="18"/>
          <w:szCs w:val="18"/>
          <w:color w:val="auto"/>
        </w:rPr>
        <w:t>durable fundamentals 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40" w:right="380" w:hanging="322"/>
        <w:spacing w:after="0" w:line="301"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Resilient Business Model with Multiple Drivers of Profitable Growth: </w:t>
      </w:r>
      <w:r>
        <w:rPr>
          <w:rFonts w:ascii="Arial" w:cs="Arial" w:eastAsia="Arial" w:hAnsi="Arial"/>
          <w:sz w:val="16"/>
          <w:szCs w:val="16"/>
          <w:color w:val="auto"/>
        </w:rPr>
        <w:t>We have numerous avenues for profitable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long runway 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03" w:lineRule="exact"/>
        <w:rPr>
          <w:rFonts w:ascii="Arial" w:cs="Arial" w:eastAsia="Arial" w:hAnsi="Arial"/>
          <w:sz w:val="16"/>
          <w:szCs w:val="16"/>
          <w:color w:val="auto"/>
        </w:rPr>
      </w:pPr>
    </w:p>
    <w:p>
      <w:pPr>
        <w:jc w:val="both"/>
        <w:ind w:left="640" w:right="24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Experienced and Cohesive Leadership: </w:t>
      </w:r>
      <w:r>
        <w:rPr>
          <w:rFonts w:ascii="Arial" w:cs="Arial" w:eastAsia="Arial" w:hAnsi="Arial"/>
          <w:sz w:val="18"/>
          <w:szCs w:val="18"/>
          <w:color w:val="auto"/>
        </w:rPr>
        <w:t>Our company is led by highly experienced executives who are recognized as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in their respective fields, and who will work together to create sustainable value through operational excellence and a purposeful culture.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GXO is the largest pure-play contract logistics provider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Order fulfillment times are compressing, and new channels are emerging as companies seek to improve the efficiency, speed and visibility of their supply chain activities, notably in the direct-to-consumer space. The most effective way to meet these expectations is through outsourced solutions that provide advanced automation, digital visibility and intelligent machines, such as robotics and autonomous goods-to-person systems — all capabilities we offer today.</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Robust Technological Differentiation</w:t>
      </w:r>
      <w:r>
        <w:rPr>
          <w:rFonts w:ascii="Arial" w:cs="Arial" w:eastAsia="Arial" w:hAnsi="Arial"/>
          <w:sz w:val="18"/>
          <w:szCs w:val="18"/>
          <w:color w:val="auto"/>
        </w:rPr>
        <w:t>. Logistics processes are ripe for transformation through automation. As a global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innovation, GXO is well positioned to capitalize on this evolution. Increasingly, customers want technology-enabled, highly customized solutions that incorporate intelligent automation and data science, particularly in e-commerce, omnichannel retail and direct-to-consumer channels. The timely delivery of goods to consumers is becoming imperative, leading to compressed order fulfillment times. Our focus as an innovator is on helping our customers meet the expectations of their customers, with reliable outcomes, more visibility and greater efficiency.</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In 2019, we integrated cobots (collaborative robots) and goods-to-person systems in a number of our sites to support our warehouse employees; this </w:t>
      </w:r>
      <w:r>
        <w:rPr>
          <w:rFonts w:ascii="Arial" w:cs="Arial" w:eastAsia="Arial" w:hAnsi="Arial"/>
          <w:sz w:val="18"/>
          <w:szCs w:val="18"/>
          <w:color w:val="auto"/>
          <w:highlight w:val="white"/>
        </w:rPr>
        <w:t>substantially increased throughput in 2020.</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Long-Term Customer Relationships in Attractive Verticals</w:t>
      </w:r>
      <w:r>
        <w:rPr>
          <w:rFonts w:ascii="Arial" w:cs="Arial" w:eastAsia="Arial" w:hAnsi="Arial"/>
          <w:sz w:val="17"/>
          <w:szCs w:val="17"/>
          <w:color w:val="auto"/>
        </w:rPr>
        <w:t>. Our customer base includes numerous long-term relationships with blue-chip market leaders and world-class brands, including over 30% of Fortune 100 companies and 24% of the Fortune Global 100. Our customers operate in sectors with high-growth outsourcing opportunities, such as retail and e-commerce, food and beverage, consumer packaged goods, consumer technology, telecommunications, manufacturing, chemical, agribusiness, life sciences and healthcare. We have extensive experience in these verticals, and we understand the specific requirements for quality control, real-time visibility, special handling, security, complex stock-keeping, time-assured deliveries and agility during surges in demand. The average relationship tenure for our top 20 customers in 2020, based on revenue, was approximately 15 years.</w:t>
      </w:r>
    </w:p>
    <w:p>
      <w:pPr>
        <w:spacing w:after="0" w:line="12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Resilient Business Model with Multiple Drivers of Profitable Growth</w:t>
      </w:r>
      <w:r>
        <w:rPr>
          <w:rFonts w:ascii="Arial" w:cs="Arial" w:eastAsia="Arial" w:hAnsi="Arial"/>
          <w:sz w:val="18"/>
          <w:szCs w:val="18"/>
          <w:color w:val="auto"/>
        </w:rPr>
        <w:t>. We have numerous drivers of profitable growth,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long runway for margin expansion through continuous deployment of our technology, as well as our asset-light business model, which has historically been resilient across cycles, with high returns, strong free cash flow and visibility into revenue and earnings. The vast majority of our contracts with customers are multi-year agreements, with facility lease arrangements that generally align with contract length. Historically, our retention rate has been approximately 93%. Additionally, our business requires limited maintenance capital spending, which</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40"/>
          </w:cols>
          <w:pgMar w:left="1000" w:top="1440" w:right="105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provides us with the flexibility to adjust our overall capital spending to changes in the macro environment. We are committed to continuing to deploy capital with discipline and agility to maximize shareholder value.</w:t>
      </w:r>
    </w:p>
    <w:p>
      <w:pPr>
        <w:spacing w:after="0" w:line="1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i w:val="1"/>
          <w:iCs w:val="1"/>
          <w:color w:val="auto"/>
        </w:rPr>
        <w:t>Experienced and Cohesive Leadership</w:t>
      </w:r>
      <w:r>
        <w:rPr>
          <w:rFonts w:ascii="Arial" w:cs="Arial" w:eastAsia="Arial" w:hAnsi="Arial"/>
          <w:sz w:val="18"/>
          <w:szCs w:val="18"/>
          <w:color w:val="auto"/>
        </w:rPr>
        <w:t>. Our company and its culture are led by Malcolm Wilson, chief executive officer, and Baris</w:t>
      </w:r>
      <w:r>
        <w:rPr>
          <w:rFonts w:ascii="Arial" w:cs="Arial" w:eastAsia="Arial" w:hAnsi="Arial"/>
          <w:sz w:val="18"/>
          <w:szCs w:val="18"/>
          <w:i w:val="1"/>
          <w:iCs w:val="1"/>
          <w:color w:val="auto"/>
        </w:rPr>
        <w:t xml:space="preserve"> </w:t>
      </w:r>
      <w:r>
        <w:rPr>
          <w:rFonts w:ascii="Arial" w:cs="Arial" w:eastAsia="Arial" w:hAnsi="Arial"/>
          <w:sz w:val="18"/>
          <w:szCs w:val="18"/>
          <w:color w:val="auto"/>
        </w:rPr>
        <w:t>Oran, chief financial officer. Each of our executives has decades of experience in their respective fields, having previously served in leadership roles in businesses around the globe. Our executives foster a company culture that is safe, respectful, entrepreneurial, innovative, and inclusive, with a focus on diversity, equity and inclusion that continues to shape our recruitment efforts and work environments.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Our strategy is to help our customers manage their supply chains efficiently, using our network of people, technology and physical assets. Our growth and optimization strategy encompasses (i) developing additional business in verticals where we already have deep expertise, long-term relationships with prominent customers and a strong track record of performance, by successfully selling to new customers and by serving existing customers expertly through new projects, thus earning more of their external and internal logistics spend; (ii) marketing the advantages of our proprietary technology for warehouse operations, which we use to manage advanced automation, robotics, labor productivity, inventory management, safety, seasonal changes in demand and other aspects of complex logistics environments; (iii) partnering with our customers in meeting their goals for supply chain performance, risk mitigation, cost efficiency, growth management and stakeholder satisfaction, by helping them overcome challenges specific to their business; and (iv) integrating industry best practices into our operations to drive productivity, with a focus on automation and other levers of profitable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productivity is driven in large part by our proprietary warehouse management platform and order management system, as well as our comprehensive “Smart” suite of tools and analytics designed to enhance labor and inventory management. Our intelligent tools and analytics self-learn daily, site by site, to continuously optimize productivity. This technology incorporates dynamic data science, predictive analytics and machine learning to aid in decision-making. Our site managers use these tools to improve productivity in a safe, disciplined and cost-effective manner. See “Technology and Intellectual Property” for more information.</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Additionally, we have developed analytics that predict future surges in demand based on data histories and forecasted customer spend. Our demand forecasting helps our customers manage their supply chains throughout the ebb and flow of required volumes, while meeting the expectations of their end-markets. In the e-commerce industry, for example, about 15% to 35% of consumer goods bought online are returned, depending on the product category, which creates reverse peaks at certain times of year. We have been able to shave several days off the reverse logistics process through automation, accelerating our customers’ ability to get e-commerce goods back into inventory for resale. We believe our expertise in managing the complexities of returned items is a strategic advantage and a key differentiator from our peers.</w:t>
      </w:r>
    </w:p>
    <w:p>
      <w:pPr>
        <w:spacing w:after="0" w:line="14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Another type of innovation that differentiates GXO is our “Direct” shared-space distribution network for business-to-consumer (“B2C”) and business-to-business (“B2B”) customers in North America. This network gives retailers, e-tailers and manufacturers access to our scale, expertise and technology without the high fixed costs of traditional distribution center models. Our customers can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service responds directly to end-market expectations for shorter fulfillment times, and consequently, it enhances brand loyalty for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company is subject to a number of risks, including risks related to our business, risks related to the separation and distribution and risks related to our common stock. Set forth below is a high-level summary of some, but not all, of these risks. Please read the information in the section titled “Risk Factors” of this information statement for a more thorough description of these and other risks.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Strategy and Operations</w:t>
      </w:r>
    </w:p>
    <w:p>
      <w:pPr>
        <w:spacing w:after="0" w:line="171" w:lineRule="exact"/>
        <w:rPr>
          <w:sz w:val="20"/>
          <w:szCs w:val="20"/>
          <w:color w:val="auto"/>
        </w:rPr>
      </w:pPr>
    </w:p>
    <w:p>
      <w:pPr>
        <w:ind w:left="322" w:hanging="322"/>
        <w:spacing w:after="0" w:line="277"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competitive industry, and failure to compete or respond to customer requirements could negatively affect our business and our results of operations.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our labor costs to attract, train and retain employees may have a material adverse effect on us.</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ability to attract and retain qualified employees and temporary workers.</w:t>
      </w:r>
    </w:p>
    <w:p>
      <w:pPr>
        <w:spacing w:after="0" w:line="171" w:lineRule="exact"/>
        <w:rPr>
          <w:rFonts w:ascii="Arial" w:cs="Arial" w:eastAsia="Arial" w:hAnsi="Arial"/>
          <w:sz w:val="18"/>
          <w:szCs w:val="18"/>
          <w:color w:val="auto"/>
        </w:rPr>
      </w:pPr>
    </w:p>
    <w:p>
      <w:pPr>
        <w:ind w:left="322" w:right="580" w:hanging="322"/>
        <w:spacing w:after="0" w:line="277"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recessions and other factors that reduce consumer spending, both in North America and Europe, could have a material adverse impact on our business.</w:t>
      </w:r>
    </w:p>
    <w:p>
      <w:pPr>
        <w:spacing w:after="0" w:line="116" w:lineRule="exact"/>
        <w:rPr>
          <w:rFonts w:ascii="Arial" w:cs="Arial" w:eastAsia="Arial" w:hAnsi="Arial"/>
          <w:sz w:val="18"/>
          <w:szCs w:val="18"/>
          <w:color w:val="auto"/>
        </w:rPr>
      </w:pPr>
    </w:p>
    <w:p>
      <w:pPr>
        <w:ind w:left="322" w:right="340" w:hanging="322"/>
        <w:spacing w:after="0" w:line="277"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successfully manage our growth.</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overseas operations are subject to various operational and financial risks that could adversely affect our business.</w:t>
      </w:r>
    </w:p>
    <w:p>
      <w:pPr>
        <w:spacing w:after="0" w:line="182" w:lineRule="exact"/>
        <w:rPr>
          <w:rFonts w:ascii="Arial" w:cs="Arial" w:eastAsia="Arial" w:hAnsi="Arial"/>
          <w:sz w:val="17"/>
          <w:szCs w:val="17"/>
          <w:color w:val="auto"/>
        </w:rPr>
      </w:pPr>
    </w:p>
    <w:p>
      <w:pPr>
        <w:ind w:left="322" w:right="20" w:hanging="322"/>
        <w:spacing w:after="0" w:line="277"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left="322" w:right="740" w:hanging="323"/>
        <w:spacing w:after="0" w:line="277" w:lineRule="auto"/>
        <w:tabs>
          <w:tab w:leader="none" w:pos="301" w:val="left"/>
        </w:tabs>
        <w:rPr>
          <w:sz w:val="20"/>
          <w:szCs w:val="20"/>
          <w:color w:val="auto"/>
        </w:rPr>
      </w:pPr>
      <w:r>
        <w:rPr>
          <w:rFonts w:ascii="Arial" w:cs="Arial" w:eastAsia="Arial" w:hAnsi="Arial"/>
          <w:sz w:val="18"/>
          <w:szCs w:val="18"/>
          <w:color w:val="auto"/>
        </w:rPr>
        <w:t>•</w:t>
        <w:tab/>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left="322" w:right="360"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terms between us and our customers could expose us to penalties and costs in the event we do not meet the contractually prescribed performance levels.</w:t>
      </w:r>
    </w:p>
    <w:p>
      <w:pPr>
        <w:spacing w:after="0" w:line="116" w:lineRule="exact"/>
        <w:rPr>
          <w:rFonts w:ascii="Arial" w:cs="Arial" w:eastAsia="Arial" w:hAnsi="Arial"/>
          <w:sz w:val="18"/>
          <w:szCs w:val="18"/>
          <w:color w:val="auto"/>
        </w:rPr>
      </w:pPr>
    </w:p>
    <w:p>
      <w:pPr>
        <w:ind w:left="322" w:right="240"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subject to seasonal fluctuations, and our inability to manage these fluctuations could negatively affect our business and our results of operations.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 operations, results of operations, cash flows and financial position.</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Use of Technology</w:t>
      </w:r>
    </w:p>
    <w:p>
      <w:pPr>
        <w:spacing w:after="0" w:line="171" w:lineRule="exact"/>
        <w:rPr>
          <w:sz w:val="20"/>
          <w:szCs w:val="20"/>
          <w:color w:val="auto"/>
        </w:rPr>
      </w:pPr>
    </w:p>
    <w:p>
      <w:pPr>
        <w:ind w:left="322" w:right="200" w:hanging="322"/>
        <w:spacing w:after="0" w:line="277"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rFonts w:ascii="Arial" w:cs="Arial" w:eastAsia="Arial" w:hAnsi="Arial"/>
          <w:sz w:val="18"/>
          <w:szCs w:val="18"/>
          <w:color w:val="auto"/>
        </w:rPr>
      </w:pPr>
    </w:p>
    <w:p>
      <w:pPr>
        <w:ind w:left="322" w:right="480" w:hanging="322"/>
        <w:spacing w:after="0" w:line="277"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failure of our information technology infrastructure or a breach of our information systems, networks or processes may materially adversely affect our business.</w:t>
      </w:r>
    </w:p>
    <w:p>
      <w:pPr>
        <w:spacing w:after="0" w:line="116" w:lineRule="exact"/>
        <w:rPr>
          <w:rFonts w:ascii="Arial" w:cs="Arial" w:eastAsia="Arial" w:hAnsi="Arial"/>
          <w:sz w:val="18"/>
          <w:szCs w:val="18"/>
          <w:color w:val="auto"/>
        </w:rPr>
      </w:pPr>
    </w:p>
    <w:p>
      <w:pPr>
        <w:ind w:left="322" w:right="160" w:hanging="322"/>
        <w:spacing w:after="0" w:line="263"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Third-Party Relationships</w:t>
      </w:r>
    </w:p>
    <w:p>
      <w:pPr>
        <w:spacing w:after="0" w:line="171" w:lineRule="exact"/>
        <w:rPr>
          <w:sz w:val="20"/>
          <w:szCs w:val="20"/>
          <w:color w:val="auto"/>
        </w:rPr>
      </w:pPr>
    </w:p>
    <w:p>
      <w:pPr>
        <w:ind w:left="322" w:hanging="322"/>
        <w:spacing w:after="0"/>
        <w:tabs>
          <w:tab w:leader="none" w:pos="3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may be materially adversely affected by labor disputes or organizing efforts.</w:t>
      </w:r>
    </w:p>
    <w:p>
      <w:pPr>
        <w:spacing w:after="0" w:line="171" w:lineRule="exact"/>
        <w:rPr>
          <w:rFonts w:ascii="Arial" w:cs="Arial" w:eastAsia="Arial" w:hAnsi="Arial"/>
          <w:sz w:val="18"/>
          <w:szCs w:val="18"/>
          <w:color w:val="auto"/>
        </w:rPr>
      </w:pPr>
    </w:p>
    <w:p>
      <w:pPr>
        <w:ind w:left="322" w:right="520" w:hanging="322"/>
        <w:spacing w:after="0" w:line="308" w:lineRule="auto"/>
        <w:tabs>
          <w:tab w:leader="none" w:pos="317"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uses a large number of temporary workers in our operations. Any failure to properly manage our temporary workers could have a material adverse impact on our revenues, earnings, financial position and outlook.</w:t>
      </w:r>
    </w:p>
    <w:p>
      <w:pPr>
        <w:sectPr>
          <w:pgSz w:w="11900" w:h="16838" w:orient="portrait"/>
          <w:cols w:equalWidth="0" w:num="1">
            <w:col w:w="9542"/>
          </w:cols>
          <w:pgMar w:left="1318"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542"/>
          </w:cols>
          <w:pgMar w:left="1318" w:top="1440" w:right="10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16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Litigation and Regulations</w:t>
      </w:r>
    </w:p>
    <w:p>
      <w:pPr>
        <w:spacing w:after="0" w:line="171" w:lineRule="exact"/>
        <w:rPr>
          <w:sz w:val="20"/>
          <w:szCs w:val="20"/>
          <w:color w:val="auto"/>
        </w:rPr>
      </w:pPr>
    </w:p>
    <w:p>
      <w:pPr>
        <w:ind w:left="322" w:hanging="322"/>
        <w:spacing w:after="0" w:line="277"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From time to time, we are involved in lawsuits and are subject to various claims that could result in significant expenditures and impact our operations.</w:t>
      </w:r>
    </w:p>
    <w:p>
      <w:pPr>
        <w:spacing w:after="0" w:line="116" w:lineRule="exact"/>
        <w:rPr>
          <w:rFonts w:ascii="Arial" w:cs="Arial" w:eastAsia="Arial" w:hAnsi="Arial"/>
          <w:sz w:val="18"/>
          <w:szCs w:val="18"/>
          <w:color w:val="auto"/>
        </w:rPr>
      </w:pPr>
    </w:p>
    <w:p>
      <w:pPr>
        <w:ind w:left="322" w:right="20" w:hanging="322"/>
        <w:spacing w:after="0" w:line="277"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risks associated with defined benefit plans for our current and former employees, which could have a material adverse effect on our earnings and financial position.</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income tax regulations for U.S. and multinational companies may increase our tax liability.</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regulation, which could negatively impact our business.</w:t>
      </w:r>
    </w:p>
    <w:p>
      <w:pPr>
        <w:spacing w:after="0" w:line="171" w:lineRule="exact"/>
        <w:rPr>
          <w:rFonts w:ascii="Arial" w:cs="Arial" w:eastAsia="Arial" w:hAnsi="Arial"/>
          <w:sz w:val="18"/>
          <w:szCs w:val="18"/>
          <w:color w:val="auto"/>
        </w:rPr>
      </w:pPr>
    </w:p>
    <w:p>
      <w:pPr>
        <w:jc w:val="both"/>
        <w:ind w:left="322" w:right="200" w:hanging="322"/>
        <w:spacing w:after="0" w:line="263"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71" w:lineRule="exact"/>
        <w:rPr>
          <w:sz w:val="20"/>
          <w:szCs w:val="20"/>
          <w:color w:val="auto"/>
        </w:rPr>
      </w:pPr>
    </w:p>
    <w:p>
      <w:pPr>
        <w:ind w:left="322" w:right="160" w:hanging="322"/>
        <w:spacing w:after="0" w:line="263"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129" w:lineRule="exact"/>
        <w:rPr>
          <w:rFonts w:ascii="Arial" w:cs="Arial" w:eastAsia="Arial" w:hAnsi="Arial"/>
          <w:sz w:val="18"/>
          <w:szCs w:val="18"/>
          <w:color w:val="auto"/>
        </w:rPr>
      </w:pPr>
    </w:p>
    <w:p>
      <w:pPr>
        <w:ind w:left="322" w:right="14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separation and distribution, our financial profile will change, and we will be a smaller, less diversified company than XPO prior to the separation.</w:t>
      </w:r>
    </w:p>
    <w:p>
      <w:pPr>
        <w:spacing w:after="0" w:line="116" w:lineRule="exact"/>
        <w:rPr>
          <w:rFonts w:ascii="Arial" w:cs="Arial" w:eastAsia="Arial" w:hAnsi="Arial"/>
          <w:sz w:val="18"/>
          <w:szCs w:val="18"/>
          <w:color w:val="auto"/>
        </w:rPr>
      </w:pPr>
    </w:p>
    <w:p>
      <w:pPr>
        <w:ind w:left="322" w:right="16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achieve some or all of the expected benefits of the separation and distribution, and the separation and distribution may materially adversely affect our business.</w:t>
      </w:r>
    </w:p>
    <w:p>
      <w:pPr>
        <w:spacing w:after="0" w:line="116" w:lineRule="exact"/>
        <w:rPr>
          <w:rFonts w:ascii="Arial" w:cs="Arial" w:eastAsia="Arial" w:hAnsi="Arial"/>
          <w:sz w:val="18"/>
          <w:szCs w:val="18"/>
          <w:color w:val="auto"/>
        </w:rPr>
      </w:pPr>
    </w:p>
    <w:p>
      <w:pPr>
        <w:jc w:val="both"/>
        <w:ind w:left="322" w:right="160" w:hanging="322"/>
        <w:spacing w:after="0" w:line="263"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9" w:lineRule="exact"/>
        <w:rPr>
          <w:rFonts w:ascii="Arial" w:cs="Arial" w:eastAsia="Arial" w:hAnsi="Arial"/>
          <w:sz w:val="18"/>
          <w:szCs w:val="18"/>
          <w:color w:val="auto"/>
        </w:rPr>
      </w:pPr>
    </w:p>
    <w:p>
      <w:pPr>
        <w:ind w:left="322" w:right="20" w:hanging="322"/>
        <w:spacing w:after="0" w:line="308" w:lineRule="auto"/>
        <w:tabs>
          <w:tab w:leader="none" w:pos="317"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92" w:lineRule="exact"/>
        <w:rPr>
          <w:rFonts w:ascii="Arial" w:cs="Arial" w:eastAsia="Arial" w:hAnsi="Arial"/>
          <w:sz w:val="17"/>
          <w:szCs w:val="17"/>
          <w:color w:val="auto"/>
        </w:rPr>
      </w:pPr>
    </w:p>
    <w:p>
      <w:pPr>
        <w:ind w:left="322" w:right="48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debt obligations, and may in the future incur additional debt obligations, that could adversely affect our business and profitability and our ability to meet other obligations.</w:t>
      </w:r>
    </w:p>
    <w:p>
      <w:pPr>
        <w:spacing w:after="0" w:line="116" w:lineRule="exact"/>
        <w:rPr>
          <w:rFonts w:ascii="Arial" w:cs="Arial" w:eastAsia="Arial" w:hAnsi="Arial"/>
          <w:sz w:val="18"/>
          <w:szCs w:val="18"/>
          <w:color w:val="auto"/>
        </w:rPr>
      </w:pPr>
    </w:p>
    <w:p>
      <w:pPr>
        <w:ind w:left="322" w:right="40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experience temporary interruptions in business operations and incur additional costs as we build our information technology infrastructure and transition our data to our own systems.</w:t>
      </w:r>
    </w:p>
    <w:p>
      <w:pPr>
        <w:spacing w:after="0" w:line="116" w:lineRule="exact"/>
        <w:rPr>
          <w:rFonts w:ascii="Arial" w:cs="Arial" w:eastAsia="Arial" w:hAnsi="Arial"/>
          <w:sz w:val="18"/>
          <w:szCs w:val="18"/>
          <w:color w:val="auto"/>
        </w:rPr>
      </w:pPr>
    </w:p>
    <w:p>
      <w:pPr>
        <w:ind w:left="322" w:right="20" w:hanging="322"/>
        <w:spacing w:after="0" w:line="263"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29" w:lineRule="exact"/>
        <w:rPr>
          <w:rFonts w:ascii="Arial" w:cs="Arial" w:eastAsia="Arial" w:hAnsi="Arial"/>
          <w:sz w:val="18"/>
          <w:szCs w:val="18"/>
          <w:color w:val="auto"/>
        </w:rPr>
      </w:pPr>
    </w:p>
    <w:p>
      <w:pPr>
        <w:ind w:left="322" w:right="140" w:hanging="322"/>
        <w:spacing w:after="0" w:line="279" w:lineRule="auto"/>
        <w:tabs>
          <w:tab w:leader="none" w:pos="317"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17" w:lineRule="exact"/>
        <w:rPr>
          <w:rFonts w:ascii="Arial" w:cs="Arial" w:eastAsia="Arial" w:hAnsi="Arial"/>
          <w:sz w:val="17"/>
          <w:szCs w:val="17"/>
          <w:color w:val="auto"/>
        </w:rPr>
      </w:pPr>
    </w:p>
    <w:p>
      <w:pPr>
        <w:ind w:left="322" w:right="6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rFonts w:ascii="Arial" w:cs="Arial" w:eastAsia="Arial" w:hAnsi="Arial"/>
          <w:sz w:val="18"/>
          <w:szCs w:val="18"/>
          <w:color w:val="auto"/>
        </w:rPr>
      </w:pPr>
    </w:p>
    <w:p>
      <w:pPr>
        <w:ind w:left="322" w:right="880" w:hanging="322"/>
        <w:spacing w:after="0" w:line="277"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held liable to XPO if we fail to perform certain services under the transition services agreement, and the performance of such services may negatively impact our business and operations.</w:t>
      </w:r>
    </w:p>
    <w:p>
      <w:pPr>
        <w:sectPr>
          <w:pgSz w:w="11900" w:h="16838" w:orient="portrait"/>
          <w:cols w:equalWidth="0" w:num="1">
            <w:col w:w="9542"/>
          </w:cols>
          <w:pgMar w:left="1318" w:top="1440" w:right="10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542"/>
          </w:cols>
          <w:pgMar w:left="1318" w:top="1440" w:right="1039" w:bottom="1162"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80" w:hanging="322"/>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we will receive in our agreements with XPO could be less beneficial than the terms we may have otherwise received from unaffiliated third parties.</w:t>
      </w:r>
    </w:p>
    <w:p>
      <w:pPr>
        <w:spacing w:after="0" w:line="116" w:lineRule="exact"/>
        <w:rPr>
          <w:rFonts w:ascii="Arial" w:cs="Arial" w:eastAsia="Arial" w:hAnsi="Arial"/>
          <w:sz w:val="18"/>
          <w:szCs w:val="18"/>
          <w:color w:val="auto"/>
        </w:rPr>
      </w:pPr>
    </w:p>
    <w:p>
      <w:pPr>
        <w:ind w:left="640" w:right="120" w:hanging="322"/>
        <w:spacing w:after="0" w:line="273"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23" w:lineRule="exact"/>
        <w:rPr>
          <w:rFonts w:ascii="Arial" w:cs="Arial" w:eastAsia="Arial" w:hAnsi="Arial"/>
          <w:sz w:val="17"/>
          <w:szCs w:val="17"/>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engage in desirable capital-raising or strategic transactions following the separation.</w:t>
      </w:r>
    </w:p>
    <w:p>
      <w:pPr>
        <w:spacing w:after="0" w:line="171" w:lineRule="exact"/>
        <w:rPr>
          <w:rFonts w:ascii="Arial" w:cs="Arial" w:eastAsia="Arial" w:hAnsi="Arial"/>
          <w:sz w:val="18"/>
          <w:szCs w:val="18"/>
          <w:color w:val="auto"/>
        </w:rPr>
      </w:pPr>
    </w:p>
    <w:p>
      <w:pPr>
        <w:ind w:left="640" w:hanging="322"/>
        <w:spacing w:after="0" w:line="259"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32" w:lineRule="exact"/>
        <w:rPr>
          <w:rFonts w:ascii="Arial" w:cs="Arial" w:eastAsia="Arial" w:hAnsi="Arial"/>
          <w:sz w:val="18"/>
          <w:szCs w:val="18"/>
          <w:color w:val="auto"/>
        </w:rPr>
      </w:pPr>
    </w:p>
    <w:p>
      <w:pPr>
        <w:ind w:left="640" w:right="160" w:hanging="322"/>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Until the distribution occurs, the XPO board of directors has sole and absolute discretion to change the terms of the separation and distribution in ways that may be unfavorable to us.</w:t>
      </w:r>
    </w:p>
    <w:p>
      <w:pPr>
        <w:spacing w:after="0" w:line="116" w:lineRule="exact"/>
        <w:rPr>
          <w:rFonts w:ascii="Arial" w:cs="Arial" w:eastAsia="Arial" w:hAnsi="Arial"/>
          <w:sz w:val="18"/>
          <w:szCs w:val="18"/>
          <w:color w:val="auto"/>
        </w:rPr>
      </w:pPr>
    </w:p>
    <w:p>
      <w:pPr>
        <w:ind w:left="640" w:right="200" w:hanging="322"/>
        <w:spacing w:after="0" w:line="26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71" w:lineRule="exact"/>
        <w:rPr>
          <w:sz w:val="20"/>
          <w:szCs w:val="20"/>
          <w:color w:val="auto"/>
        </w:rPr>
      </w:pPr>
    </w:p>
    <w:p>
      <w:pPr>
        <w:ind w:left="640" w:right="6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may be substantial and rapid changes in our stockholder base, which may cause our stock price to fluctuate significantly.</w:t>
      </w:r>
    </w:p>
    <w:p>
      <w:pPr>
        <w:spacing w:after="0" w:line="194" w:lineRule="exact"/>
        <w:rPr>
          <w:rFonts w:ascii="Arial" w:cs="Arial" w:eastAsia="Arial" w:hAnsi="Arial"/>
          <w:sz w:val="16"/>
          <w:szCs w:val="16"/>
          <w:color w:val="auto"/>
        </w:rPr>
      </w:pPr>
    </w:p>
    <w:p>
      <w:pPr>
        <w:ind w:left="640" w:right="2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number of shares of our common stock may be sold following the distribution, which may cause our stock price to decline.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stockholder’s percentage of ownership in GXO may be diluted in the future at any given time.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cannot guarantee the timing, amount or payment of dividends on our common stock.</w:t>
      </w:r>
    </w:p>
    <w:p>
      <w:pPr>
        <w:spacing w:after="0" w:line="171"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rFonts w:ascii="Arial" w:cs="Arial" w:eastAsia="Arial" w:hAnsi="Arial"/>
          <w:sz w:val="18"/>
          <w:szCs w:val="18"/>
          <w:color w:val="auto"/>
        </w:rPr>
      </w:pPr>
    </w:p>
    <w:p>
      <w:pPr>
        <w:ind w:left="640" w:right="62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GXO’s amended and restated certificate of incorporation will contain an exclusive forum provision that may discourage lawsuits against GXO and GXO’s directors and officers.</w:t>
      </w:r>
    </w:p>
    <w:p>
      <w:pPr>
        <w:spacing w:after="0" w:line="116"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combined post-separation value of one share of XPO common stock and one share of GXO common stock may not equal or exceed the pre-distribution value of one share of XPO common stock.</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Chairman controls a large portion of our stock, which could limit other stockholders’ ability to influence the outcome of key decisions and transactions, including changes of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December 2020, XPO announced its intention to separate into two independent, publicly traded companies. The separation will occur through a pro rata distribution to XPO stockholders of 100% of the shares of common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0"/>
          </w:cols>
          <w:pgMar w:left="1000" w:top="1440" w:right="101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stock of GXO, the newly formed company that will consist of XPO’s existing logistics business. XPO will remain a publicly traded company after the separation, consisting of its existing transportation business.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July 12, 2021, the XPO board of directors approved the distribution of all of GXO’s issued and outstanding shares of common stock on the basis of one share of GXO common stock for every share of XPO common stock held as of the close of business on July 23, 2021, the record date for the distribution.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GXO’s Post-Separation Relationship with XPO</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After the distribution, XPO and GXO will each be separate companies with separate management teams and separate boards of directors. Prior to the distribution, XPO and GXO will enter into the separation agreement. We will also enter into various other agreements that will provide a framework for our relationship with XPO after the separation,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us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7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70" w:lineRule="exact"/>
        <w:rPr>
          <w:sz w:val="20"/>
          <w:szCs w:val="20"/>
          <w:color w:val="auto"/>
        </w:rPr>
      </w:pPr>
    </w:p>
    <w:p>
      <w:pPr>
        <w:ind w:left="640" w:right="120" w:hanging="322"/>
        <w:spacing w:after="0" w:line="27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profiles 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the distribution, and XPO will target achieving such rating over time. To the extent that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6" w:lineRule="exact"/>
        <w:rPr>
          <w:rFonts w:ascii="Arial" w:cs="Arial" w:eastAsia="Arial" w:hAnsi="Arial"/>
          <w:sz w:val="17"/>
          <w:szCs w:val="17"/>
          <w:color w:val="auto"/>
        </w:rPr>
      </w:pPr>
    </w:p>
    <w:p>
      <w:pPr>
        <w:ind w:left="640" w:right="280" w:hanging="322"/>
        <w:spacing w:after="0" w:line="25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w:t>
      </w:r>
      <w:r>
        <w:rPr>
          <w:rFonts w:ascii="Arial" w:cs="Arial" w:eastAsia="Arial" w:hAnsi="Arial"/>
          <w:sz w:val="18"/>
          <w:szCs w:val="18"/>
          <w:i w:val="1"/>
          <w:iCs w:val="1"/>
          <w:color w:val="auto"/>
        </w:rPr>
        <w:t xml:space="preserve"> </w:t>
      </w:r>
      <w:r>
        <w:rPr>
          <w:rFonts w:ascii="Arial" w:cs="Arial" w:eastAsia="Arial" w:hAnsi="Arial"/>
          <w:sz w:val="18"/>
          <w:szCs w:val="18"/>
          <w:color w:val="auto"/>
        </w:rPr>
        <w:t>and GXO with its own pure-play equity currency that can be used to facilitate capital raising and to pursue accretive M&amp;A opportunities that are more closely aligned with each company’s strategic goals and expected growth opportunities. To the extent that the separate equity currencies are more attractively valued, this would further increase these benefits to XPO and GXO.</w:t>
      </w:r>
    </w:p>
    <w:p>
      <w:pPr>
        <w:spacing w:after="0" w:line="133" w:lineRule="exact"/>
        <w:rPr>
          <w:rFonts w:ascii="Arial" w:cs="Arial" w:eastAsia="Arial" w:hAnsi="Arial"/>
          <w:sz w:val="18"/>
          <w:szCs w:val="18"/>
          <w:color w:val="auto"/>
        </w:rPr>
      </w:pPr>
    </w:p>
    <w:p>
      <w:pPr>
        <w:ind w:left="640" w:right="40" w:hanging="322"/>
        <w:spacing w:after="0" w:line="27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Improved Alignment of Management Incentives and Performance. </w:t>
      </w:r>
      <w:r>
        <w:rPr>
          <w:rFonts w:ascii="Arial" w:cs="Arial" w:eastAsia="Arial" w:hAnsi="Arial"/>
          <w:sz w:val="17"/>
          <w:szCs w:val="17"/>
          <w:color w:val="auto"/>
        </w:rPr>
        <w:t>The separation will allow each company to more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recruit, retain and motivate employees through the use of equity-based compensation that more closely reflects and aligns management and employee incentives with specific growth objectives, financial goals and business attributes. To the extent that the separate equity currencies are more attractively valued, this would further benefit XPO and GXO.</w:t>
      </w:r>
    </w:p>
    <w:p>
      <w:pPr>
        <w:spacing w:after="0" w:line="117" w:lineRule="exact"/>
        <w:rPr>
          <w:rFonts w:ascii="Arial" w:cs="Arial" w:eastAsia="Arial" w:hAnsi="Arial"/>
          <w:sz w:val="17"/>
          <w:szCs w:val="17"/>
          <w:color w:val="auto"/>
        </w:rPr>
      </w:pPr>
    </w:p>
    <w:p>
      <w:pPr>
        <w:ind w:left="640" w:right="20" w:hanging="322"/>
        <w:spacing w:after="0" w:line="25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Separate Capital Structures and Allocation of Financial Resources. </w:t>
      </w:r>
      <w:r>
        <w:rPr>
          <w:rFonts w:ascii="Arial" w:cs="Arial" w:eastAsia="Arial" w:hAnsi="Arial"/>
          <w:sz w:val="18"/>
          <w:szCs w:val="18"/>
          <w:color w:val="auto"/>
        </w:rPr>
        <w:t>The separation will permit each company to allocate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resources to 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0"/>
          </w:cols>
          <w:pgMar w:left="1000" w:top="1440" w:right="101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56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right="400"/>
        <w:spacing w:after="0" w:line="263" w:lineRule="auto"/>
        <w:rPr>
          <w:sz w:val="20"/>
          <w:szCs w:val="20"/>
          <w:color w:val="auto"/>
        </w:rPr>
      </w:pPr>
      <w:r>
        <w:rPr>
          <w:rFonts w:ascii="Arial" w:cs="Arial" w:eastAsia="Arial" w:hAnsi="Arial"/>
          <w:sz w:val="18"/>
          <w:szCs w:val="18"/>
          <w:color w:val="auto"/>
        </w:rPr>
        <w:t>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30" w:lineRule="exact"/>
        <w:rPr>
          <w:sz w:val="20"/>
          <w:szCs w:val="20"/>
          <w:color w:val="auto"/>
        </w:rPr>
      </w:pPr>
    </w:p>
    <w:p>
      <w:pPr>
        <w:ind w:left="322" w:right="120" w:hanging="322"/>
        <w:spacing w:after="0" w:line="291" w:lineRule="auto"/>
        <w:tabs>
          <w:tab w:leader="none" w:pos="317"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Enhanced Management Focus on Core Businesses</w:t>
      </w:r>
      <w:r>
        <w:rPr>
          <w:rFonts w:ascii="Arial" w:cs="Arial" w:eastAsia="Arial" w:hAnsi="Arial"/>
          <w:sz w:val="16"/>
          <w:szCs w:val="16"/>
          <w:color w:val="auto"/>
        </w:rPr>
        <w:t>. The separation will provide each company’s management team with</w:t>
      </w:r>
      <w:r>
        <w:rPr>
          <w:rFonts w:ascii="Arial" w:cs="Arial" w:eastAsia="Arial" w:hAnsi="Arial"/>
          <w:sz w:val="16"/>
          <w:szCs w:val="16"/>
          <w:i w:val="1"/>
          <w:iCs w:val="1"/>
          <w:color w:val="auto"/>
        </w:rPr>
        <w:t xml:space="preserve"> </w:t>
      </w:r>
      <w:r>
        <w:rPr>
          <w:rFonts w:ascii="Arial" w:cs="Arial" w:eastAsia="Arial" w:hAnsi="Arial"/>
          <w:sz w:val="16"/>
          <w:szCs w:val="16"/>
          <w:color w:val="auto"/>
        </w:rPr>
        <w:t>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digital transportation platform and GXO’s productivity tools and warehouse management platform for its logistics operations.</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XPO board of directors also considered a number of potentially negative factors in evaluating the separation, including:</w:t>
      </w:r>
    </w:p>
    <w:p>
      <w:pPr>
        <w:spacing w:after="0" w:line="183" w:lineRule="exact"/>
        <w:rPr>
          <w:sz w:val="20"/>
          <w:szCs w:val="20"/>
          <w:color w:val="auto"/>
        </w:rPr>
      </w:pPr>
    </w:p>
    <w:p>
      <w:pPr>
        <w:ind w:left="322" w:hanging="322"/>
        <w:spacing w:after="0" w:line="255"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variety of 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38" w:lineRule="exact"/>
        <w:rPr>
          <w:rFonts w:ascii="Arial" w:cs="Arial" w:eastAsia="Arial" w:hAnsi="Arial"/>
          <w:sz w:val="18"/>
          <w:szCs w:val="18"/>
          <w:color w:val="auto"/>
        </w:rPr>
      </w:pPr>
    </w:p>
    <w:p>
      <w:pPr>
        <w:ind w:left="322" w:right="40" w:hanging="322"/>
        <w:spacing w:after="0" w:line="257"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Disruptions and Costs Related to the Separation</w:t>
      </w:r>
      <w:r>
        <w:rPr>
          <w:rFonts w:ascii="Arial" w:cs="Arial" w:eastAsia="Arial" w:hAnsi="Arial"/>
          <w:sz w:val="18"/>
          <w:szCs w:val="18"/>
          <w:color w:val="auto"/>
        </w:rPr>
        <w:t>. The actions required to separate the GXO Businesses from XPO could disrupt</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In 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33" w:lineRule="exact"/>
        <w:rPr>
          <w:rFonts w:ascii="Arial" w:cs="Arial" w:eastAsia="Arial" w:hAnsi="Arial"/>
          <w:sz w:val="18"/>
          <w:szCs w:val="18"/>
          <w:color w:val="auto"/>
        </w:rPr>
      </w:pPr>
    </w:p>
    <w:p>
      <w:pPr>
        <w:ind w:left="322" w:right="40" w:hanging="322"/>
        <w:spacing w:after="0" w:line="290" w:lineRule="auto"/>
        <w:tabs>
          <w:tab w:leader="none" w:pos="31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Loss of Scale and Increased Administrative Costs. </w:t>
      </w:r>
      <w:r>
        <w:rPr>
          <w:rFonts w:ascii="Arial" w:cs="Arial" w:eastAsia="Arial" w:hAnsi="Arial"/>
          <w:sz w:val="16"/>
          <w:szCs w:val="16"/>
          <w:color w:val="auto"/>
        </w:rPr>
        <w:t>Prior to the separation, GXO is able to take advantage of XPO’s size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in 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1" w:lineRule="exact"/>
        <w:rPr>
          <w:rFonts w:ascii="Arial" w:cs="Arial" w:eastAsia="Arial" w:hAnsi="Arial"/>
          <w:sz w:val="16"/>
          <w:szCs w:val="16"/>
          <w:color w:val="auto"/>
        </w:rPr>
      </w:pPr>
    </w:p>
    <w:p>
      <w:pPr>
        <w:ind w:left="322" w:right="40" w:hanging="322"/>
        <w:spacing w:after="0" w:line="257"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Limitations on Strategic Transactions</w:t>
      </w:r>
      <w:r>
        <w:rPr>
          <w:rFonts w:ascii="Arial" w:cs="Arial" w:eastAsia="Arial" w:hAnsi="Arial"/>
          <w:sz w:val="18"/>
          <w:szCs w:val="18"/>
          <w:color w:val="auto"/>
        </w:rPr>
        <w:t>. Under the terms of the tax matters agreement that we will enter into with XPO,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restricted from taking certain actions that could cause the distribution or certain related transactions (or certain transactions undertaken as part of the internal reorganization) to fail to qualify as tax-free under applicable law. These restrictions may limit, for a period of time, our ability to pursue certain strategic transactions and equity issuances or engage in other transactions that might increase the value of our business.</w:t>
      </w:r>
    </w:p>
    <w:p>
      <w:pPr>
        <w:spacing w:after="0" w:line="79" w:lineRule="exact"/>
        <w:rPr>
          <w:rFonts w:ascii="Arial" w:cs="Arial" w:eastAsia="Arial" w:hAnsi="Arial"/>
          <w:sz w:val="18"/>
          <w:szCs w:val="18"/>
          <w:color w:val="auto"/>
        </w:rPr>
      </w:pPr>
    </w:p>
    <w:p>
      <w:pPr>
        <w:ind w:left="322" w:right="100" w:hanging="322"/>
        <w:spacing w:after="0" w:line="259"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know with certainty whether the combined market value of one share of our common stock and one share of XPO common stock will be less than, equal to or greater than the market value of one share of XPO common stock prior to the distribution.</w:t>
      </w:r>
    </w:p>
    <w:p>
      <w:pPr>
        <w:sectPr>
          <w:pgSz w:w="11900" w:h="16838" w:orient="portrait"/>
          <w:cols w:equalWidth="0" w:num="1">
            <w:col w:w="9562"/>
          </w:cols>
          <w:pgMar w:left="131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8"/>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562"/>
          </w:cols>
          <w:pgMar w:left="1318"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17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136130" cy="417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Capitalization Summary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the post-distribution capitalization of GXO, see the section titled “Capitalization”.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GXO was incorporated in Delaware on February 16, 2021, for the purpose of holding the GXO Businesses in connection with the separation and distribution described herein. Prior to the transfer of the GXO Businesses to us by XPO, which will occur prior to the distribution, GXO will have no operations other than those incidental to the separation and related transactions. The address of our principal executive offices will be Two American Lane, Greenwich, CT 06831. Our telephone number after the distribution will be (203) 489-1287. We maintain an internet site at </w:t>
      </w:r>
      <w:r>
        <w:rPr>
          <w:rFonts w:ascii="Arial" w:cs="Arial" w:eastAsia="Arial" w:hAnsi="Arial"/>
          <w:sz w:val="17"/>
          <w:szCs w:val="17"/>
          <w:i w:val="1"/>
          <w:iCs w:val="1"/>
          <w:color w:val="auto"/>
        </w:rPr>
        <w:t>www.gxo.com</w:t>
      </w:r>
      <w:r>
        <w:rPr>
          <w:rFonts w:ascii="Arial" w:cs="Arial" w:eastAsia="Arial" w:hAnsi="Arial"/>
          <w:sz w:val="17"/>
          <w:szCs w:val="17"/>
          <w:color w:val="auto"/>
        </w:rPr>
        <w:t xml:space="preserve">. </w:t>
      </w:r>
      <w:r>
        <w:rPr>
          <w:rFonts w:ascii="Arial" w:cs="Arial" w:eastAsia="Arial" w:hAnsi="Arial"/>
          <w:sz w:val="17"/>
          <w:szCs w:val="17"/>
          <w:b w:val="1"/>
          <w:bCs w:val="1"/>
          <w:color w:val="auto"/>
        </w:rPr>
        <w:t>Our website and the information contained therein or connected thereto</w:t>
      </w:r>
      <w:r>
        <w:rPr>
          <w:rFonts w:ascii="Arial" w:cs="Arial" w:eastAsia="Arial" w:hAnsi="Arial"/>
          <w:sz w:val="17"/>
          <w:szCs w:val="17"/>
          <w:color w:val="auto"/>
        </w:rPr>
        <w:t xml:space="preserve"> </w:t>
      </w:r>
      <w:r>
        <w:rPr>
          <w:rFonts w:ascii="Arial" w:cs="Arial" w:eastAsia="Arial" w:hAnsi="Arial"/>
          <w:sz w:val="17"/>
          <w:szCs w:val="17"/>
          <w:b w:val="1"/>
          <w:bCs w:val="1"/>
          <w:color w:val="auto"/>
        </w:rPr>
        <w:t>are not incorporated into this information statement or the registration statement of which this information statement forms a part, or in any other filings with, or any information furnished or submitted to, the SEC.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This information statement is being furnished solely to provide information to XPO stockholders who will receive shares of GXO common stock in the distribution. It is not, and is not to be construed as, an inducement or encouragement to buy or sell any of XPO’s or GXO’s securities. The information contained in this information statement is believed by GXO to be accurate as of the date set forth on its cover. Changes may occur after that date, and neither XPO nor GXO undertakes any obligation to update the information except as may be required in the normal course of their respective disclosure obligations and practices,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60"/>
          </w:cols>
          <w:pgMar w:left="1000" w:top="1440" w:right="10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9840"/>
          </w:cols>
          <w:pgMar w:left="1020" w:top="1440" w:right="1039" w:bottom="1440" w:gutter="0" w:footer="0" w:header="0"/>
        </w:sectPr>
      </w:pPr>
    </w:p>
    <w:p>
      <w:pPr>
        <w:spacing w:after="0" w:line="227" w:lineRule="exact"/>
        <w:rPr>
          <w:sz w:val="20"/>
          <w:szCs w:val="20"/>
          <w:color w:val="auto"/>
        </w:rPr>
      </w:pPr>
    </w:p>
    <w:p>
      <w:pPr>
        <w:ind w:left="160" w:hanging="161"/>
        <w:spacing w:after="0" w:line="284" w:lineRule="auto"/>
        <w:rPr>
          <w:sz w:val="20"/>
          <w:szCs w:val="20"/>
          <w:color w:val="auto"/>
        </w:rPr>
      </w:pPr>
      <w:r>
        <w:rPr>
          <w:rFonts w:ascii="Arial" w:cs="Arial" w:eastAsia="Arial" w:hAnsi="Arial"/>
          <w:sz w:val="15"/>
          <w:szCs w:val="15"/>
          <w:b w:val="1"/>
          <w:bCs w:val="1"/>
          <w:i w:val="1"/>
          <w:iCs w:val="1"/>
          <w:color w:val="auto"/>
        </w:rPr>
        <w:t>What is GXO and why is XPO separating the GXO Businesses and distributing GXO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GXO, which is currently a wholly owned subsidiary of XPO, was formed to own and operate XPO’s GXO Businesses. The separation of GXO from XPO and the distribution of GXO common stock is intended, among other things, to simplify XPO’s business structure, enable the management of the two companies to pursue opportunities for long-term growth and profitability unique to each company’s business, and allow each business to more effectively implement its own capital structure, investment identity, and resource allocation strategies. XPO expects that the separation will result in enhanced long-term performance of each business for the reasons discussed in the section titled “The Separation and Distribution— Reasons for the Separation.”</w:t>
      </w:r>
    </w:p>
    <w:p>
      <w:pPr>
        <w:spacing w:after="0" w:line="60"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XPO is delivering this document to you because you are a holder of shares of XPO common stock. If you are a holder of shares of XPO common stock as of the close of business on July 23, 2021, the record date for the distribution, you will be entitled to receive one share of GXO common stock for every share of XPO common stock that you hold at the close of business on such date. This document is intended to describe the separation and distribution and help you understand how the separation and distribution will affect your post-separation ownership in XPO and GXO.</w:t>
      </w:r>
    </w:p>
    <w:p>
      <w:pPr>
        <w:spacing w:after="0" w:line="41" w:lineRule="exact"/>
        <w:rPr>
          <w:sz w:val="20"/>
          <w:szCs w:val="20"/>
          <w:color w:val="auto"/>
        </w:rPr>
      </w:pPr>
    </w:p>
    <w:p>
      <w:pPr>
        <w:sectPr>
          <w:pgSz w:w="11900" w:h="16838" w:orient="portrait"/>
          <w:cols w:equalWidth="0" w:num="2">
            <w:col w:w="2820" w:space="160"/>
            <w:col w:w="6860"/>
          </w:cols>
          <w:pgMar w:left="1020" w:top="1440" w:right="103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How will the separation of GXO from</w:t>
      </w:r>
      <w:r>
        <w:rPr>
          <w:sz w:val="20"/>
          <w:szCs w:val="20"/>
          <w:color w:val="auto"/>
        </w:rPr>
        <w:tab/>
      </w:r>
      <w:r>
        <w:rPr>
          <w:rFonts w:ascii="Arial" w:cs="Arial" w:eastAsia="Arial" w:hAnsi="Arial"/>
          <w:sz w:val="16"/>
          <w:szCs w:val="16"/>
          <w:color w:val="auto"/>
        </w:rPr>
        <w:t>As part of the separation, and prior to the distribution, XPO and its subsidiaries expect to</w:t>
      </w:r>
    </w:p>
    <w:p>
      <w:pPr>
        <w:ind w:left="2980" w:right="120" w:hanging="2834"/>
        <w:spacing w:after="0" w:line="237" w:lineRule="auto"/>
        <w:tabs>
          <w:tab w:leader="none" w:pos="2960" w:val="left"/>
        </w:tabs>
        <w:rPr>
          <w:sz w:val="20"/>
          <w:szCs w:val="20"/>
          <w:color w:val="auto"/>
        </w:rPr>
      </w:pPr>
      <w:r>
        <w:rPr>
          <w:rFonts w:ascii="Arial" w:cs="Arial" w:eastAsia="Arial" w:hAnsi="Arial"/>
          <w:sz w:val="18"/>
          <w:szCs w:val="18"/>
          <w:b w:val="1"/>
          <w:bCs w:val="1"/>
          <w:i w:val="1"/>
          <w:iCs w:val="1"/>
          <w:color w:val="auto"/>
        </w:rPr>
        <w:t>XPO work?</w:t>
      </w:r>
      <w:r>
        <w:rPr>
          <w:sz w:val="20"/>
          <w:szCs w:val="20"/>
          <w:color w:val="auto"/>
        </w:rPr>
        <w:tab/>
      </w:r>
      <w:r>
        <w:rPr>
          <w:rFonts w:ascii="Arial" w:cs="Arial" w:eastAsia="Arial" w:hAnsi="Arial"/>
          <w:sz w:val="16"/>
          <w:szCs w:val="16"/>
          <w:color w:val="auto"/>
        </w:rPr>
        <w:t>complete an internal reorganization (which we refer to as the “internal reorganization”) to transfer to GXO the GXO Businesses that GXO will own following the separation. To complete the separation, XPO will distribute all of the outstanding shares of GXO common stock to XPO stockholders on a pro rata basis in a distribution intended to be tax-free to XPO stockholders for U.S. federal income tax purposes. Following the separation, the number of shares of XPO common stock you own will not change as a result of the separation.</w:t>
      </w:r>
    </w:p>
    <w:p>
      <w:pPr>
        <w:sectPr>
          <w:pgSz w:w="11900" w:h="16838" w:orient="portrait"/>
          <w:cols w:equalWidth="0" w:num="1">
            <w:col w:w="9840"/>
          </w:cols>
          <w:pgMar w:left="1020" w:top="1440" w:right="1039" w:bottom="1440" w:gutter="0" w:footer="0" w:header="0"/>
          <w:type w:val="continuous"/>
        </w:sectPr>
      </w:pPr>
    </w:p>
    <w:p>
      <w:pPr>
        <w:spacing w:after="0" w:line="55" w:lineRule="exact"/>
        <w:rPr>
          <w:sz w:val="20"/>
          <w:szCs w:val="20"/>
          <w:color w:val="auto"/>
        </w:rPr>
      </w:pPr>
    </w:p>
    <w:p>
      <w:pPr>
        <w:ind w:left="160" w:right="220" w:hanging="161"/>
        <w:spacing w:after="0" w:line="235" w:lineRule="auto"/>
        <w:rPr>
          <w:sz w:val="20"/>
          <w:szCs w:val="20"/>
          <w:color w:val="auto"/>
        </w:rPr>
      </w:pPr>
      <w:r>
        <w:rPr>
          <w:rFonts w:ascii="Arial" w:cs="Arial" w:eastAsia="Arial" w:hAnsi="Arial"/>
          <w:sz w:val="18"/>
          <w:szCs w:val="18"/>
          <w:b w:val="1"/>
          <w:bCs w:val="1"/>
          <w:i w:val="1"/>
          <w:iCs w:val="1"/>
          <w:color w:val="auto"/>
        </w:rPr>
        <w:t>What is the record date for the distribution?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will be July 23, 2021.</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expect that all of the outstanding shares of GXO common stock will be distributed by XPO at 12:01 a.m., Eastern Time, on August 2, 2021, to holders of record of shares of XPO common stock at the close of business on July 23, 2021, the record date for the distribution.</w:t>
      </w:r>
    </w:p>
    <w:p>
      <w:pPr>
        <w:spacing w:after="0" w:line="39" w:lineRule="exact"/>
        <w:rPr>
          <w:sz w:val="20"/>
          <w:szCs w:val="20"/>
          <w:color w:val="auto"/>
        </w:rPr>
      </w:pPr>
    </w:p>
    <w:p>
      <w:pPr>
        <w:sectPr>
          <w:pgSz w:w="11900" w:h="16838" w:orient="portrait"/>
          <w:cols w:equalWidth="0" w:num="2">
            <w:col w:w="2480" w:space="500"/>
            <w:col w:w="6860"/>
          </w:cols>
          <w:pgMar w:left="1020" w:top="1440" w:right="1039" w:bottom="1440" w:gutter="0" w:footer="0" w:header="0"/>
          <w:type w:val="continuous"/>
        </w:sectPr>
      </w:pPr>
    </w:p>
    <w:p>
      <w:pPr>
        <w:jc w:val="center"/>
        <w:spacing w:after="0" w:line="289" w:lineRule="auto"/>
        <w:rPr>
          <w:sz w:val="20"/>
          <w:szCs w:val="20"/>
          <w:color w:val="auto"/>
        </w:rPr>
      </w:pPr>
      <w:r>
        <w:rPr>
          <w:rFonts w:ascii="Arial" w:cs="Arial" w:eastAsia="Arial" w:hAnsi="Arial"/>
          <w:sz w:val="16"/>
          <w:szCs w:val="16"/>
          <w:b w:val="1"/>
          <w:bCs w:val="1"/>
          <w:i w:val="1"/>
          <w:iCs w:val="1"/>
          <w:color w:val="auto"/>
        </w:rPr>
        <w:t>What do stockholders need to do to participate in the distribution?</w:t>
      </w:r>
    </w:p>
    <w:p>
      <w:pPr>
        <w:spacing w:after="0" w:line="20" w:lineRule="exact"/>
        <w:rPr>
          <w:sz w:val="20"/>
          <w:szCs w:val="20"/>
          <w:color w:val="auto"/>
        </w:rPr>
      </w:pPr>
      <w:r>
        <w:rPr>
          <w:sz w:val="20"/>
          <w:szCs w:val="20"/>
          <w:color w:val="auto"/>
        </w:rPr>
        <w:br w:type="column"/>
      </w:r>
    </w:p>
    <w:p>
      <w:pPr>
        <w:ind w:right="120"/>
        <w:spacing w:after="0" w:line="222" w:lineRule="auto"/>
        <w:rPr>
          <w:sz w:val="20"/>
          <w:szCs w:val="20"/>
          <w:color w:val="auto"/>
        </w:rPr>
      </w:pPr>
      <w:r>
        <w:rPr>
          <w:rFonts w:ascii="Arial" w:cs="Arial" w:eastAsia="Arial" w:hAnsi="Arial"/>
          <w:sz w:val="17"/>
          <w:szCs w:val="17"/>
          <w:color w:val="auto"/>
        </w:rPr>
        <w:t>Stockholders of XPO as of the record date for the distribution will not be required to take any action to receive GXO common stock in the distribution, but you are urged to read this entire information statement carefully. No stockholder approval of the distribution is required. You are not being asked for a proxy. You do not need to pay any consideration, exchange or surrender your existing shares of XPO common stock or take any other action to receive your shares of GXO common stock. Please do not send in your XPO stock certificates. The distribution will not affect the number of outstanding shares of XPO common stock or any rights of XPO stockholders, although it will affect the market value of each outstanding share of XPO common stock.</w:t>
      </w:r>
    </w:p>
    <w:p>
      <w:pPr>
        <w:spacing w:after="0" w:line="60" w:lineRule="exact"/>
        <w:rPr>
          <w:sz w:val="20"/>
          <w:szCs w:val="20"/>
          <w:color w:val="auto"/>
        </w:rPr>
      </w:pPr>
    </w:p>
    <w:p>
      <w:pPr>
        <w:sectPr>
          <w:pgSz w:w="11900" w:h="16838" w:orient="portrait"/>
          <w:cols w:equalWidth="0" w:num="2">
            <w:col w:w="2580" w:space="400"/>
            <w:col w:w="6860"/>
          </w:cols>
          <w:pgMar w:left="1020" w:top="1440" w:right="1039" w:bottom="1440" w:gutter="0" w:footer="0" w:header="0"/>
          <w:type w:val="continuous"/>
        </w:sect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How will shares of GXO common stock be issued?</w:t>
      </w:r>
    </w:p>
    <w:p>
      <w:pPr>
        <w:spacing w:after="0" w:line="20" w:lineRule="exact"/>
        <w:rPr>
          <w:sz w:val="20"/>
          <w:szCs w:val="20"/>
          <w:color w:val="auto"/>
        </w:rPr>
      </w:pPr>
      <w:r>
        <w:rPr>
          <w:sz w:val="20"/>
          <w:szCs w:val="20"/>
          <w:color w:val="auto"/>
        </w:rPr>
        <w:br w:type="column"/>
      </w:r>
    </w:p>
    <w:p>
      <w:pPr>
        <w:ind w:right="80"/>
        <w:spacing w:after="0" w:line="216" w:lineRule="auto"/>
        <w:rPr>
          <w:sz w:val="20"/>
          <w:szCs w:val="20"/>
          <w:color w:val="auto"/>
        </w:rPr>
      </w:pPr>
      <w:r>
        <w:rPr>
          <w:rFonts w:ascii="Arial" w:cs="Arial" w:eastAsia="Arial" w:hAnsi="Arial"/>
          <w:sz w:val="18"/>
          <w:szCs w:val="18"/>
          <w:color w:val="auto"/>
        </w:rPr>
        <w:t>You will receive shares of GXO common stock through the same channels that you currently use to hold or trade shares of XPO common stock, whether through a brokerage account, 401(k) plan or other channel. Receipt of GXO shares will be documented for you in the same manner that you typically receive stockholder updates, such as monthly broker statements and 401(k) statements.</w:t>
      </w:r>
    </w:p>
    <w:p>
      <w:pPr>
        <w:spacing w:after="0" w:line="200" w:lineRule="exact"/>
        <w:rPr>
          <w:sz w:val="20"/>
          <w:szCs w:val="20"/>
          <w:color w:val="auto"/>
        </w:rPr>
      </w:pPr>
    </w:p>
    <w:p>
      <w:pPr>
        <w:sectPr>
          <w:pgSz w:w="11900" w:h="16838" w:orient="portrait"/>
          <w:cols w:equalWidth="0" w:num="2">
            <w:col w:w="2920" w:space="6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40"/>
          </w:cols>
          <w:pgMar w:left="1020" w:top="1440" w:right="103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220" w:hanging="161"/>
        <w:spacing w:after="0" w:line="224" w:lineRule="auto"/>
        <w:rPr>
          <w:sz w:val="20"/>
          <w:szCs w:val="20"/>
          <w:color w:val="auto"/>
        </w:rPr>
      </w:pPr>
      <w:r>
        <w:rPr>
          <w:rFonts w:ascii="Arial" w:cs="Arial" w:eastAsia="Arial" w:hAnsi="Arial"/>
          <w:sz w:val="18"/>
          <w:szCs w:val="18"/>
          <w:b w:val="1"/>
          <w:bCs w:val="1"/>
          <w:i w:val="1"/>
          <w:iCs w:val="1"/>
          <w:color w:val="auto"/>
        </w:rPr>
        <w:t>How many shares of GXO common stock will I receive in the distribution?</w:t>
      </w:r>
    </w:p>
    <w:p>
      <w:pPr>
        <w:spacing w:after="0" w:line="200" w:lineRule="exact"/>
        <w:rPr>
          <w:sz w:val="20"/>
          <w:szCs w:val="20"/>
          <w:color w:val="auto"/>
        </w:rPr>
      </w:pPr>
    </w:p>
    <w:p>
      <w:pPr>
        <w:spacing w:after="0" w:line="381" w:lineRule="exact"/>
        <w:rPr>
          <w:sz w:val="20"/>
          <w:szCs w:val="20"/>
          <w:color w:val="auto"/>
        </w:rPr>
      </w:pPr>
    </w:p>
    <w:p>
      <w:pPr>
        <w:jc w:val="center"/>
        <w:spacing w:after="0" w:line="324" w:lineRule="auto"/>
        <w:rPr>
          <w:sz w:val="20"/>
          <w:szCs w:val="20"/>
          <w:color w:val="auto"/>
        </w:rPr>
      </w:pPr>
      <w:r>
        <w:rPr>
          <w:rFonts w:ascii="Arial" w:cs="Arial" w:eastAsia="Arial" w:hAnsi="Arial"/>
          <w:sz w:val="15"/>
          <w:szCs w:val="15"/>
          <w:b w:val="1"/>
          <w:bCs w:val="1"/>
          <w:i w:val="1"/>
          <w:iCs w:val="1"/>
          <w:color w:val="auto"/>
        </w:rPr>
        <w:t>Will GXO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If you own shares of XPO common stock as of the close of business on the record date for the distribution, including shares owned in certificate form, XPO, with the assistance of Computershare Trust Company, N.A., the distribution agent for the distribution (the “distribution agent” or “Computershare”), will electronically distribute shares of GXO common stock to you or to your brokerage firm on your behalf in book-entry form. The distribution agent will mail you a book-entry account statement that reflects your shares of GXO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-1252220</wp:posOffset>
            </wp:positionV>
            <wp:extent cx="7136130" cy="2961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7136130" cy="2961640"/>
                    </a:xfrm>
                    <a:prstGeom prst="rect">
                      <a:avLst/>
                    </a:prstGeom>
                    <a:noFill/>
                  </pic:spPr>
                </pic:pic>
              </a:graphicData>
            </a:graphic>
          </wp:anchor>
        </w:drawing>
      </w:r>
    </w:p>
    <w:p>
      <w:pPr>
        <w:spacing w:after="0" w:line="3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XPO will distribute to you one share of GXO common stock for every share of XPO common stock held by you as of close of business on the record date for the distribution. Based on approximately 114,602,061 shares of XPO common stock outstanding as of July 9, 2021, a total of approximately 114,602,061 shares of GXO common stock will be distributed to XPO’s stockholders. For additional information on the distribution, see “The Separation and Distribution.”</w:t>
      </w:r>
    </w:p>
    <w:p>
      <w:pPr>
        <w:spacing w:after="0" w:line="54"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No. XPO will distribute one share of our common stock for each share of XPO common stock you own as of the close of business on the record date. As a result, no fractional shares will be distributed.</w:t>
      </w:r>
    </w:p>
    <w:p>
      <w:pPr>
        <w:spacing w:after="0" w:line="200" w:lineRule="exact"/>
        <w:rPr>
          <w:sz w:val="20"/>
          <w:szCs w:val="20"/>
          <w:color w:val="auto"/>
        </w:rPr>
      </w:pPr>
    </w:p>
    <w:p>
      <w:pPr>
        <w:sectPr>
          <w:pgSz w:w="11900" w:h="16838" w:orient="portrait"/>
          <w:cols w:equalWidth="0" w:num="2">
            <w:col w:w="2840" w:space="140"/>
            <w:col w:w="6840"/>
          </w:cols>
          <w:pgMar w:left="102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20"/>
          </w:cols>
          <w:pgMar w:left="1020" w:top="1440" w:right="105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hanging="161"/>
        <w:spacing w:after="0" w:line="235" w:lineRule="auto"/>
        <w:rPr>
          <w:sz w:val="20"/>
          <w:szCs w:val="20"/>
          <w:color w:val="auto"/>
        </w:rPr>
      </w:pPr>
      <w:r>
        <w:rPr>
          <w:rFonts w:ascii="Arial" w:cs="Arial" w:eastAsia="Arial" w:hAnsi="Arial"/>
          <w:sz w:val="18"/>
          <w:szCs w:val="18"/>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distribution is subject to final approval by the XPO board of directors, as well as to the satisfaction (or waiver by XPO in its sole and absolute discretion) of a number of conditions, including,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-805815</wp:posOffset>
            </wp:positionV>
            <wp:extent cx="7136130" cy="6810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89" w:lineRule="exact"/>
        <w:rPr>
          <w:sz w:val="20"/>
          <w:szCs w:val="20"/>
          <w:color w:val="auto"/>
        </w:rPr>
      </w:pPr>
    </w:p>
    <w:p>
      <w:pPr>
        <w:ind w:left="340" w:right="240" w:hanging="331"/>
        <w:spacing w:after="0" w:line="232"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U.S. Securities and Exchange Commission (the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108" w:lineRule="exact"/>
        <w:rPr>
          <w:rFonts w:ascii="Arial" w:cs="Arial" w:eastAsia="Arial" w:hAnsi="Arial"/>
          <w:sz w:val="17"/>
          <w:szCs w:val="17"/>
          <w:color w:val="auto"/>
        </w:rPr>
      </w:pPr>
    </w:p>
    <w:p>
      <w:pPr>
        <w:ind w:left="320" w:hanging="311"/>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30" w:lineRule="exact"/>
        <w:rPr>
          <w:rFonts w:ascii="Arial" w:cs="Arial" w:eastAsia="Arial" w:hAnsi="Arial"/>
          <w:sz w:val="18"/>
          <w:szCs w:val="18"/>
          <w:color w:val="auto"/>
        </w:rPr>
      </w:pPr>
    </w:p>
    <w:p>
      <w:pPr>
        <w:ind w:left="340" w:right="140" w:hanging="331"/>
        <w:spacing w:after="0" w:line="216"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368(a)(1)(D) of the Internal Revenue Code of 1986, as amended (the “Code”);</w:t>
      </w:r>
    </w:p>
    <w:p>
      <w:pPr>
        <w:spacing w:after="0" w:line="108" w:lineRule="exact"/>
        <w:rPr>
          <w:rFonts w:ascii="Arial" w:cs="Arial" w:eastAsia="Arial" w:hAnsi="Arial"/>
          <w:sz w:val="18"/>
          <w:szCs w:val="18"/>
          <w:color w:val="auto"/>
        </w:rPr>
      </w:pPr>
    </w:p>
    <w:p>
      <w:pPr>
        <w:ind w:left="340" w:right="40" w:hanging="331"/>
        <w:spacing w:after="0" w:line="224"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transfer of assets and liabilities to GXO having been completed in accordance with the </w:t>
      </w:r>
      <w:r>
        <w:rPr>
          <w:rFonts w:ascii="Arial" w:cs="Arial" w:eastAsia="Arial" w:hAnsi="Arial"/>
          <w:sz w:val="18"/>
          <w:szCs w:val="18"/>
          <w:color w:val="auto"/>
          <w:highlight w:val="white"/>
        </w:rPr>
        <w:t>separation and distribution agreement</w:t>
      </w:r>
      <w:r>
        <w:rPr>
          <w:rFonts w:ascii="Arial" w:cs="Arial" w:eastAsia="Arial" w:hAnsi="Arial"/>
          <w:sz w:val="18"/>
          <w:szCs w:val="18"/>
          <w:color w:val="auto"/>
        </w:rPr>
        <w:t>, which is described below in this information</w:t>
      </w:r>
      <w:r>
        <w:rPr>
          <w:rFonts w:ascii="Arial" w:cs="Arial" w:eastAsia="Arial" w:hAnsi="Arial"/>
          <w:sz w:val="18"/>
          <w:szCs w:val="18"/>
          <w:color w:val="auto"/>
          <w:highlight w:val="white"/>
        </w:rPr>
        <w:t xml:space="preserve"> </w:t>
      </w:r>
      <w:r>
        <w:rPr>
          <w:rFonts w:ascii="Arial" w:cs="Arial" w:eastAsia="Arial" w:hAnsi="Arial"/>
          <w:sz w:val="18"/>
          <w:szCs w:val="18"/>
          <w:color w:val="auto"/>
        </w:rPr>
        <w:t>statement (the “separation agreement”);</w:t>
      </w:r>
    </w:p>
    <w:p>
      <w:pPr>
        <w:spacing w:after="0" w:line="108" w:lineRule="exact"/>
        <w:rPr>
          <w:rFonts w:ascii="Arial" w:cs="Arial" w:eastAsia="Arial" w:hAnsi="Arial"/>
          <w:sz w:val="18"/>
          <w:szCs w:val="18"/>
          <w:color w:val="auto"/>
        </w:rPr>
      </w:pPr>
    </w:p>
    <w:p>
      <w:pPr>
        <w:ind w:left="340" w:right="40" w:hanging="331"/>
        <w:spacing w:after="0" w:line="244"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independent appraisal firm acceptable to the XPO board of directors having delivered one or more opinions to the XPO board of directors confirming the solvency and financial viability of XPO before the completion of the distribution and each of XPO and GXO after completion of the distribution, in each case in a form and substance acceptable to the XPO board of directors in its sole and absolute discretion;</w:t>
      </w:r>
    </w:p>
    <w:p>
      <w:pPr>
        <w:spacing w:after="0" w:line="104" w:lineRule="exact"/>
        <w:rPr>
          <w:rFonts w:ascii="Arial" w:cs="Arial" w:eastAsia="Arial" w:hAnsi="Arial"/>
          <w:sz w:val="16"/>
          <w:szCs w:val="16"/>
          <w:color w:val="auto"/>
        </w:rPr>
      </w:pPr>
    </w:p>
    <w:p>
      <w:pPr>
        <w:ind w:left="340" w:hanging="331"/>
        <w:spacing w:after="0" w:line="219"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08" w:lineRule="exact"/>
        <w:rPr>
          <w:rFonts w:ascii="Arial" w:cs="Arial" w:eastAsia="Arial" w:hAnsi="Arial"/>
          <w:sz w:val="18"/>
          <w:szCs w:val="18"/>
          <w:color w:val="auto"/>
        </w:rPr>
      </w:pPr>
    </w:p>
    <w:p>
      <w:pPr>
        <w:ind w:left="340" w:right="320" w:hanging="331"/>
        <w:spacing w:after="0" w:line="235"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transaction agreements relating to the separation and distribution having been duly </w:t>
      </w:r>
      <w:r>
        <w:rPr>
          <w:rFonts w:ascii="Arial" w:cs="Arial" w:eastAsia="Arial" w:hAnsi="Arial"/>
          <w:sz w:val="18"/>
          <w:szCs w:val="18"/>
          <w:color w:val="auto"/>
          <w:highlight w:val="white"/>
        </w:rPr>
        <w:t>executed and delivered by the parties thereto</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340" w:right="380" w:hanging="331"/>
        <w:spacing w:after="0" w:line="237"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09" w:lineRule="exact"/>
        <w:rPr>
          <w:rFonts w:ascii="Arial" w:cs="Arial" w:eastAsia="Arial" w:hAnsi="Arial"/>
          <w:sz w:val="17"/>
          <w:szCs w:val="17"/>
          <w:color w:val="auto"/>
        </w:rPr>
      </w:pPr>
    </w:p>
    <w:p>
      <w:pPr>
        <w:ind w:left="340" w:right="260" w:hanging="331"/>
        <w:spacing w:after="0" w:line="235"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of GXO common stock to be distributed having been approved for listing on the NYSE, subject to official notice of distribution;</w:t>
      </w:r>
    </w:p>
    <w:p>
      <w:pPr>
        <w:spacing w:after="0" w:line="107" w:lineRule="exact"/>
        <w:rPr>
          <w:rFonts w:ascii="Arial" w:cs="Arial" w:eastAsia="Arial" w:hAnsi="Arial"/>
          <w:sz w:val="18"/>
          <w:szCs w:val="18"/>
          <w:color w:val="auto"/>
        </w:rPr>
      </w:pPr>
    </w:p>
    <w:p>
      <w:pPr>
        <w:ind w:left="340" w:right="160" w:hanging="331"/>
        <w:spacing w:after="0" w:line="226"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XPO having received certain proceeds from the GXO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110" w:lineRule="exact"/>
        <w:rPr>
          <w:rFonts w:ascii="Arial" w:cs="Arial" w:eastAsia="Arial" w:hAnsi="Arial"/>
          <w:sz w:val="17"/>
          <w:szCs w:val="17"/>
          <w:color w:val="auto"/>
        </w:rPr>
      </w:pPr>
    </w:p>
    <w:p>
      <w:pPr>
        <w:ind w:left="340" w:right="60" w:hanging="331"/>
        <w:spacing w:after="0" w:line="237"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200" w:lineRule="exact"/>
        <w:rPr>
          <w:sz w:val="20"/>
          <w:szCs w:val="20"/>
          <w:color w:val="auto"/>
        </w:rPr>
      </w:pPr>
    </w:p>
    <w:p>
      <w:pPr>
        <w:sectPr>
          <w:pgSz w:w="11900" w:h="16838" w:orient="portrait"/>
          <w:cols w:equalWidth="0" w:num="2">
            <w:col w:w="2100" w:space="720"/>
            <w:col w:w="6860"/>
          </w:cols>
          <w:pgMar w:left="11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80"/>
          </w:cols>
          <w:pgMar w:left="1180" w:top="1440" w:right="1039"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What is the expected date of completion of the separation?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right="200" w:hanging="161"/>
        <w:spacing w:after="0" w:line="219" w:lineRule="auto"/>
        <w:rPr>
          <w:sz w:val="20"/>
          <w:szCs w:val="20"/>
          <w:color w:val="auto"/>
        </w:rPr>
      </w:pPr>
      <w:r>
        <w:rPr>
          <w:rFonts w:ascii="Arial" w:cs="Arial" w:eastAsia="Arial" w:hAnsi="Arial"/>
          <w:sz w:val="18"/>
          <w:szCs w:val="18"/>
          <w:b w:val="1"/>
          <w:bCs w:val="1"/>
          <w:i w:val="1"/>
          <w:iCs w:val="1"/>
          <w:color w:val="auto"/>
        </w:rPr>
        <w:t>Can XPO decide to cancel the distribution of GXO common stock even if all of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XPO and GXO cannot assure you that any or all of these conditions will be met, or that the separation or distribution will be consummated even if all of the conditions are met. XPO can decline at any time to go forward with the separation and distribution. In addition, XPO may waive any of the conditions to the distribution. For a complete discussion of all of the conditions to the distribution, see “The Separation and Distribution—Conditions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-1141095</wp:posOffset>
            </wp:positionV>
            <wp:extent cx="7136130" cy="6202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34"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The completion and timing of the separation are dependent upon a number of conditions. We expect that the shares of GXO common stock will be distributed by XPO at 12:01 a.m., Eastern Time, on August 2, 2021, to the holders of record of shares of XPO common stock at the close of business on July 23, 2021, the record date for the distribution. However, no assurance can be provided as to the timing of the separation or distribution or that all conditions to the distribution will be met.</w:t>
      </w:r>
    </w:p>
    <w:p>
      <w:pPr>
        <w:spacing w:after="0" w:line="5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Yes. Until the distribution has occurred, the XPO board of directors has the right to terminate the distribution, even if all of the conditions are satisfied.</w:t>
      </w:r>
    </w:p>
    <w:p>
      <w:pPr>
        <w:spacing w:after="0" w:line="405" w:lineRule="exact"/>
        <w:rPr>
          <w:sz w:val="20"/>
          <w:szCs w:val="20"/>
          <w:color w:val="auto"/>
        </w:rPr>
      </w:pPr>
    </w:p>
    <w:p>
      <w:pPr>
        <w:sectPr>
          <w:pgSz w:w="11900" w:h="16838" w:orient="portrait"/>
          <w:cols w:equalWidth="0" w:num="2">
            <w:col w:w="2940" w:space="40"/>
            <w:col w:w="6840"/>
          </w:cols>
          <w:pgMar w:left="1020" w:top="1440" w:right="1059" w:bottom="1440" w:gutter="0" w:footer="0" w:header="0"/>
        </w:sect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What if I want to sell my XPO common stock or my GXO common stock?</w:t>
      </w:r>
    </w:p>
    <w:p>
      <w:pPr>
        <w:spacing w:after="0" w:line="344" w:lineRule="exact"/>
        <w:rPr>
          <w:sz w:val="20"/>
          <w:szCs w:val="20"/>
          <w:color w:val="auto"/>
        </w:rPr>
      </w:pPr>
    </w:p>
    <w:p>
      <w:pPr>
        <w:jc w:val="both"/>
        <w:ind w:left="160" w:right="520" w:hanging="161"/>
        <w:spacing w:after="0" w:line="224" w:lineRule="auto"/>
        <w:rPr>
          <w:sz w:val="20"/>
          <w:szCs w:val="20"/>
          <w:color w:val="auto"/>
        </w:rPr>
      </w:pPr>
      <w:r>
        <w:rPr>
          <w:rFonts w:ascii="Arial" w:cs="Arial" w:eastAsia="Arial" w:hAnsi="Arial"/>
          <w:sz w:val="18"/>
          <w:szCs w:val="18"/>
          <w:b w:val="1"/>
          <w:bCs w:val="1"/>
          <w:i w:val="1"/>
          <w:iCs w:val="1"/>
          <w:color w:val="auto"/>
        </w:rPr>
        <w:t>What is “regular-way” and “ex-distribution” trading of XPO common stock?</w:t>
      </w:r>
    </w:p>
    <w:p>
      <w:pPr>
        <w:spacing w:after="0" w:line="20" w:lineRule="exact"/>
        <w:rPr>
          <w:sz w:val="20"/>
          <w:szCs w:val="20"/>
          <w:color w:val="auto"/>
        </w:rPr>
      </w:pPr>
      <w:r>
        <w:rPr>
          <w:sz w:val="20"/>
          <w:szCs w:val="20"/>
          <w:color w:val="auto"/>
        </w:rPr>
        <w:br w:type="column"/>
      </w:r>
    </w:p>
    <w:p>
      <w:pPr>
        <w:ind w:right="220"/>
        <w:spacing w:after="0" w:line="232" w:lineRule="auto"/>
        <w:rPr>
          <w:sz w:val="20"/>
          <w:szCs w:val="20"/>
          <w:color w:val="auto"/>
        </w:rPr>
      </w:pPr>
      <w:r>
        <w:rPr>
          <w:rFonts w:ascii="Arial" w:cs="Arial" w:eastAsia="Arial" w:hAnsi="Arial"/>
          <w:sz w:val="17"/>
          <w:szCs w:val="17"/>
          <w:color w:val="auto"/>
        </w:rPr>
        <w:t>You should consult with your financial advisors, such as your stock broker, bank or tax advisor. If you sell your shares of XPO common stock in the “regular-way” market after the record date and before the distribution date, you also will be selling your right to receive shares of GXO common stock in connection with the distribution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Beginning on or shortly before the record date for the distribution and continuing up to the distribution date, we expect that there will be two markets in XPO common stock: a “regular-way” market and an “ex-distribution” market. XPO common stock that trades in the “regular-way” market will trade with an entitlement to shares of GXO common stock distributed pursuant to the distribution. Shares that trade in the “ex-distribution” market will trade without an entitlement to GXO common stock distributed pursuant to the distribution. If you decide to sell any shares of XPO common stock before the distribution date, you should make sure your stockbroker, bank or other nominee understands whether you want to sell your XPO common stock with or without your entitlement to GXO common stock pursuant to the distribution.</w:t>
      </w:r>
    </w:p>
    <w:p>
      <w:pPr>
        <w:spacing w:after="0" w:line="44" w:lineRule="exact"/>
        <w:rPr>
          <w:sz w:val="20"/>
          <w:szCs w:val="20"/>
          <w:color w:val="auto"/>
        </w:rPr>
      </w:pPr>
    </w:p>
    <w:p>
      <w:pPr>
        <w:sectPr>
          <w:pgSz w:w="11900" w:h="16838" w:orient="portrait"/>
          <w:cols w:equalWidth="0" w:num="2">
            <w:col w:w="2900" w:space="80"/>
            <w:col w:w="6840"/>
          </w:cols>
          <w:pgMar w:left="1020" w:top="1440" w:right="105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will I be able to trade shares of</w:t>
      </w:r>
      <w:r>
        <w:rPr>
          <w:sz w:val="20"/>
          <w:szCs w:val="20"/>
          <w:color w:val="auto"/>
        </w:rPr>
        <w:tab/>
      </w:r>
      <w:r>
        <w:rPr>
          <w:rFonts w:ascii="Arial" w:cs="Arial" w:eastAsia="Arial" w:hAnsi="Arial"/>
          <w:sz w:val="16"/>
          <w:szCs w:val="16"/>
          <w:color w:val="auto"/>
        </w:rPr>
        <w:t>GXO intends to list its common stock on the NYSE under the symbol “GXO.” GXO</w:t>
      </w:r>
    </w:p>
    <w:p>
      <w:pPr>
        <w:ind w:left="2980" w:hanging="2834"/>
        <w:spacing w:after="0" w:line="209" w:lineRule="auto"/>
        <w:tabs>
          <w:tab w:leader="none" w:pos="2960" w:val="left"/>
        </w:tabs>
        <w:rPr>
          <w:sz w:val="20"/>
          <w:szCs w:val="20"/>
          <w:color w:val="auto"/>
        </w:rPr>
      </w:pPr>
      <w:r>
        <w:rPr>
          <w:rFonts w:ascii="Arial" w:cs="Arial" w:eastAsia="Arial" w:hAnsi="Arial"/>
          <w:sz w:val="18"/>
          <w:szCs w:val="18"/>
          <w:b w:val="1"/>
          <w:bCs w:val="1"/>
          <w:i w:val="1"/>
          <w:iCs w:val="1"/>
          <w:color w:val="auto"/>
        </w:rPr>
        <w:t>GXO common stock?</w:t>
      </w:r>
      <w:r>
        <w:rPr>
          <w:sz w:val="20"/>
          <w:szCs w:val="20"/>
          <w:color w:val="auto"/>
        </w:rPr>
        <w:tab/>
      </w:r>
      <w:r>
        <w:rPr>
          <w:rFonts w:ascii="Arial" w:cs="Arial" w:eastAsia="Arial" w:hAnsi="Arial"/>
          <w:sz w:val="18"/>
          <w:szCs w:val="18"/>
          <w:color w:val="auto"/>
        </w:rPr>
        <w:t>anticipates that trading in shares of its common stock will begin on a “when-issued” basis on or shortly before the record date for the distribution and will continue up to the distribution date, and that “regular-way” trading in GXO common stock will begin on the distribution date. If trading begins on a “when-issued” basis, you may purchase or sell GXO common stock up to the distribution date, but your transaction will not settle until after the distribution date. GXO cannot predict the trading prices for its common stock before, on or after the distribution date.</w:t>
      </w:r>
    </w:p>
    <w:p>
      <w:pPr>
        <w:spacing w:after="0" w:line="59" w:lineRule="exact"/>
        <w:rPr>
          <w:sz w:val="20"/>
          <w:szCs w:val="20"/>
          <w:color w:val="auto"/>
        </w:rPr>
      </w:pPr>
    </w:p>
    <w:p>
      <w:pPr>
        <w:ind w:left="160" w:right="1220" w:hanging="161"/>
        <w:spacing w:after="0" w:line="235" w:lineRule="auto"/>
        <w:rPr>
          <w:sz w:val="20"/>
          <w:szCs w:val="20"/>
          <w:color w:val="auto"/>
        </w:rPr>
      </w:pPr>
      <w:r>
        <w:rPr>
          <w:rFonts w:ascii="Arial" w:cs="Arial" w:eastAsia="Arial" w:hAnsi="Arial"/>
          <w:sz w:val="18"/>
          <w:szCs w:val="18"/>
          <w:b w:val="1"/>
          <w:bCs w:val="1"/>
          <w:i w:val="1"/>
          <w:iCs w:val="1"/>
          <w:color w:val="auto"/>
        </w:rPr>
        <w:t xml:space="preserve">What will happen to the listing of XPO </w:t>
      </w:r>
      <w:r>
        <w:rPr>
          <w:rFonts w:ascii="Arial" w:cs="Arial" w:eastAsia="Arial" w:hAnsi="Arial"/>
          <w:sz w:val="18"/>
          <w:szCs w:val="18"/>
          <w:color w:val="auto"/>
        </w:rPr>
        <w:t>XPO common stock will continue to trade on the NYSE after the distribution.</w:t>
      </w:r>
      <w:r>
        <w:rPr>
          <w:rFonts w:ascii="Arial" w:cs="Arial" w:eastAsia="Arial" w:hAnsi="Arial"/>
          <w:sz w:val="18"/>
          <w:szCs w:val="18"/>
          <w:b w:val="1"/>
          <w:bCs w:val="1"/>
          <w:i w:val="1"/>
          <w:iCs w:val="1"/>
          <w:color w:val="auto"/>
        </w:rPr>
        <w:t xml:space="preserve"> common stock?</w:t>
      </w:r>
    </w:p>
    <w:p>
      <w:pPr>
        <w:spacing w:after="0" w:line="54" w:lineRule="exact"/>
        <w:rPr>
          <w:sz w:val="20"/>
          <w:szCs w:val="20"/>
          <w:color w:val="auto"/>
        </w:rPr>
      </w:pPr>
    </w:p>
    <w:p>
      <w:pPr>
        <w:ind w:left="160" w:right="160" w:hanging="161"/>
        <w:spacing w:after="0" w:line="212" w:lineRule="auto"/>
        <w:rPr>
          <w:sz w:val="20"/>
          <w:szCs w:val="20"/>
          <w:color w:val="auto"/>
        </w:rPr>
      </w:pPr>
      <w:r>
        <w:rPr>
          <w:rFonts w:ascii="Arial" w:cs="Arial" w:eastAsia="Arial" w:hAnsi="Arial"/>
          <w:sz w:val="18"/>
          <w:szCs w:val="18"/>
          <w:b w:val="1"/>
          <w:bCs w:val="1"/>
          <w:i w:val="1"/>
          <w:iCs w:val="1"/>
          <w:color w:val="auto"/>
        </w:rPr>
        <w:t>Will the number of shares of XPO</w:t>
      </w:r>
      <w:r>
        <w:rPr>
          <w:sz w:val="20"/>
          <w:szCs w:val="20"/>
          <w:color w:val="auto"/>
        </w:rPr>
        <w:t xml:space="preserve"> </w:t>
      </w:r>
      <w:r>
        <w:rPr>
          <w:rFonts w:ascii="Arial" w:cs="Arial" w:eastAsia="Arial" w:hAnsi="Arial"/>
          <w:sz w:val="18"/>
          <w:szCs w:val="18"/>
          <w:color w:val="auto"/>
        </w:rPr>
        <w:t xml:space="preserve">No. The number of shares of XPO common stock that you own will not change as a result of </w:t>
      </w:r>
      <w:r>
        <w:rPr>
          <w:rFonts w:ascii="Arial" w:cs="Arial" w:eastAsia="Arial" w:hAnsi="Arial"/>
          <w:sz w:val="18"/>
          <w:szCs w:val="18"/>
          <w:b w:val="1"/>
          <w:bCs w:val="1"/>
          <w:i w:val="1"/>
          <w:iCs w:val="1"/>
          <w:color w:val="auto"/>
        </w:rPr>
        <w:t xml:space="preserve">common stock that I own change as a </w:t>
      </w:r>
      <w:r>
        <w:rPr>
          <w:rFonts w:ascii="Arial" w:cs="Arial" w:eastAsia="Arial" w:hAnsi="Arial"/>
          <w:sz w:val="18"/>
          <w:szCs w:val="18"/>
          <w:color w:val="auto"/>
        </w:rPr>
        <w:t>the distribution.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20"/>
          </w:cols>
          <w:pgMar w:left="1020" w:top="1440" w:right="105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60" w:hanging="161"/>
        <w:spacing w:after="0" w:line="324" w:lineRule="auto"/>
        <w:rPr>
          <w:sz w:val="20"/>
          <w:szCs w:val="20"/>
          <w:color w:val="auto"/>
        </w:rPr>
      </w:pPr>
      <w:r>
        <w:rPr>
          <w:rFonts w:ascii="Arial" w:cs="Arial" w:eastAsia="Arial" w:hAnsi="Arial"/>
          <w:sz w:val="15"/>
          <w:szCs w:val="15"/>
          <w:b w:val="1"/>
          <w:bCs w:val="1"/>
          <w:i w:val="1"/>
          <w:iCs w:val="1"/>
          <w:color w:val="auto"/>
        </w:rPr>
        <w:t>Will the distribution affect the market price of my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00"/>
        <w:spacing w:after="0" w:line="284" w:lineRule="auto"/>
        <w:rPr>
          <w:sz w:val="20"/>
          <w:szCs w:val="20"/>
          <w:color w:val="auto"/>
        </w:rPr>
      </w:pPr>
      <w:r>
        <w:rPr>
          <w:rFonts w:ascii="Arial" w:cs="Arial" w:eastAsia="Arial" w:hAnsi="Arial"/>
          <w:sz w:val="15"/>
          <w:szCs w:val="15"/>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right="80" w:hanging="161"/>
        <w:spacing w:after="0" w:line="324" w:lineRule="auto"/>
        <w:rPr>
          <w:sz w:val="20"/>
          <w:szCs w:val="20"/>
          <w:color w:val="auto"/>
        </w:rPr>
      </w:pPr>
      <w:r>
        <w:rPr>
          <w:rFonts w:ascii="Arial" w:cs="Arial" w:eastAsia="Arial" w:hAnsi="Arial"/>
          <w:sz w:val="15"/>
          <w:szCs w:val="15"/>
          <w:b w:val="1"/>
          <w:bCs w:val="1"/>
          <w:i w:val="1"/>
          <w:iCs w:val="1"/>
          <w:color w:val="auto"/>
        </w:rPr>
        <w:t>What will GXO’s relationship be with XPO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460" w:hanging="161"/>
        <w:spacing w:after="0" w:line="235" w:lineRule="auto"/>
        <w:rPr>
          <w:sz w:val="20"/>
          <w:szCs w:val="20"/>
          <w:color w:val="auto"/>
        </w:rPr>
      </w:pPr>
      <w:r>
        <w:rPr>
          <w:rFonts w:ascii="Arial" w:cs="Arial" w:eastAsia="Arial" w:hAnsi="Arial"/>
          <w:sz w:val="18"/>
          <w:szCs w:val="18"/>
          <w:b w:val="1"/>
          <w:bCs w:val="1"/>
          <w:i w:val="1"/>
          <w:iCs w:val="1"/>
          <w:color w:val="auto"/>
        </w:rPr>
        <w:t>Who will manage GXO after the separation?</w:t>
      </w:r>
    </w:p>
    <w:p>
      <w:pPr>
        <w:spacing w:after="0" w:line="229"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Are there risks associated with owning GXO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GXO plan to pay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Yes. As a result of the distribution, XPO expects the trading price of shares of XPO common stock immediately following the distribution to be different from the “regular-way” trading price of such shares immediately prior to the distribution because the trading price will no longer reflect the value of the GXO Businesses. There can be no assurance whether the aggregate market value of </w:t>
      </w:r>
      <w:r>
        <w:rPr>
          <w:rFonts w:ascii="Arial" w:cs="Arial" w:eastAsia="Arial" w:hAnsi="Arial"/>
          <w:sz w:val="18"/>
          <w:szCs w:val="18"/>
          <w:color w:val="auto"/>
          <w:highlight w:val="white"/>
        </w:rPr>
        <w:t>XPO</w:t>
      </w:r>
      <w:r>
        <w:rPr>
          <w:rFonts w:ascii="Arial" w:cs="Arial" w:eastAsia="Arial" w:hAnsi="Arial"/>
          <w:sz w:val="18"/>
          <w:szCs w:val="18"/>
          <w:color w:val="auto"/>
        </w:rPr>
        <w:t xml:space="preserve"> common stock and GXO common stock following the separation will be higher or lower than the market value of XPO common stock if the separation did not occur. This means, for example, that the combined trading prices of a share </w:t>
      </w:r>
      <w:r>
        <w:rPr>
          <w:rFonts w:ascii="Arial" w:cs="Arial" w:eastAsia="Arial" w:hAnsi="Arial"/>
          <w:sz w:val="18"/>
          <w:szCs w:val="18"/>
          <w:color w:val="auto"/>
          <w:highlight w:val="white"/>
        </w:rPr>
        <w:t>of X</w:t>
      </w:r>
      <w:r>
        <w:rPr>
          <w:rFonts w:ascii="Arial" w:cs="Arial" w:eastAsia="Arial" w:hAnsi="Arial"/>
          <w:sz w:val="18"/>
          <w:szCs w:val="18"/>
          <w:color w:val="auto"/>
        </w:rPr>
        <w:t>PO common stock and a share of GXO common stock after the distribution may be equal</w:t>
      </w:r>
      <w:r>
        <w:rPr>
          <w:rFonts w:ascii="Arial" w:cs="Arial" w:eastAsia="Arial" w:hAnsi="Arial"/>
          <w:sz w:val="18"/>
          <w:szCs w:val="18"/>
          <w:color w:val="auto"/>
          <w:highlight w:val="white"/>
        </w:rPr>
        <w:t xml:space="preserve"> </w:t>
      </w:r>
      <w:r>
        <w:rPr>
          <w:rFonts w:ascii="Arial" w:cs="Arial" w:eastAsia="Arial" w:hAnsi="Arial"/>
          <w:sz w:val="18"/>
          <w:szCs w:val="18"/>
          <w:color w:val="auto"/>
        </w:rPr>
        <w:t>to, greater than or less than the trading price of a share of XPO common stock before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-1582420</wp:posOffset>
            </wp:positionV>
            <wp:extent cx="7136130" cy="650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136130" cy="6501765"/>
                    </a:xfrm>
                    <a:prstGeom prst="rect">
                      <a:avLst/>
                    </a:prstGeom>
                    <a:noFill/>
                  </pic:spPr>
                </pic:pic>
              </a:graphicData>
            </a:graphic>
          </wp:anchor>
        </w:drawing>
      </w:r>
    </w:p>
    <w:p>
      <w:pPr>
        <w:spacing w:after="0" w:line="4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w:t>
      </w:r>
    </w:p>
    <w:p>
      <w:pPr>
        <w:spacing w:after="0" w:line="109"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If the distribution, together with certain related transactions, so qualifies, generally no gain or loss will be recognized by you, and no amount will be included in your income, for U.S. federal income tax purposes upon your receipt of GXO common stock in the distribution.</w:t>
      </w:r>
    </w:p>
    <w:p>
      <w:pPr>
        <w:ind w:right="20"/>
        <w:spacing w:after="0" w:line="214" w:lineRule="auto"/>
        <w:rPr>
          <w:sz w:val="20"/>
          <w:szCs w:val="20"/>
          <w:color w:val="auto"/>
        </w:rPr>
      </w:pPr>
      <w:r>
        <w:rPr>
          <w:rFonts w:ascii="Arial" w:cs="Arial" w:eastAsia="Arial" w:hAnsi="Arial"/>
          <w:sz w:val="18"/>
          <w:szCs w:val="18"/>
          <w:color w:val="auto"/>
        </w:rPr>
        <w:t>You should carefully read the section titled “Material U.S. Federal Income Tax Consequences” and should consult your own tax advisor as to the particular consequences of the distribution to you, including the applicability and effect of any U.S. federal, state and local tax laws, as well as any non-U.S. tax laws.</w:t>
      </w:r>
    </w:p>
    <w:p>
      <w:pPr>
        <w:spacing w:after="0" w:line="56"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After the distribution, XPO and GXO will be separate companies with separate management teams and separate boards of directors. GXO will enter into a separation and distribution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57" w:lineRule="exact"/>
        <w:rPr>
          <w:sz w:val="20"/>
          <w:szCs w:val="20"/>
          <w:color w:val="auto"/>
        </w:rPr>
      </w:pPr>
    </w:p>
    <w:p>
      <w:pPr>
        <w:ind w:right="640"/>
        <w:spacing w:after="0" w:line="224" w:lineRule="auto"/>
        <w:rPr>
          <w:sz w:val="20"/>
          <w:szCs w:val="20"/>
          <w:color w:val="auto"/>
        </w:rPr>
      </w:pPr>
      <w:r>
        <w:rPr>
          <w:rFonts w:ascii="Arial" w:cs="Arial" w:eastAsia="Arial" w:hAnsi="Arial"/>
          <w:sz w:val="18"/>
          <w:szCs w:val="18"/>
          <w:color w:val="auto"/>
        </w:rPr>
        <w:t>GXO will benefit from a management team with an extensive background in the GXO Businesses. For more information regarding GXO’s management and directors, see “Management” and “Directors.”</w:t>
      </w:r>
    </w:p>
    <w:p>
      <w:pPr>
        <w:spacing w:after="0" w:line="5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Yes. Ownership of GXO common stock is subject to both general and specific risks relating to the GXO Businesses, the industry in which it operates, its ongoing contractual relationships with XPO and its status as a separate, publicly traded company. Ownership of GXO common stock is also subject to risks relating to the separation. Certain of these risks are described in the “Risk Factors” section of this information statement. We encourage you to read that section carefully.</w:t>
      </w:r>
    </w:p>
    <w:p>
      <w:pPr>
        <w:spacing w:after="0" w:line="5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highlight w:val="white"/>
        </w:rPr>
        <w:t xml:space="preserve">The declaration and payment of any dividends in the future by GXO will be subject to the sole discretion of the board of directors and will depend upon many factors. </w:t>
      </w:r>
      <w:r>
        <w:rPr>
          <w:rFonts w:ascii="Arial" w:cs="Arial" w:eastAsia="Arial" w:hAnsi="Arial"/>
          <w:sz w:val="16"/>
          <w:szCs w:val="16"/>
          <w:color w:val="auto"/>
        </w:rPr>
        <w:t>See “Dividend Policy.”</w:t>
      </w:r>
    </w:p>
    <w:p>
      <w:pPr>
        <w:spacing w:after="0" w:line="200" w:lineRule="exact"/>
        <w:rPr>
          <w:sz w:val="20"/>
          <w:szCs w:val="20"/>
          <w:color w:val="auto"/>
        </w:rPr>
      </w:pPr>
    </w:p>
    <w:p>
      <w:pPr>
        <w:sectPr>
          <w:pgSz w:w="11900" w:h="16838" w:orient="portrait"/>
          <w:cols w:equalWidth="0" w:num="2">
            <w:col w:w="2840" w:space="140"/>
            <w:col w:w="686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40"/>
          </w:cols>
          <w:pgMar w:left="1020" w:top="1440" w:right="103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Will GXO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right="100" w:hanging="161"/>
        <w:spacing w:after="0" w:line="219"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GXO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Yes.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and “Risk Factors—Risks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-1550670</wp:posOffset>
            </wp:positionV>
            <wp:extent cx="7136130" cy="4907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136130" cy="4907280"/>
                    </a:xfrm>
                    <a:prstGeom prst="rect">
                      <a:avLst/>
                    </a:prstGeom>
                    <a:noFill/>
                  </pic:spPr>
                </pic:pic>
              </a:graphicData>
            </a:graphic>
          </wp:anchor>
        </w:drawing>
      </w:r>
    </w:p>
    <w:p>
      <w:pPr>
        <w:spacing w:after="0" w:line="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distribution agent, transfer agent and registrar for the GXO common stock will be Computershare. For questions relating to the transfer or mechanics of the stock distribution, you should contact Computershare toll free at (800) 622-6757.</w:t>
      </w:r>
    </w:p>
    <w:p>
      <w:pPr>
        <w:spacing w:after="0" w:line="186" w:lineRule="exact"/>
        <w:rPr>
          <w:sz w:val="20"/>
          <w:szCs w:val="20"/>
          <w:color w:val="auto"/>
        </w:rPr>
      </w:pPr>
    </w:p>
    <w:p>
      <w:pPr>
        <w:sectPr>
          <w:pgSz w:w="11900" w:h="16838" w:orient="portrait"/>
          <w:cols w:equalWidth="0" w:num="2">
            <w:col w:w="2880" w:space="100"/>
            <w:col w:w="6760"/>
          </w:cols>
          <w:pgMar w:left="1020" w:top="1440" w:right="1139" w:bottom="1440" w:gutter="0" w:footer="0" w:header="0"/>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can I find more information</w:t>
      </w:r>
      <w:r>
        <w:rPr>
          <w:sz w:val="20"/>
          <w:szCs w:val="20"/>
          <w:color w:val="auto"/>
        </w:rPr>
        <w:tab/>
      </w:r>
      <w:r>
        <w:rPr>
          <w:rFonts w:ascii="Arial" w:cs="Arial" w:eastAsia="Arial" w:hAnsi="Arial"/>
          <w:sz w:val="16"/>
          <w:szCs w:val="16"/>
          <w:color w:val="auto"/>
        </w:rPr>
        <w:t>Before the distribution, if you have any questions relating to XPO, you should contact:</w:t>
      </w:r>
    </w:p>
    <w:p>
      <w:pPr>
        <w:ind w:left="160"/>
        <w:spacing w:after="0" w:line="187" w:lineRule="auto"/>
        <w:rPr>
          <w:sz w:val="20"/>
          <w:szCs w:val="20"/>
          <w:color w:val="auto"/>
        </w:rPr>
      </w:pPr>
      <w:r>
        <w:rPr>
          <w:rFonts w:ascii="Arial" w:cs="Arial" w:eastAsia="Arial" w:hAnsi="Arial"/>
          <w:sz w:val="18"/>
          <w:szCs w:val="18"/>
          <w:b w:val="1"/>
          <w:bCs w:val="1"/>
          <w:i w:val="1"/>
          <w:iCs w:val="1"/>
          <w:color w:val="auto"/>
        </w:rPr>
        <w:t>about XPO and GXO?</w:t>
      </w:r>
    </w:p>
    <w:p>
      <w:pPr>
        <w:ind w:left="2980"/>
        <w:spacing w:after="0" w:line="204" w:lineRule="auto"/>
        <w:rPr>
          <w:sz w:val="20"/>
          <w:szCs w:val="20"/>
          <w:color w:val="auto"/>
        </w:rPr>
      </w:pPr>
      <w:r>
        <w:rPr>
          <w:rFonts w:ascii="Arial" w:cs="Arial" w:eastAsia="Arial" w:hAnsi="Arial"/>
          <w:sz w:val="18"/>
          <w:szCs w:val="18"/>
          <w:color w:val="auto"/>
        </w:rPr>
        <w:t>XPO Logistics, Inc.</w:t>
      </w:r>
    </w:p>
    <w:p>
      <w:pPr>
        <w:ind w:left="2980"/>
        <w:spacing w:after="0" w:line="203" w:lineRule="auto"/>
        <w:rPr>
          <w:sz w:val="20"/>
          <w:szCs w:val="20"/>
          <w:color w:val="auto"/>
        </w:rPr>
      </w:pPr>
      <w:r>
        <w:rPr>
          <w:rFonts w:ascii="Arial" w:cs="Arial" w:eastAsia="Arial" w:hAnsi="Arial"/>
          <w:sz w:val="18"/>
          <w:szCs w:val="18"/>
          <w:color w:val="auto"/>
        </w:rPr>
        <w:t>Five American Lane</w:t>
      </w:r>
    </w:p>
    <w:p>
      <w:pPr>
        <w:ind w:left="2980"/>
        <w:spacing w:after="0" w:line="204" w:lineRule="auto"/>
        <w:rPr>
          <w:sz w:val="20"/>
          <w:szCs w:val="20"/>
          <w:color w:val="auto"/>
        </w:rPr>
      </w:pPr>
      <w:r>
        <w:rPr>
          <w:rFonts w:ascii="Arial" w:cs="Arial" w:eastAsia="Arial" w:hAnsi="Arial"/>
          <w:sz w:val="18"/>
          <w:szCs w:val="18"/>
          <w:color w:val="auto"/>
        </w:rPr>
        <w:t>Greenwich, CT 06831</w:t>
      </w: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5" w:lineRule="exact"/>
        <w:rPr>
          <w:sz w:val="20"/>
          <w:szCs w:val="20"/>
          <w:color w:val="auto"/>
        </w:rPr>
      </w:pPr>
    </w:p>
    <w:p>
      <w:pPr>
        <w:ind w:left="2980" w:right="280"/>
        <w:spacing w:after="0" w:line="235" w:lineRule="auto"/>
        <w:rPr>
          <w:sz w:val="20"/>
          <w:szCs w:val="20"/>
          <w:color w:val="auto"/>
        </w:rPr>
      </w:pPr>
      <w:r>
        <w:rPr>
          <w:rFonts w:ascii="Arial" w:cs="Arial" w:eastAsia="Arial" w:hAnsi="Arial"/>
          <w:sz w:val="18"/>
          <w:szCs w:val="18"/>
          <w:color w:val="auto"/>
        </w:rPr>
        <w:t>After the distribution, GXO stockholders who have any questions relating to GXO should contact:</w:t>
      </w:r>
    </w:p>
    <w:p>
      <w:pPr>
        <w:spacing w:after="0" w:line="9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GXO Logistics, Inc.</w:t>
      </w:r>
    </w:p>
    <w:p>
      <w:pPr>
        <w:ind w:left="2980"/>
        <w:spacing w:after="0" w:line="203" w:lineRule="auto"/>
        <w:rPr>
          <w:sz w:val="20"/>
          <w:szCs w:val="20"/>
          <w:color w:val="auto"/>
        </w:rPr>
      </w:pPr>
      <w:r>
        <w:rPr>
          <w:rFonts w:ascii="Arial" w:cs="Arial" w:eastAsia="Arial" w:hAnsi="Arial"/>
          <w:sz w:val="18"/>
          <w:szCs w:val="18"/>
          <w:color w:val="auto"/>
        </w:rPr>
        <w:t>Two American Lane</w:t>
      </w:r>
    </w:p>
    <w:p>
      <w:pPr>
        <w:ind w:left="2980"/>
        <w:spacing w:after="0" w:line="203" w:lineRule="auto"/>
        <w:rPr>
          <w:sz w:val="20"/>
          <w:szCs w:val="20"/>
          <w:color w:val="auto"/>
        </w:rPr>
      </w:pPr>
      <w:r>
        <w:rPr>
          <w:rFonts w:ascii="Arial" w:cs="Arial" w:eastAsia="Arial" w:hAnsi="Arial"/>
          <w:sz w:val="18"/>
          <w:szCs w:val="18"/>
          <w:color w:val="auto"/>
        </w:rPr>
        <w:t>Greenwich, CT 06831</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1" w:lineRule="exact"/>
        <w:rPr>
          <w:sz w:val="20"/>
          <w:szCs w:val="20"/>
          <w:color w:val="auto"/>
        </w:rPr>
      </w:pPr>
    </w:p>
    <w:p>
      <w:pPr>
        <w:ind w:left="2980"/>
        <w:spacing w:after="0" w:line="229" w:lineRule="auto"/>
        <w:rPr>
          <w:sz w:val="20"/>
          <w:szCs w:val="20"/>
          <w:color w:val="auto"/>
        </w:rPr>
      </w:pPr>
      <w:r>
        <w:rPr>
          <w:rFonts w:ascii="Arial" w:cs="Arial" w:eastAsia="Arial" w:hAnsi="Arial"/>
          <w:sz w:val="18"/>
          <w:szCs w:val="18"/>
          <w:color w:val="auto"/>
        </w:rPr>
        <w:t xml:space="preserve">The GXO investor relations website is at </w:t>
      </w:r>
      <w:r>
        <w:rPr>
          <w:rFonts w:ascii="Arial" w:cs="Arial" w:eastAsia="Arial" w:hAnsi="Arial"/>
          <w:sz w:val="18"/>
          <w:szCs w:val="18"/>
          <w:i w:val="1"/>
          <w:iCs w:val="1"/>
          <w:color w:val="auto"/>
        </w:rPr>
        <w:t>www.gxo.com/investors</w:t>
      </w:r>
      <w:r>
        <w:rPr>
          <w:rFonts w:ascii="Arial" w:cs="Arial" w:eastAsia="Arial" w:hAnsi="Arial"/>
          <w:sz w:val="18"/>
          <w:szCs w:val="18"/>
          <w:color w:val="auto"/>
        </w:rPr>
        <w:t xml:space="preserve">. </w:t>
      </w:r>
      <w:r>
        <w:rPr>
          <w:rFonts w:ascii="Arial" w:cs="Arial" w:eastAsia="Arial" w:hAnsi="Arial"/>
          <w:sz w:val="18"/>
          <w:szCs w:val="18"/>
          <w:b w:val="1"/>
          <w:bCs w:val="1"/>
          <w:color w:val="auto"/>
        </w:rPr>
        <w:t>The GXO website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740"/>
          </w:cols>
          <w:pgMar w:left="1020" w:top="1440" w:right="11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0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COMBINED FINANCIAL DATA</w:t>
      </w:r>
    </w:p>
    <w:p>
      <w:pPr>
        <w:spacing w:after="0" w:line="17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following summary financial data reflects the combined operations of GXO. We derived the summary combined income statement data for the years ended December 31, 2020, 2019 and 2018, and summary combined balance sheet data as of December 31, 2020 and 2019, as set forth below, from our audited Combined Financial Statements, which are included in the “Index to Financial Statements” section of this information statement. We derived our summary combined balance sheet data as of December 31, 2018, also as set forth below, from our unaudited underlying financial records, which were derived from the financial records of XPO. We derived the summary combined income statement data for the three months ended March 31, 2021 and 2020, and summary combined balance sheet data as of March 31, 2021, as set forth below, from our unaudited Condensed Combined Financial Statements, which are included in the “Index to Financial Statements” section of this information statement. To ensure a full understanding of this summary financial data, you should read the summary combined financial data presented below in conjunction with “Management’s Discussion and Analysis of Financial Condition and Results of Operations,” our Combined Financial Statements and accompanying notes and the Condensed Combined Financial Statements and accompanying notes included elsewhere in this information statement. The historical results do not necessarily indicate the results expected for any future period.</w:t>
      </w:r>
    </w:p>
    <w:p>
      <w:pPr>
        <w:spacing w:after="0" w:line="1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summary unaudited pro forma combined financial data as of and for the three months ended March 31, 2021 and 2020 and for year ended December 31, 2020 has been prepared to reflect the separation, including the incurrence of indebtedness of $800 million, and the distribution of approximately $978 million of cash to XPO. The Unaudited Pro Forma Condensed Combined Statement of Operations presented assumes the separation occurred on January 1, 2020, the beginning of our most recently completed fiscal year. The Unaudited Pro Forma Condensed Combined Balance Sheet presented for March 31, 2021 assumes the separation occurred on March 31, 2021, our latest balance sheet date. The assumptions used and pro forma adjustments derived from such assumptions are based on currently available information, and we believe such assumptions are reasonable under the circumstances.</w:t>
      </w:r>
    </w:p>
    <w:p>
      <w:pPr>
        <w:spacing w:after="0" w:line="11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Unaudited Pro Forma Condensed Combined Financial Information is not necessarily indicative of our results of operations or financial condition had the distribution and our anticipated post-separation capital structure been completed on the dates assumed. It may not reflect the results of operations or financial condition that would have resulted had we been operating as an independent, publicly traded company during such periods. In addition, it is not necessarily indicative of our future results of operations or financial condition.</w:t>
      </w:r>
    </w:p>
    <w:p>
      <w:pPr>
        <w:spacing w:after="0" w:line="1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 should read this summary financial data together with “Unaudited Pro Forma Condensed Combined Financial Information,” “Capitalization,” “Management’s Discussion and Analysis of Financial Condition and Results of Operations”, our Combined Financial Statements and accompanying notes and our Condensed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1000" w:top="1440" w:right="9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33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5"/>
          </w:tcPr>
          <w:p>
            <w:pPr>
              <w:jc w:val="right"/>
              <w:ind w:right="193"/>
              <w:spacing w:after="0" w:line="122" w:lineRule="exact"/>
              <w:rPr>
                <w:sz w:val="20"/>
                <w:szCs w:val="20"/>
                <w:color w:val="auto"/>
              </w:rPr>
            </w:pPr>
            <w:r>
              <w:rPr>
                <w:rFonts w:ascii="Arial" w:cs="Arial" w:eastAsia="Arial" w:hAnsi="Arial"/>
                <w:sz w:val="13"/>
                <w:szCs w:val="13"/>
                <w:b w:val="1"/>
                <w:bCs w:val="1"/>
                <w:color w:val="auto"/>
                <w:w w:val="99"/>
              </w:rPr>
              <w:t>Three Months Ended</w:t>
            </w:r>
          </w:p>
        </w:tc>
        <w:tc>
          <w:tcPr>
            <w:tcW w:w="80" w:type="dxa"/>
            <w:vAlign w:val="bottom"/>
          </w:tcPr>
          <w:p>
            <w:pPr>
              <w:spacing w:after="0"/>
              <w:rPr>
                <w:sz w:val="10"/>
                <w:szCs w:val="10"/>
                <w:color w:val="auto"/>
              </w:rPr>
            </w:pPr>
          </w:p>
        </w:tc>
        <w:tc>
          <w:tcPr>
            <w:tcW w:w="10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6"/>
          </w:tcPr>
          <w:p>
            <w:pPr>
              <w:ind w:left="100"/>
              <w:spacing w:after="0" w:line="122" w:lineRule="exact"/>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Years Ended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93"/>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tcBorders>
            <w:gridSpan w:val="4"/>
          </w:tcPr>
          <w:p>
            <w:pPr>
              <w:jc w:val="center"/>
              <w:ind w:left="304"/>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85"/>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jc w:val="center"/>
              <w:ind w:left="23"/>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Results:</w:t>
            </w: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40"/>
              <w:spacing w:after="0"/>
              <w:rPr>
                <w:sz w:val="20"/>
                <w:szCs w:val="20"/>
                <w:color w:val="auto"/>
              </w:rPr>
            </w:pPr>
            <w:r>
              <w:rPr>
                <w:rFonts w:ascii="Arial" w:cs="Arial" w:eastAsia="Arial" w:hAnsi="Arial"/>
                <w:sz w:val="15"/>
                <w:szCs w:val="15"/>
                <w:color w:val="auto"/>
              </w:rPr>
              <w:t>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1,442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0"/>
              </w:rPr>
              <w:t>6,203</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1,822</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1,440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6,195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gridSpan w:val="4"/>
          </w:tcPr>
          <w:p>
            <w:pPr>
              <w:jc w:val="right"/>
              <w:ind w:right="60"/>
              <w:spacing w:after="0"/>
              <w:rPr>
                <w:sz w:val="20"/>
                <w:szCs w:val="20"/>
                <w:color w:val="auto"/>
              </w:rPr>
            </w:pPr>
            <w:r>
              <w:rPr>
                <w:rFonts w:ascii="Arial" w:cs="Arial" w:eastAsia="Arial" w:hAnsi="Arial"/>
                <w:sz w:val="15"/>
                <w:szCs w:val="15"/>
                <w:color w:val="auto"/>
              </w:rPr>
              <w:t>6,094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150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rPr>
              <w:t>Income (loss) before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w w:val="93"/>
              </w:rPr>
              <w:t>Net income (loss) attributable to GXO</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4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469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40"/>
              <w:spacing w:after="0"/>
              <w:rPr>
                <w:sz w:val="20"/>
                <w:szCs w:val="20"/>
                <w:color w:val="auto"/>
              </w:rPr>
            </w:pPr>
            <w:r>
              <w:rPr>
                <w:rFonts w:ascii="Arial" w:cs="Arial" w:eastAsia="Arial" w:hAnsi="Arial"/>
                <w:sz w:val="15"/>
                <w:szCs w:val="15"/>
                <w:color w:val="auto"/>
              </w:rPr>
              <w:t>Free Cash Flow</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Pro Forma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rPr>
              <w:t>As of 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24"/>
              <w:spacing w:after="0"/>
              <w:rPr>
                <w:sz w:val="20"/>
                <w:szCs w:val="20"/>
                <w:color w:val="auto"/>
              </w:rPr>
            </w:pPr>
            <w:r>
              <w:rPr>
                <w:rFonts w:ascii="Arial" w:cs="Arial" w:eastAsia="Arial" w:hAnsi="Arial"/>
                <w:sz w:val="13"/>
                <w:szCs w:val="13"/>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Position:</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53"/>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42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414</w:t>
            </w:r>
          </w:p>
        </w:tc>
        <w:tc>
          <w:tcPr>
            <w:tcW w:w="40" w:type="dxa"/>
            <w:vAlign w:val="bottom"/>
          </w:tcPr>
          <w:p>
            <w:pPr>
              <w:spacing w:after="0"/>
              <w:rPr>
                <w:sz w:val="18"/>
                <w:szCs w:val="18"/>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328</w:t>
            </w:r>
          </w:p>
        </w:tc>
        <w:tc>
          <w:tcPr>
            <w:tcW w:w="680" w:type="dxa"/>
            <w:vAlign w:val="bottom"/>
            <w:gridSpan w:val="3"/>
          </w:tcPr>
          <w:p>
            <w:pPr>
              <w:jc w:val="right"/>
              <w:ind w:right="35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gridSpan w:val="4"/>
          </w:tcPr>
          <w:p>
            <w:pPr>
              <w:ind w:left="40"/>
              <w:spacing w:after="0"/>
              <w:rPr>
                <w:sz w:val="20"/>
                <w:szCs w:val="20"/>
                <w:color w:val="auto"/>
              </w:rPr>
            </w:pPr>
            <w:r>
              <w:rPr>
                <w:rFonts w:ascii="Arial" w:cs="Arial" w:eastAsia="Arial" w:hAnsi="Arial"/>
                <w:sz w:val="16"/>
                <w:szCs w:val="16"/>
                <w:color w:val="auto"/>
              </w:rPr>
              <w:t>Long-term debt and finance lease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2"/>
        <w:spacing w:after="0" w:line="245"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 w:lineRule="exact"/>
        <w:rPr>
          <w:rFonts w:ascii="Arial" w:cs="Arial" w:eastAsia="Arial" w:hAnsi="Arial"/>
          <w:sz w:val="14"/>
          <w:szCs w:val="14"/>
          <w:color w:val="auto"/>
        </w:rPr>
      </w:pPr>
    </w:p>
    <w:p>
      <w:pPr>
        <w:ind w:left="660" w:right="360" w:hanging="322"/>
        <w:spacing w:after="0" w:line="255"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adopted Accounting Standards Update 2016-02, Leases (Topic 842) prospectively on January 1, 2019. Our historical total assets as of March 31, 2021, December 31, 2020 and 2019 include operating lease assets of $1,733 million, $1,434 million and $1,458 million, respectively.</w:t>
      </w:r>
    </w:p>
    <w:p>
      <w:pPr>
        <w:spacing w:after="0" w:line="136" w:lineRule="exact"/>
        <w:rPr>
          <w:sz w:val="20"/>
          <w:szCs w:val="20"/>
          <w:color w:val="auto"/>
        </w:rPr>
      </w:pPr>
    </w:p>
    <w:p>
      <w:pPr>
        <w:ind w:left="20" w:right="740" w:firstLine="324"/>
        <w:spacing w:after="0" w:line="277" w:lineRule="auto"/>
        <w:rPr>
          <w:sz w:val="20"/>
          <w:szCs w:val="20"/>
          <w:color w:val="auto"/>
        </w:rPr>
      </w:pPr>
      <w:r>
        <w:rPr>
          <w:rFonts w:ascii="Arial" w:cs="Arial" w:eastAsia="Arial" w:hAnsi="Arial"/>
          <w:sz w:val="18"/>
          <w:szCs w:val="18"/>
          <w:color w:val="auto"/>
        </w:rPr>
        <w:t>The tables below reconcile our non-GAAP measures to the nearest financial measure that is in accordance with accounting principles generally accepted in the United States (“GAAP”)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440" w:right="9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9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Pro Forma</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880" w:type="dxa"/>
            <w:vAlign w:val="bottom"/>
          </w:tcPr>
          <w:p>
            <w:pPr>
              <w:jc w:val="center"/>
              <w:ind w:right="44"/>
              <w:spacing w:after="0" w:line="121"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6"/>
              </w:rPr>
              <w:t>Years Ended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4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4"/>
                <w:szCs w:val="14"/>
                <w:color w:val="auto"/>
              </w:rPr>
            </w:pPr>
          </w:p>
        </w:tc>
        <w:tc>
          <w:tcPr>
            <w:tcW w:w="98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ind w:left="40"/>
              <w:spacing w:after="0" w:line="152" w:lineRule="exact"/>
              <w:rPr>
                <w:sz w:val="20"/>
                <w:szCs w:val="20"/>
                <w:color w:val="auto"/>
              </w:rPr>
            </w:pPr>
            <w:r>
              <w:rPr>
                <w:rFonts w:ascii="Arial" w:cs="Arial" w:eastAsia="Arial" w:hAnsi="Arial"/>
                <w:sz w:val="16"/>
                <w:szCs w:val="16"/>
                <w:color w:val="auto"/>
              </w:rPr>
              <w:t>Net income (loss) attributable to</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GXO</w:t>
            </w: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Net income attributable to</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2"/>
        </w:trPr>
        <w:tc>
          <w:tcPr>
            <w:tcW w:w="2360" w:type="dxa"/>
            <w:vAlign w:val="bottom"/>
          </w:tcPr>
          <w:p>
            <w:pPr>
              <w:ind w:left="200"/>
              <w:spacing w:after="0" w:line="213"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Transaction and integration costs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00" w:hanging="322"/>
        <w:spacing w:after="0" w:line="273" w:lineRule="auto"/>
        <w:tabs>
          <w:tab w:leader="none" w:pos="6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amortization of acquisition-related intangible assets of $14 million for the three months ended March 31, 2021 and 2020 and $57 million, $60 million and $64 million in 2020,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Free Cash Flow</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2660" w:type="dxa"/>
            <w:vAlign w:val="bottom"/>
            <w:gridSpan w:val="6"/>
          </w:tcPr>
          <w:p>
            <w:pPr>
              <w:jc w:val="right"/>
              <w:ind w:right="90"/>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5"/>
        </w:trPr>
        <w:tc>
          <w:tcPr>
            <w:tcW w:w="3740" w:type="dxa"/>
            <w:vAlign w:val="bottom"/>
          </w:tcPr>
          <w:p>
            <w:pPr>
              <w:ind w:left="40"/>
              <w:spacing w:after="0" w:line="176" w:lineRule="exact"/>
              <w:rPr>
                <w:sz w:val="20"/>
                <w:szCs w:val="20"/>
                <w:color w:val="auto"/>
              </w:rPr>
            </w:pPr>
            <w:r>
              <w:rPr>
                <w:rFonts w:ascii="Arial" w:cs="Arial" w:eastAsia="Arial" w:hAnsi="Arial"/>
                <w:sz w:val="18"/>
                <w:szCs w:val="18"/>
                <w:color w:val="auto"/>
              </w:rPr>
              <w:t>Cash collected on deferred purchase price</w:t>
            </w:r>
          </w:p>
        </w:tc>
        <w:tc>
          <w:tcPr>
            <w:tcW w:w="200" w:type="dxa"/>
            <w:vAlign w:val="bottom"/>
          </w:tcPr>
          <w:p>
            <w:pPr>
              <w:spacing w:after="0"/>
              <w:rPr>
                <w:sz w:val="15"/>
                <w:szCs w:val="15"/>
                <w:color w:val="auto"/>
              </w:rPr>
            </w:pPr>
          </w:p>
        </w:tc>
        <w:tc>
          <w:tcPr>
            <w:tcW w:w="1060" w:type="dxa"/>
            <w:vAlign w:val="bottom"/>
            <w:gridSpan w:val="2"/>
            <w:vMerge w:val="restart"/>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 for purchases of property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9"/>
              </w:rPr>
              <w:t>Proceeds from sale of property and equipment</w:t>
            </w:r>
          </w:p>
        </w:tc>
        <w:tc>
          <w:tcPr>
            <w:tcW w:w="200" w:type="dxa"/>
            <w:vAlign w:val="bottom"/>
          </w:tcPr>
          <w:p>
            <w:pPr>
              <w:spacing w:after="0"/>
              <w:rPr>
                <w:sz w:val="19"/>
                <w:szCs w:val="19"/>
                <w:color w:val="auto"/>
              </w:rPr>
            </w:pPr>
          </w:p>
        </w:tc>
        <w:tc>
          <w:tcPr>
            <w:tcW w:w="1060" w:type="dxa"/>
            <w:vAlign w:val="bottom"/>
            <w:gridSpan w:val="2"/>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93"/>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Non-GAAP Measures</w:t>
      </w:r>
    </w:p>
    <w:p>
      <w:pPr>
        <w:spacing w:after="0" w:line="175" w:lineRule="exact"/>
        <w:rPr>
          <w:sz w:val="20"/>
          <w:szCs w:val="20"/>
          <w:color w:val="auto"/>
        </w:rPr>
      </w:pPr>
    </w:p>
    <w:p>
      <w:pPr>
        <w:ind w:left="20" w:firstLine="324"/>
        <w:spacing w:after="0" w:line="259" w:lineRule="auto"/>
        <w:rPr>
          <w:sz w:val="20"/>
          <w:szCs w:val="20"/>
          <w:color w:val="auto"/>
        </w:rPr>
      </w:pPr>
      <w:r>
        <w:rPr>
          <w:rFonts w:ascii="Arial" w:cs="Arial" w:eastAsia="Arial" w:hAnsi="Arial"/>
          <w:sz w:val="18"/>
          <w:szCs w:val="18"/>
          <w:color w:val="auto"/>
        </w:rPr>
        <w:t>GXO’s non-GAAP financial measures for the three months ended March 31, 2021 and 2020 and the years ended December 31, 2020, 2019 and 2018 and the unaudited pro forma financial data for the three months ended March 31, 2021 and 2020 and the year ended December 31, 2020 used in this statement include adjusted earnings before interest, taxes, depreciation and amortization (“Adjusted EBITDA”) and free cash flow on a combined basis.</w:t>
      </w:r>
    </w:p>
    <w:p>
      <w:pPr>
        <w:spacing w:after="0" w:line="133" w:lineRule="exact"/>
        <w:rPr>
          <w:sz w:val="20"/>
          <w:szCs w:val="20"/>
          <w:color w:val="auto"/>
        </w:rPr>
      </w:pPr>
    </w:p>
    <w:p>
      <w:pPr>
        <w:jc w:val="both"/>
        <w:ind w:left="20" w:firstLine="324"/>
        <w:spacing w:after="0" w:line="275" w:lineRule="auto"/>
        <w:rPr>
          <w:sz w:val="20"/>
          <w:szCs w:val="20"/>
          <w:color w:val="auto"/>
        </w:rPr>
      </w:pPr>
      <w:r>
        <w:rPr>
          <w:rFonts w:ascii="Arial" w:cs="Arial" w:eastAsia="Arial" w:hAnsi="Arial"/>
          <w:sz w:val="17"/>
          <w:szCs w:val="17"/>
          <w:color w:val="auto"/>
        </w:rPr>
        <w:t>We believe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22" w:lineRule="exact"/>
        <w:rPr>
          <w:sz w:val="20"/>
          <w:szCs w:val="20"/>
          <w:color w:val="auto"/>
        </w:rPr>
      </w:pPr>
    </w:p>
    <w:p>
      <w:pPr>
        <w:ind w:left="20" w:right="20" w:firstLine="324"/>
        <w:spacing w:after="0" w:line="273" w:lineRule="auto"/>
        <w:rPr>
          <w:sz w:val="20"/>
          <w:szCs w:val="20"/>
          <w:color w:val="auto"/>
        </w:rPr>
      </w:pPr>
      <w:r>
        <w:rPr>
          <w:rFonts w:ascii="Arial" w:cs="Arial" w:eastAsia="Arial" w:hAnsi="Arial"/>
          <w:sz w:val="17"/>
          <w:szCs w:val="17"/>
          <w:color w:val="auto"/>
        </w:rPr>
        <w:t>Adjusted EBITDA is calculated as Net income (loss) excluding interest, taxes, depreciation and amortization, and include adjustments for transaction and integration costs, as well as restructuring costs as set forth in the above table. Transaction and integration costs are generally incremental expenses that result from an actual or planned acquisition, divestiture or spin-off and may include third-party financial, legal and tax expenditures, consulting fees and retention awards. Restructuring costs primarily relate to severance costs associated with business optimization initiatives. Management uses these non-GAAP financial measures in making financial, operating and planning decisions and evaluating GXO’s ongoing performance.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900"/>
          </w:cols>
          <w:pgMar w:left="980" w:top="1440" w:right="101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018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assists investors with assessing trends in our underlying business.</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free cash flow is an important measure of our ability to repay maturing debt or fund other uses of capital that we believe will enhance stockholder value. We calculate free cash flow as net cash provided by operating activities plus cash collected on deferred purchase price receivables, less payment for purchases of property and equipment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680"/>
          </w:cols>
          <w:pgMar w:left="1000" w:top="1440" w:right="1219" w:bottom="1440" w:gutter="0" w:footer="0" w:header="0"/>
        </w:sectPr>
      </w:pPr>
    </w:p>
    <w:bookmarkStart w:id="36" w:name="page37"/>
    <w:bookmarkEnd w:id="3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GXO and GXO common stock (“our stock” or “our common stock”). Any of the following risks and uncertainties could materially adversely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primary competitive factors that are most important to our customers are price and quality of service. Many larger customers utilize the services of multiple logistics providers. Customers regularly solicit bids from competitors in order to improve service and to secure favorable pricing and contractual terms such as longer payment terms, fixed-price arrangements, higher or unlimited liability limits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train and retain employees may have a material adverse effect on us.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workforce is comprised primarily of employees who work on an hourly basis. To grow our operations and meet the needs and expectations of our customers, we must attract, train and retain a large number of hourly employees, while at the same time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 For instance, our labor costs increased because of the COVID-19 pandemic, in part due to increased staffing needs, wage increases (including increases we awarded for pandemic frontline service) and increases in government unemployment benefits that have incentivized potential employees to remain out of the workforce in areas where we operate.</w:t>
      </w:r>
    </w:p>
    <w:p>
      <w:pPr>
        <w:spacing w:after="0" w:line="13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Additionally, our operations are subject to various employment 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 related matters. Any changes to employment related laws and regulations, including increased minimum wages, the expansion of union organization rights or changes in the classification of employees and independent contractors, could result in increased labor costs that could adversely affect our business, results of operations, cash flows and financial condition.</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are currently subject to employment related claims in connection with our operations. These claims, lawsuits and proceedings are in various stages of adjudication or investigation and involve a wide variety of claims and potential outcomes. Because labor represents a significant portion of our operating expenses,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depend on our ability to attract and retain qualified talent, including temporary, part-time and full-time team members; managers; and executive officers. If we are unable to attract and retain such individuals,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unable to maintain our current competitive position within the industry, meet our customers’ expectations or successfully expand and grow our business.</w:t>
      </w:r>
    </w:p>
    <w:p>
      <w:pPr>
        <w:spacing w:after="0" w:line="1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permanent employees, our ability to meet customer demands and expectations, especially during periods of peak volume, is substantially dependent on our ability to recruit and retain qualified temporary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Moreover, our inability to recruit a qualified temporary workforce may result in our inability to meet our customers’ performance targets.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the performance of an acquired business, including our January 2021 acquisition of the majority of Kuehne + Nagel’s logistics operations in the U.K.,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that could adversely affect our financial condition and results; we have experienced challenges of this nature relating to the infrastructure and systems of certain past companies that we acquired. Also, we may not realize all of the synergies we anticipate from past and potential future acquisitions. Among the synergies that we currently expect to realize are cross-selling opportunities to our existing customers, network synergies and other operational synergies. Any of these events could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rapid growth, including organic growth and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growth effectively, or obtain necessary working capital, could have a material adverse effect on our business,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w:t>
      </w:r>
    </w:p>
    <w:p>
      <w:pPr>
        <w:spacing w:after="0" w:line="13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economic uncertainties relating to eurozone monetary policies may cause the value of the euro to fluctuate against other currencies. Currency volatility contributes to variations in our sales of products and services in impacted jurisdictions. For example, in the event that one or more European countries were to replace the euro with another currency, our sales into such countries, or in Europe generally, would likely be adversely affected until stable exchange rates are established. Accordingly, fluctuations in currency exchange rates could adversely affect our business and financial condition in Europe and the business of the combined company.</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Establishing new customer relationships or adding operational sites for existing customers requires a significant amount of time, operational focus and capital. Although we typically partner with our new customers to ensure that onboarding is smooth and allocate costs appropriately, our inability to integrate new customers or operational sites into our technology systems or recruit additional employees to manage new customer relationships, or higher than anticipated costs to onboard new customers may negatively affect our financial condition or operations.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required to implement warehouse solutions for our customers. These costs are often paid back by the customer over a specified period of time associated with the expected length of the customer relationship. To the extent that a customer defaults on its obligations under its agreement with us, we could be forced to take a significant loss on the unrecovered portion of this upfront capital cost.</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1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due to labor shortages, volume peaks, our inability to procure temporary labor, technological malfunctions or other events that may or may not be within our control, may expose us to penalties or incremental costs or lead to the termination of customer contracts, all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our customers typically realize a significant portion of their sales in the fourth quarter of each year during the holiday season. Although not all of our customers experience the same seasonal variation, and some customers may have seasonal peaks that occur in periods other than the fourth quarter, the seasonality of our customers’ businesses places higher demands on our services,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94"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has and may continue to impact our customers, employees and other business partners. The COVID-19 pandemic has created significant volatility, uncertainty and economic disruption, which has and may continue to adversely affect our business operations and may materially and adversely affect our results of operations, cash flows and financial position.</w:t>
      </w:r>
    </w:p>
    <w:p>
      <w:pPr>
        <w:spacing w:after="0" w:line="13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effects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Furthermore, the extent and pace of a recovery remains uncertain and may differ significantly among the countries in which we operate. We anticipate that our results of operations will continue to be impacted by this pandemic in 2021, and the pandemic could have a material impact on our results of operations and heighten many of our known risks described herein.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logistics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logistics order entry and fulfillment and other business processes.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141"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17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in close proximity to a customer’s manufacturing plant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 causing our business to suffer.</w:t>
      </w:r>
    </w:p>
    <w:p>
      <w:pPr>
        <w:spacing w:after="0" w:line="13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0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Although our work force in the United States is not unionized, labor unions have, from time to time, attempted to organize our employees. Successful unionization by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make significant use of temporary staff.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are involved in lawsuits and are subject to various claims that could result in significant expenditures and impact our operations.</w:t>
      </w:r>
    </w:p>
    <w:p>
      <w:pPr>
        <w:spacing w:after="0" w:line="2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or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12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maintain defined benefit pension plans and a postretirement medical plan. Our defined benefit pension plans include funded and unfunded plans in the U.S. and the U.K. A decline in interest rates 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significantly increase our contribution requirements. As a result, we are unable to predict the effect on our financial statements associated with our defined benefit pension plans and our postretirement medical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These and other tax laws and related regulation changes, to the extent adopted, may increase tax uncertainty, result in higher compliance cost and adversely affect our provision for income taxes, results of operations and/or cash flow.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regulatory landscape in which we operate is constantly evolving and subject to significant change, including as a result of evolving political and social attitudes. Future laws, regulations and regulatory reforms, including without limitation future laws and regulations related to increased minimum wages, the expansion of union organization rights or changes in the classification of employees and independent contractors,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41"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4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use of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depressing our ability to meet our customers’ expectations and demands, all of which would negatively affect our business and our results of operations.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enactment of proposed or future legislation by Congress could change union organization rights, resulting in increased efforts by workers to unionize. If such legislation is enacted at the federal, state or local level, such efforts could distract our management team, result in business interruptions, work stoppages and the reduction of service levels due to work rules that could have an adverse effect on our customer relationships and our revenues, earnings, financial position and outlook, and could adversely affect our business by increasing our labor costs. Recent regulatory proposals and statements by the Biden administration suggest that certain regulatory bodies, including the National Labor Relations Board, Occupational Safety and Health Administration (“OSHA”) and the Equal Employment Opportunity Commission, may promulgate regulations that could limit our operational flexibility. If such regulations are adopted, they could increase our cost of operations or hinder our ability to meet our customers’ expectations and demands, either of which would negatively affect our business and our results of operations.</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weaker demand for our services, negatively affecting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7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historical information about GXO in this information statement refers to the GXO Businesses as operated by and integrated with XPO. Our historical financial information included in this information statement is derived from XPO’s accounting records and is presented on a standalone basis as if the GXO Businesses have been conducted independently from XPO. Additionally, the pro forma financial information included in this information statement is derived from our historical financial information and (i) gives effect to the separation and (ii) reflects GXO’s anticipated post-separation capital structure, including the assignment of certain assets and assumption of certain liabilities not included in the historical financial statements. Accordingly, the historical and pro forma financial information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138" w:lineRule="exact"/>
        <w:rPr>
          <w:sz w:val="20"/>
          <w:szCs w:val="20"/>
          <w:color w:val="auto"/>
        </w:rPr>
      </w:pPr>
    </w:p>
    <w:p>
      <w:pPr>
        <w:ind w:left="660" w:right="1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Generally, our working capital requirements and capital for our general corporate purposes, including capital expenditures and acquisitions, have historically been satisfied as part of the corporate-wide cash management policies of XPO. Following the completion of the distribution, our results of operations and cash flows are likely to be more volatile, and we may need to obtain additional financing from banks, through public offerings or private placements of debt or equity securities, strategic relationships or other arrangements, which may or may not be available and may be more costly.</w:t>
      </w:r>
    </w:p>
    <w:p>
      <w:pPr>
        <w:spacing w:after="0" w:line="133"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the distribution, our business has been operated by XPO as part of its broader corporate organization, rather than as an independent company. XPO or one of its affiliates performed various corporate functions for us, such as legal, treasury, accounting, auditing, human resources, investor relations, and finance. Our historical and pro forma financial results reflect allocations of corporate expenses from XPO for such functions, which may be less than the expenses we would have incurred had we operated as a separate, publicly traded company.</w:t>
      </w:r>
    </w:p>
    <w:p>
      <w:pPr>
        <w:spacing w:after="0" w:line="103" w:lineRule="exact"/>
        <w:rPr>
          <w:rFonts w:ascii="Arial" w:cs="Arial" w:eastAsia="Arial" w:hAnsi="Arial"/>
          <w:sz w:val="16"/>
          <w:szCs w:val="16"/>
          <w:color w:val="auto"/>
        </w:rPr>
      </w:pPr>
    </w:p>
    <w:p>
      <w:pPr>
        <w:jc w:val="both"/>
        <w:ind w:left="660" w:right="600" w:hanging="328"/>
        <w:spacing w:after="0" w:line="28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Currently, our business is integrated with the other businesses of XPO. Historically, we have shared economies of scope and scale in costs, employees, vendor relationships and customer relationships. While we have sought to minimize the impact on GXO when separating these arrangements, there is no guarantee these arrangements will continue to capture these benefits in the future.</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current part of XPO, we take advantage of XPO’s overall size and scope to obtain more advantageous procurement terms. After the distribution, as a standalone company, we may be unable to obtain similar arrangements to the same extent that XPO did, or on terms as favorable as those XPO obtained, prior to completion of the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After the completion of the distribution, the cost of capital for our business may be higher than XPO’s cost of capital prior to the distribution.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historical financial information does not reflect the debt that we will incur as part of the distribution.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an independent public company, we will separately become subject to, among other things, the reporting requirements of the Securities Exchange Act of 1934, the Sarbanes-Oxley Act, the Dodd-Frank Wall Street Reform and Consumer Protection Act, and the regulations of the NYSE and will be required to prepare our standalone financial statements according to the rules and regulations required by the SEC. These reporting and other obligations will place significant demands on our management and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steps, and those expenses may be significant. If we are unable to implement our financial and management controls, reporting systems,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and procedures in a timely and effective fashion, our ability to comply with our financial reporting requirements and other rules that apply to reporting companies under the Securities Exchange Act of 1934 could be impaired.</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Other significant changes may occur in our cost structure, management, financing and business operations as a result of operating as a company separate from XPO. For additional information about the past financial performance of our business and the basis of presentation of the historical combined financial statements and the unaudited pro forma condensed combined financial statements of our business, see “Unaudited Pro Forma Condensed Combined Financial Information,” “Management’s Discussion and Analysis of Financial Condition and Results of Operations” and the historical financial statements and accompanying notes included elsewhere in this information statement.</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our financial profile will change, and we will be a smaller, less diversified company than XPO prior to the separation.</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separation will result in each of XPO and GXO being smaller, less diversified companies with more limited businesses concentrated in their respective industries.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our ability to fund capital expenditures and investments, pay dividends and service debt may be diminished. Following the separation, we may also lose capital allocation efficiency and flexibility, as we will no longer be able to use cash flow from XPO to fund our investments into one of our other businesses.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the separation and distribution, and the separation and distribution may materially adversely affect our business.</w:t>
      </w:r>
    </w:p>
    <w:p>
      <w:pPr>
        <w:spacing w:after="0" w:line="116"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and distribution, or such benefits may be delayed or not occur at all. The distribution is expected to provide a number of benefits, including those described elsewhere in this information statement.</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achieve these and other anticipated benefits for a variety of reasons, including, among others: (i) the separation will demand significant management resources and require significant amounts of management’s time and effort, which may divert management’s attention from operating and growing our business; (ii) following the separation, we may be more susceptible to market fluctuations and other adverse events than if we were still a part of XPO because our business will be less diversified than XPO’s business prior to the completion of the separation; (iii) after the separation, as a standalone company, we may be unable to obtain certain goods, services and technologies at prices or on terms as favorable as those XPO obtained prior to completion of the separation; (iv) the separation may require us to pay costs that could be substantial and material to our financial resources, including insurance, accounting, tax, legal and other professional services costs, recruiting and relocation costs associated with hiring key senior management and personnel new to GXO, tax costs and costs to separate information systems; (v) under the terms of the tax matters agreement that we will enter into with XPO, we will be restricted from taking certain actions that could cause the distribution or certain related transactions (or certain transactions undertaken as part of the internal reorganization) to fail to qualify as tax-free, and these restrictions may limit us for a period of time from pursuing certain strategic transactions and equity issuances or engaging in other transactions that might increase the value of our business; and (vi) after the separation, we cannot predict the trading prices of GXO common stock or know whether the combined value of one share of our common stock and one share of XPO common stock will be less than, equal to or greater than the market value of one share of XPO common stock prior to the distribution. If we fail to achieve some or all of the benefits expected to result from the separation, or if such benefits are delayed, it could have a material adverse effect on our competitive position,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XPO’s separation into two independent, publicly traded companies is complex in nature, and unanticipated developments or changes, including changes in the law, the macroeconomic environment, competitive conditions of XPO’s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XPO board of directors, in its sole and absolute discretion, may decide not to proceed with the distribution at any time prior to the distribution date.</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process of completing the proposed separation has been and is expected to continue to be time-consuming and involves significant costs and expenses. The separation costs may be significantly higher than what we currently anticipate and may not yield a discernible benefit if the separation is not completed or is not well executed, or the expected benefits of the separation are not realized. Executing the proposed separation will also require significant amounts of management’s time and effort, which may divert management’s attention from operating and growing our business. Other challenges associated with effectively executing the separation include attracting, retaining and motivating employees during the pendency of the separation and following its completion; addressing disruptions to our supply chain, manufacturing, sales and distribution, and other operations resulting from separating XPO into two independent companies; and separating XPO’s information systems.</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These conditions may adversely affect our anticipated timeline to complete the separation and the expected benefits of the separation, including by increasing the time and expense involved in the separation.</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debt obligations, and may in the future incur additional debt obligations, that could adversely affect our business and profitability and our ability to meet other obligations.</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We may also incur additional indebtedness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significant amount of debt could potentially have important consequences to us and our debt and equity investors, including:</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make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our debt, which could increase future debt costs and limit the future availability of debt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placing us at a competitive disadvantage relative to our competitors that may not be as highly leveraged with debt; and</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 pay cash dividends or repurchase common shares.</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3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could experience temporary interruptions in business operations and incur additional costs as we build our information technology infrastructure and transition our data to our own systems.</w:t>
      </w:r>
    </w:p>
    <w:p>
      <w:pPr>
        <w:spacing w:after="0" w:line="116"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We are in the process of creating our own, or engaging third parties to provide, information technology infrastructure and systems to support our critical business functions, including accounting and reporting, in order to replace many of the systems XPO currently provides to us. We may incur temporary interruptions in business operations if we cannot transition effectively from XPO’s existing operating systems, databases and programming 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combined financial statements.</w:t>
      </w:r>
    </w:p>
    <w:p>
      <w:pPr>
        <w:spacing w:after="0" w:line="12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financial results previously were included within the combined results of XPO, and we believe that our reporting and control systems were appropriate for those of subsidiaries of a public company. However, we were not directly subject to the reporting and other requirements of the Securities Exchange Act of 1934. As a result of the distribution, we will be directly subject to reporting and other obligations under the Securities Exchange Act of 1934, including the requirements of Section 404 of the Sarbanes-Oxley Act, which will require annual management assessments of the effectiveness of our internal control over financial reporting and a report by our independent registered public accounting firm addressing these assessments. These reporting and other obligations will place significant demands on our management and administrative and operational resources, including accounting resources. We may not have sufficient time following the separation to meet these obligations by the applicable deadlines.</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to comply with these requirements, we anticipate that we will need to migrate our systems, including information technology systems, implement additional financial and management controls, reporting systems and procedures and hire additional accounting, tax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Securities Exchange Act of 1934 could be impaired. In the event we are unable to implement a sufficient tax reporting system and related processes, we may be unable to comply with tax law and face penalties associated with our lack of compliance. Any failure to achieve and maintain effective internal controls could result in adverse regulatory consequences and/or loss of investor confidence, which could limit GXO’s ability to access the global capital markets and could have a material adverse effect on our business, financial condition, results of operations, cash flows or the market price of GXO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Pursuant to the separation agreement and certain other agreements between XPO and GXO, each party will agree to indemnify the other for certain liabilities, in each case for uncapped amounts, as discussed further in the section titled “Certain Relationships and Related Party Transactions—Separation Agreement” of this information statement. Indemnities that we may be required to provide XPO are not subject to any cap,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12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Moreover, even if we ultimately succeed in recovering from XPO any amounts for which we are held liable, we may be temporarily required to bear these losses ourselves. Each of these risks could negatively affect our business, results of operations and financial condition.</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connection with the separation and prior to the distribution, GXO and XPO will enter into the separation agreement and will also enter into various other agreements, including a transition services agreement, a tax matters agreement, an employee matters agreement and an intellectual property license agreement. The separation agreement, the tax matters agreement, the employee matters agreement and the intellectual property license agreement, together with the documents and agreements by which the internal reorganization will be effected, will determine the allocation of assets and liabilities between the companies following the separation for those respective areas and will include any necessary indemnifications related to liabilities and obligations. The transition services agreement will provide for the performance of certain services by each company for the benefit of the other for a period of time after the separation. GXO will rely on XPO to satisfy its performance and payment obligations under these agreements. If XPO is unable or unwilling to satisfy its obligations under these agreements, including its indemnification obligations, we could incur operational difficulties and/or losses. If we do not have in place our own systems and services, or if we do not have agreements with other providers of these services once certain transaction agreements expire, we may not be able to operate our business effectively, and our profitability may decline. We are in the process of creating our own, or engaging third parties to provide, systems and services to replace many of the systems and services that XPO currently provides to us. However, we may not be successful in implementing these systems and services in a timely manner or at all, we may incur additional costs in connection with, or following, the implementation of these systems and services, and we may not be successful in transitioning data from XPO’s systems to ours.</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held liable to XPO if we fail to perform certain services under the transition services agreement, and the performance of such services may negatively impact our business and operations.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separation, GXO and XPO will enter into a transition services agreement that will provide for the performance of certain services by each company for the benefit of the other for a period of time after the separation. If we do not satisfactorily perform our obligations under the agreement, we may be held liable for any resulting losses suffered by XPO, subject to certain limits. In addition, during the transition services periods, our management and employees may be required to divert their attention away from our business in order to provide services to XPO,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we will receive in our agreements with XPO could be less beneficial than the terms we may have otherwise received from unaffiliated third parties.</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agreements we will enter into with XPO in connection with the separation, including the separation agreement, a transition services agreement, a tax matters agreement, an employee matters agreement and an intellectual property license agreement, were prepared in the context of the separation while we were still a wholly owned subsidiary of XPO. Accordingly, during the period in which the terms of those agreements were prepared, we did not have an independent board of directors or a management team that was independent of XPO. As a result, the terms of those agreements may not reflect terms that would have resulted from arm’s-length negotiations between unaffiliated third parties. See “Certain Relationships and Related Party Transactions.”</w:t>
      </w:r>
    </w:p>
    <w:p>
      <w:pPr>
        <w:spacing w:after="0" w:line="10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0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XPO and GXO, including those relating to the past and future conduct of XPO and GXO. If any of these facts, assumptions, representations, statements or undertakings is, or becomes, inaccurate or incomplete, or if XPO or GXO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Notwithstanding receipt of the opinion of counsel, the U.S. Internal Revenue Service (the “IRS”) could determine that the distribution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we, as well as XPO and XPO’s stockholders, could be subject to significant U.S. federal income tax liability.</w:t>
      </w:r>
    </w:p>
    <w:p>
      <w:pPr>
        <w:spacing w:after="0" w:line="1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 distribution,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(unless XPO and we jointly make an election under Section 336(e) of the Code with respect to the distribution, in which case, in general, (a) the XPO group would recognize taxable gain as if we had sold all of our assets in a taxable sale in exchange for an amount equal to the fair market value of GXO common stock and the assumption of all our liabilities and (b) we would obtain a related step-up in the tax basis of our assets), and XPO stockholders who receive such GXO shares in the distribution would be subject to tax as if they had received a taxable distribution equal to the fair market value of such shares. For more information, see “Material U.S. Federal Income Tax Consequences.”</w:t>
      </w:r>
    </w:p>
    <w:p>
      <w:pPr>
        <w:spacing w:after="0" w:line="11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addition, as part of the separation, and prior to the distribution, XPO and its subsidiaries expect to complete the internal reorganization, and XPO, GXO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reorganization, XPO intends to obtain opinions of external tax advisors, in each case, regarding the tax treatment of such transactions. Such opinions will be based upon and rely on, among other 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any such tax opinions cannot be obtained or the relevant taxing authorities prevail with any challenge in respect of any relevant transaction, XPO, GXO and their subsidiaries could be subject to significant tax liabilities.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tax matters agreement to be entered into between XPO and GXO in connection with the separation, we generally would be required to indemnify XPO for any taxes resulting from the separation (and any related costs and other damages) to the extent such amounts resulted from (i) an acquisition of all or a portion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agreement and certain other agreements and documents. Further, under the tax matters agreement, we generally would be required to indemnify XPO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 by, or acquisition of equity securities of, XPO or GXO. Any such indemnity obligations could be material. For a more detailed discussion, see “Certain Relationships and Related Party Transactions—Tax Matters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 following the separation.</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For example, a spin-off may result in taxable gain to the parent corporation under Section 355(e) of the Code if it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separation and distribution, and in addition to our indemnity obligation described above, the tax matters agreement will restrict us, for the two-year period following the distribution, except in specific circumstances, from, among other things: (i) ceasing to actively conduct certain of our businesses; (ii) entering into certain transactions or series of transactions pursuant to which all or a portion of the shares of GXO stock would be acquired, whether by merger or otherwise; (iii) liquidating or merging or consolidating with any other person; (iv) issuing equity securities beyond certain thresholds; (v) repurchasing shares of GXO stock other than in certain open-market transactions; or (vi) taking or failing to take any other action that would jeopardize the expected U.S. federal income tax treatment of the distribution and certain related transactions.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distribution, together with certain related transactions, to qualify for tax-free treatment (see the discussion under the section titled “Certain Relationships and Related Party Transactions—Tax Matters Agreement” ), and our indemnity obligations for such liabilities under the tax matters agreement, may discourage, delay, or prevent certain third parties from acquiring us. For more information, see the sections titled “Certain Relationships and Related Party Transactions—Tax Matters Agreement” and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separation agreement will provide that certain contracts, permits and other assets and rights are to be transferred from XPO or its subsidiaries to GXO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XPO are joint beneficiaries of contracts, and we and XPO may need the consents of third parties in order to split or separate the existing contracts or the relevant portion of the existing contracts to us or XPO.</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parties may use consent requirements or other rights to seek to terminate contracts or obtain more favorable contractual terms from us, which, for example, could take the form of adverse price changes,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XPO, and we may be required to seek alternative arrangements to obtain services and assets which may be more costly and/or of lower quality. The termination or modification of these contracts or permits or the failure to timely complete the transfer or separation of these contracts or permits could negatively impact our business, financial condition, results of operations and cash flows.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XPO board of directors has sole and absolute discretion to change the terms of the separation and distribution in ways that may be unfavorable to us.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Until the distribution occurs, GXO will be a wholly-owned subsidiary of XPO. Accordingly, the XPO board of directors will have the sole and absolute discretion to determine and change the terms of the separation, including the establishment of the record date for the distribution and the distribution date. These changes could be unfavorable to us. In addition, the XPO board of directors, in its sole and absolute discretion, may decide not to proceed with the distribution at any time prior to the distribution date.</w:t>
      </w:r>
    </w:p>
    <w:p>
      <w:pPr>
        <w:spacing w:after="0" w:line="13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No vote of XPO stockholders is required in connection with the distribution. Accordingly, if you do not want to receive our common stock in the distribution, your only recourse will be to divest yourself of your XPO common stock prior to the record date for the distribution.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public market for our common stock does not currently exist. We anticipate that on or prior to the record date for the distribution, trading of shares of our common stock will begin on a “when-issued” basis and will continue up to the distribution date. However, we cannot guarantee that an active trading market will develop or be sustained for our common stock after the distribution, nor can we predict the prices at which shares of our common stock may trade after the distribution. Similarly, we cannot predict the effect of the distribution on the trading prices of our common stock or whether the combined market value of one share of our common stock and one share of XPO common stock will be less than, equal to or greater than the market value of one share of XPO common stock prior to the distribution.</w:t>
      </w:r>
    </w:p>
    <w:p>
      <w:pPr>
        <w:spacing w:after="0" w:line="13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Until the market has fully evaluated XPO’s businesses without GXO, the price at which each share of XPO common stock trades may fluctuate more significantly than might otherwise be typical, even with other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conditions, including general volatility, held constant. Similarly, until the market has fully evaluated our business as a standalone entity, the prices at which shares of our common stock trade may fluctuate more significantly than might otherwise be typical, even with other market conditions, including general volatility, held constant. The increased volatility of our stock price following the distribution may have a material adverse effect on our business, financial condition and results of operations. The market price of our common stock may fluctuate significantly due to a number of factors, some of which may be beyond our control, including:</w:t>
      </w:r>
    </w:p>
    <w:p>
      <w:pPr>
        <w:spacing w:after="0" w:line="1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our ability to meet those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substantial and rapid changes in our stockholder base, which may cause our stock price to fluctuate significantly.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investors holding shares of XPO common stock may hold that stock because of a decision to invest in a company with XPO’s profile. Following the distribution, the shares of GXO common stock held by those investors will represent an investment in a company with a different profile. This may not be aligned with a holder’s investment strategy and may cause the holder to sell the shares rapidly. As a result, the price of GXO common stock may decline or experience volatility as GXO’s stockholder base changes.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number of shares of our common stock may be sold following the distribution, which may cause our stock price to decline.</w:t>
      </w:r>
    </w:p>
    <w:p>
      <w:pPr>
        <w:spacing w:after="0" w:line="18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Any sales of substantial amounts of our common stock in the public market or the perception that such sales might occur, in connection with the distribution or otherwise, may cause the market price of our common stock to decline. Upon completion of the distribution, we expect that we will have an aggregate of approximately 114,602,061 shares of our common stock issued and outstanding. Shares distributed to XPO stockholders in the separation will generally be freely tradeable without restriction or further registration under the U.S. Securities Act of 1933, as amended (the “Securities Act”), except for shares owned by one of our “affiliates,” as that term is defined in Rule 405 under the Securities Act.</w:t>
      </w:r>
    </w:p>
    <w:p>
      <w:pPr>
        <w:spacing w:after="0" w:line="12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are unable to predict whether large amounts of our common stock will be sold in the open market following the distribution. We are also unable to predict whether a sufficient number of buyers of our common stock to meet the demand to sell shares of our common stock at attractive prices would exist at that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future, your percentage ownership in GXO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distribution as a result of conversion of their XPO stock-based awards. We anticipate that the compensation committee of our board of directors will grant additional stock-based awards to our employees after the distribution. Such awards will have a dilutive effect on the number of GXO shares outstanding, and therefore on our earnings per share, which could adversely affect the market price of our common stock. From time to time, we will issue additional stock-based awards to our employees under our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the timing, amount or payment of dividends on our common stock.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 For more information, see “Dividend Policy.”</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are expected to include, among others:</w:t>
      </w:r>
    </w:p>
    <w:p>
      <w:pPr>
        <w:spacing w:after="0" w:line="13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addition, we expect to be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2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 See “Description of Capital Stock.”</w:t>
      </w:r>
    </w:p>
    <w:p>
      <w:pPr>
        <w:spacing w:after="0" w:line="10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an acquisition or further issuance of our stock could trigger the application of Section 355(e) of the Code, causing the distribution to be taxable to XPO. For a discussion of Section 355(e) of the Code, see “Material U.S. Federal Income Tax Consequences.” Under the tax matters agreement, we would be required to indemnify XPO for the resulting tax, and this indemnity obligation might discourage, delay or prevent a change of control that our stockholders may consider favorable.</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will contain an exclusive forum provision that may discourage lawsuits against GXO and GXO’s directors and officers.</w:t>
      </w:r>
    </w:p>
    <w:p>
      <w:pPr>
        <w:spacing w:after="0" w:line="11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unless the board of directors otherwise determines, the state courts within the State of Delaware (or, if no state court located within the State of Delaware has jurisdiction, the federal district court for the District of Delaware) will be the sole and exclusive forum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0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1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one share of XPO common stock and one share of GXO common stock may not equal or exceed the pre-distribution value of one share of XPO common stock.</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a result of the separation, we expect the trading price of shares of XPO common stock immediately following the separation to be different from the “regular-way” trading price of XPO common shares immediately prior to the separation because the trading price will no longer reflect the value of the GXO Businesses. There can be no assurance that the aggregate market value of a share of XPO common stock and one share of GXO common stock following the separation will be higher than, lower than or the same as the market value of a share of XPO common stock if the separation did not occur.</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Chairman controls a large portion of our stock, which could limit other stockholders’ ability to influence the outcome of key decisions and transactions, including changes of control.</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Chairman, Brad Jacobs, will beneficially own approximately 13.5% of our outstanding common stock as of August 2, 2021.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information statement and other materials XPO and GXO have filed or will file with the SEC (and oral communications that XPO or GXO may make)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(including risks, uncertainties and assumptions) that might cause or contribute to a material difference include, but are not limited to:</w:t>
      </w:r>
    </w:p>
    <w:p>
      <w:pPr>
        <w:spacing w:after="0" w:line="11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severity, magnitude, duration and aftereffects of the COVID-19 pandemic and government responses to the COVID-19 pandemic;</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health crises (including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conditions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align our investments in capital assets, including equipment, service centers and warehouses, to our customers’ demands;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anticipated synergies, cost savings and profit improvement opportunities with respect to acquired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and implement suitable information technology systems and prevent failures in or breaches of such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raise debt and equity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matters, including our ability to manage our subcontractors, and risks associated with labor disputes at our customers and efforts by labor organizations to organize our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defined benefit plans for our current and former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fixed and floating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issues related to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 including trade compliance laws, as well as changes in international trade policies and tax regimes;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or political actions, including the United Kingdom’s exit from the European Union;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terrorist attacks or similar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44" w:lineRule="exact"/>
        <w:rPr>
          <w:sz w:val="20"/>
          <w:szCs w:val="20"/>
          <w:color w:val="auto"/>
        </w:rPr>
      </w:pPr>
    </w:p>
    <w:p>
      <w:pPr>
        <w:ind w:left="660" w:right="3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economic, and regulatory risks relating to GXO’s global operations, including compliance with U.S. and foreign trade and tax laws, sanctions, embargoes and other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disruption of GXO’s operations;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achieve the level of revenue growth, cash generation, cost savings, improvement in profitability and margins, fiscal discipline, or strengthening of competitiveness and operations anticipated or targeted;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potential cyber-attacks and information technology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implement technology initiatives successfully;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uncertainties regarding the planned separation, including the risk that conditions to the separation will not be satisfied and that it will not be completed pursuant to the targeted timing, asset perimeters, and other anticipated terms, if at all, and that the separation will not produce the desired benefits;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should be treated as taxable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financing transactions undertaken in connection with the separation and risks associated with additional indebtedness;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our estimates; and</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separation on our businesses, our operations, our relationships with customers, suppliers, employees and other business counterparties, and the risk that the businesses will not be separated successfully or that such separation may be more difficult, time-consuming or costly than expected, which could result in additional demands on our resources, systems, procedures and controls, disruption of our ongoing business, and diversion of management’s attention from other business concerns.</w:t>
      </w:r>
    </w:p>
    <w:p>
      <w:pPr>
        <w:spacing w:after="0" w:line="13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XPO and GXO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December 2, 2020, XPO announced its intention to separate into two independent, publicly traded companies. The separation will occur through a pro rata distribution to the XPO stockholders of 100% of the shares of common stock of GXO, which was formed to hold the GXO Businesses.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distribution:</w:t>
      </w:r>
    </w:p>
    <w:p>
      <w:pPr>
        <w:spacing w:after="0" w:line="171" w:lineRule="exact"/>
        <w:rPr>
          <w:sz w:val="20"/>
          <w:szCs w:val="20"/>
          <w:color w:val="auto"/>
        </w:rPr>
      </w:pPr>
    </w:p>
    <w:p>
      <w:pPr>
        <w:ind w:left="660" w:right="2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expect that XPO will complete the internal reorganization as a result of which GXO will become the parent company of the XPO operations comprising, and the entities that will conduct, the GXO Businesses;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GXO issued $800 million of unsecured, unsubordinated notes and entered into an $800 million Revolving Credit Agreement, as described under “Description of Material Indebtedness;”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expect that using all or a portion of the proceeds from one or more financing transactions on or prior to the completion of the distribution, GXO will transfer approximately $1 billion of cash to XPO, which XPO will use to repay existing indebtedness.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July 12, 2021, the XPO board of directors approved the distribution of all of GXO’s issued and outstanding shares of common stock on the basis of one share of GXO common stock for every share of XPO common stock held as of the close of business on July 23, 2021, the record date for the distribution.</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At 12:01 a.m., Eastern Time, on August 2, 2021, the distribution date, each XPO stockholder will receive one share of GXO common stock for every share of XPO common stock held at the close of business on the record date for the distribution, as described below. Upon completion of the separation, each GXO stockholder as of the record date will continue to own shares of XPO and will receive a proportionate share of the outstanding common stock of GXO to be distributed. You will not be required to make any payment, surrender or exchange your XPO common stock or take any other action to receive your shares of GXO common stock in the distribution. The distribution of GXO common stock as described in this information statement is subject to the final approval of the XPO board of directors and the satisfaction or waiver of certain conditions. For a more detailed description of these conditions, see “The Separation and Distribution—Conditions to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116" w:lineRule="exact"/>
        <w:rPr>
          <w:sz w:val="20"/>
          <w:szCs w:val="20"/>
          <w:color w:val="auto"/>
        </w:rPr>
      </w:pPr>
    </w:p>
    <w:p>
      <w:pPr>
        <w:ind w:left="660" w:right="40" w:hanging="328"/>
        <w:spacing w:after="0" w:line="271"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 financial profiles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distribution, and XPO will target achieving such rating over time. To the extent this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4"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 and GXO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pure-play equity currency that can be used to facilitate capital raising and to pursue accretive M&amp;A opportunities that are more closely aligned with each company’s strategic goals and expected growth opportunities. To the extent the separate equity currencies are more attractively valued, this would further increase these benefits to XPO and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44" w:lineRule="exact"/>
        <w:rPr>
          <w:sz w:val="20"/>
          <w:szCs w:val="20"/>
          <w:color w:val="auto"/>
        </w:rPr>
      </w:pPr>
    </w:p>
    <w:p>
      <w:pPr>
        <w:ind w:left="328" w:right="120" w:hanging="328"/>
        <w:spacing w:after="0" w:line="259" w:lineRule="auto"/>
        <w:tabs>
          <w:tab w:leader="none" w:pos="32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Improved Alignment of Management Incentives and Performance. </w:t>
      </w:r>
      <w:r>
        <w:rPr>
          <w:rFonts w:ascii="Arial" w:cs="Arial" w:eastAsia="Arial" w:hAnsi="Arial"/>
          <w:sz w:val="18"/>
          <w:szCs w:val="18"/>
          <w:color w:val="auto"/>
        </w:rPr>
        <w:t>The separation will allow each company to more effectively recruit, retain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motivate employees through the use of equity-based compensation that more closely reflects and aligns management and employee incentives with specific growth objectives, financial goals and business attributes. To the extent the separate equity currencies are more attractively valued, this would further benefit XPO and GXO.</w:t>
      </w:r>
    </w:p>
    <w:p>
      <w:pPr>
        <w:spacing w:after="0" w:line="132" w:lineRule="exact"/>
        <w:rPr>
          <w:rFonts w:ascii="Arial" w:cs="Arial" w:eastAsia="Arial" w:hAnsi="Arial"/>
          <w:sz w:val="18"/>
          <w:szCs w:val="18"/>
          <w:color w:val="auto"/>
        </w:rPr>
      </w:pPr>
    </w:p>
    <w:p>
      <w:pPr>
        <w:ind w:left="328" w:right="80" w:hanging="328"/>
        <w:spacing w:after="0" w:line="273" w:lineRule="auto"/>
        <w:tabs>
          <w:tab w:leader="none" w:pos="323"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Separate Capital Structures and Allocation of Financial Resources. </w:t>
      </w:r>
      <w:r>
        <w:rPr>
          <w:rFonts w:ascii="Arial" w:cs="Arial" w:eastAsia="Arial" w:hAnsi="Arial"/>
          <w:sz w:val="17"/>
          <w:szCs w:val="17"/>
          <w:color w:val="auto"/>
        </w:rPr>
        <w:t>The separation will permit each company to allocate its financial resources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 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23" w:lineRule="exact"/>
        <w:rPr>
          <w:rFonts w:ascii="Arial" w:cs="Arial" w:eastAsia="Arial" w:hAnsi="Arial"/>
          <w:sz w:val="17"/>
          <w:szCs w:val="17"/>
          <w:color w:val="auto"/>
        </w:rPr>
      </w:pPr>
    </w:p>
    <w:p>
      <w:pPr>
        <w:ind w:left="328" w:right="20" w:hanging="328"/>
        <w:spacing w:after="0" w:line="258" w:lineRule="auto"/>
        <w:tabs>
          <w:tab w:leader="none" w:pos="323"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Enhanced Management Focus on Core Businesses</w:t>
      </w:r>
      <w:r>
        <w:rPr>
          <w:rFonts w:ascii="Arial" w:cs="Arial" w:eastAsia="Arial" w:hAnsi="Arial"/>
          <w:sz w:val="17"/>
          <w:szCs w:val="17"/>
          <w:color w:val="auto"/>
        </w:rPr>
        <w:t>. The separation will provide each company’s management team with undiluted focus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the XPO Connect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digital transportation platform and GXO’s productivity tools for its logistics operations.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XPO board of directors also considered a number of potentially negative factors in evaluating the separation, including:</w:t>
      </w:r>
    </w:p>
    <w:p>
      <w:pPr>
        <w:spacing w:after="0" w:line="171" w:lineRule="exact"/>
        <w:rPr>
          <w:sz w:val="20"/>
          <w:szCs w:val="20"/>
          <w:color w:val="auto"/>
        </w:rPr>
      </w:pPr>
    </w:p>
    <w:p>
      <w:pPr>
        <w:ind w:left="328" w:right="60" w:hanging="328"/>
        <w:spacing w:after="0" w:line="257" w:lineRule="auto"/>
        <w:tabs>
          <w:tab w:leader="none" w:pos="32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 for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including, among others: the separation will demand significant management resources and require significant amounts of management’s time and effort, which may divert management’s attention from operating our business; and following the separation, we may be more susceptible to market fluctuations and other adverse events than if we were still a part of XPO because our business will be less diversified than XPO’s business prior to the completion of the separation.</w:t>
      </w:r>
    </w:p>
    <w:p>
      <w:pPr>
        <w:spacing w:after="0" w:line="133" w:lineRule="exact"/>
        <w:rPr>
          <w:rFonts w:ascii="Arial" w:cs="Arial" w:eastAsia="Arial" w:hAnsi="Arial"/>
          <w:sz w:val="18"/>
          <w:szCs w:val="18"/>
          <w:color w:val="auto"/>
        </w:rPr>
      </w:pPr>
    </w:p>
    <w:p>
      <w:pPr>
        <w:ind w:left="328" w:right="40" w:hanging="328"/>
        <w:spacing w:after="0" w:line="279" w:lineRule="auto"/>
        <w:tabs>
          <w:tab w:leader="none" w:pos="32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Disruptions and Costs Related to the Separation</w:t>
      </w:r>
      <w:r>
        <w:rPr>
          <w:rFonts w:ascii="Arial" w:cs="Arial" w:eastAsia="Arial" w:hAnsi="Arial"/>
          <w:sz w:val="17"/>
          <w:szCs w:val="17"/>
          <w:color w:val="auto"/>
        </w:rPr>
        <w:t>. The actions required to separate the GXO Businesses from XPO could disrupt our operations.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17" w:lineRule="exact"/>
        <w:rPr>
          <w:rFonts w:ascii="Arial" w:cs="Arial" w:eastAsia="Arial" w:hAnsi="Arial"/>
          <w:sz w:val="17"/>
          <w:szCs w:val="17"/>
          <w:color w:val="auto"/>
        </w:rPr>
      </w:pPr>
    </w:p>
    <w:p>
      <w:pPr>
        <w:ind w:left="328" w:hanging="328"/>
        <w:spacing w:after="0" w:line="291" w:lineRule="auto"/>
        <w:tabs>
          <w:tab w:leader="none" w:pos="32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Loss of Scale and Increased Administrative Costs</w:t>
      </w:r>
      <w:r>
        <w:rPr>
          <w:rFonts w:ascii="Arial" w:cs="Arial" w:eastAsia="Arial" w:hAnsi="Arial"/>
          <w:sz w:val="16"/>
          <w:szCs w:val="16"/>
          <w:color w:val="auto"/>
        </w:rPr>
        <w:t>. As a current part of XPO, GXO takes advantage of XPO’s size and purchasing power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procuring certain goods and services.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2" w:lineRule="exact"/>
        <w:rPr>
          <w:rFonts w:ascii="Arial" w:cs="Arial" w:eastAsia="Arial" w:hAnsi="Arial"/>
          <w:sz w:val="16"/>
          <w:szCs w:val="16"/>
          <w:color w:val="auto"/>
        </w:rPr>
      </w:pPr>
    </w:p>
    <w:p>
      <w:pPr>
        <w:ind w:left="328" w:right="160" w:hanging="328"/>
        <w:spacing w:after="0" w:line="286" w:lineRule="auto"/>
        <w:tabs>
          <w:tab w:leader="none" w:pos="32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Limitations on Strategic Transactions</w:t>
      </w:r>
      <w:r>
        <w:rPr>
          <w:rFonts w:ascii="Arial" w:cs="Arial" w:eastAsia="Arial" w:hAnsi="Arial"/>
          <w:sz w:val="17"/>
          <w:szCs w:val="17"/>
          <w:color w:val="auto"/>
        </w:rPr>
        <w:t>. Under the terms of the tax matters agreement that we will enter into with XPO, we will be restricted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taking certain actions that could cause the distribution or certain related transactions (or certain transactions undertaken as part of the internal reorganization) to fail to qualify as tax-free under applicable law. These restrictions may limit for a period of time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8"/>
          </w:cols>
          <w:pgMar w:left="652" w:top="1440" w:right="359" w:bottom="1440" w:gutter="0" w:footer="0" w:header="0"/>
        </w:sectPr>
      </w:pPr>
    </w:p>
    <w:bookmarkStart w:id="58" w:name="page59"/>
    <w:bookmarkEnd w:id="58"/>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pursue certain strategic transactions and equity issuances or engage in other transactions that might increase the value of our business.</w:t>
      </w:r>
    </w:p>
    <w:p>
      <w:pPr>
        <w:spacing w:after="0" w:line="183" w:lineRule="exact"/>
        <w:rPr>
          <w:sz w:val="20"/>
          <w:szCs w:val="20"/>
          <w:color w:val="auto"/>
        </w:rPr>
      </w:pPr>
    </w:p>
    <w:p>
      <w:pPr>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 common stock or know</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certainty whether the combined market value of one share of our common stock and one share of XPO common stock will be less than, equal to or greater than the market value of one share of XPO common stock prior to the distribution.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foregoing negative factors. See the section titled “Risk Factors” included elsewhere in this information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GXO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GXO was formed as a Delaware corporation on February 16, 2021 for the purpose of holding the GXO Businesses. As part of the plan to separate the GXO Businesses from the remainder of its businesses, in connection with the internal reorganization, XPO plans to transfer the equity interests of certain entities that are expected to operate the GXO Businesses and the assets and liabilities of the GXO Businesses to GXO prior to the distribution. For additional information, see “The Separation and Distribution—Internal Reorganization.”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75"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With the assistance of Computershare, XPO expects to distribute GXO common stock at 12:01 a.m., Eastern Time, on August 2, 2021, the distribution date, to all holders of outstanding XPO common stock as of the close of business on July 23, 2021, the record date for the distribution. Computershare will serve as the settlement and distribution agent in connection with the distribution and the transfer agent and registrar for GXO common stock.</w:t>
      </w:r>
    </w:p>
    <w:p>
      <w:pPr>
        <w:spacing w:after="0" w:line="9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If you own XPO common stock as of the close of business on the record date for the distribution, GXO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GXO common stock. If you hold your XPO shares through a bank or brokerage firm, your bank or brokerage firm will credit your account for the GXO shares. Direct registration form refers to a method of recording share ownership when no physical share certificates are issued to stockholders, as is the case in this distribution. If you sell XPO common stock in the “regular-way” market up to and including the distribution date, you will be selling your right to receive shares of GXO common stock in the distribution.</w:t>
      </w:r>
    </w:p>
    <w:p>
      <w:pPr>
        <w:spacing w:after="0" w:line="14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XPO common stock and you are the registered holder of the shares represented by those certificates, the distribution agent will mail to you an account statement that indicates the number of shares of GXO common stock that have been registered in book-entry form in your name.</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Most XPO stockholders hold their common stock through a bank or brokerage firm. In such cases, the bank or brokerage firm is said to hold the shares in “street name” and ownership would be recorded on the bank or brokerage firm’s books. If you hold your XPO common stock through a bank or brokerage firm, your bank or brokerage firm will credit your account for the GXO common stock that you are entitled to receive in the distribution. If you have any questions concerning the mechanics of having shares held in “street name,” please contact your bank or brokerage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75"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Shares of GXO common stock distributed to 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or directors. Securities held by our affiliates will be subject to resale restrictions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Act. Our affiliates will be permitted to sell shares of our common stock only pursuant to an effective registration statement or an exemption from the registration requirements of the Securities Act, such as the exemption afforded by Rule 144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GXO Common Stock You Will Receive</w:t>
      </w:r>
    </w:p>
    <w:p>
      <w:pPr>
        <w:spacing w:after="0" w:line="17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every share of XPO common stock that you own at the close of business on July 23, 2021, the record date for the distribution, you will receive one share of GXO common stock on the distribution date. XPO will not distribute any fractional shares of GXO common stock to its stockholders.</w:t>
      </w:r>
    </w:p>
    <w:p>
      <w:pPr>
        <w:spacing w:after="0" w:line="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you hold physical certificates for shares of XPO common stock and are the registered holder, you will receive a check from the distribution agent in an amount equal to your pro rata share of the net cash proceeds of the sales. We estimate that it will take approximately two weeks from the distribution date for the distribution agent to complete the distribution of the net cash proceeds. If you hold your shares of XPO common stock through a bank or brokerage firm, your bank or brokerage firm will receive, on your behalf, your pro rata share of the net cash proceeds of the sales and will electronically credit your account for your share of such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connection with the separation and distribution, XPO equity-based awards that are outstanding immediately prior to the separation and distribution and held by individuals who will serve as employees or non-employee directors of GXO following the separation and distribution will be treated as follows:</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Each award of XPO RSUs (including any event-based RSUs) held by an individual who will be an employee or non-employee director of GXO following the separation and distribution will be converted into an award of RSUs with respect to GXO common stock. The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award of XPO stock options held by an individual who will be an employee of GXO following the separation and distribution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converted into an award of stock options with respect to GXO common stock. The exercise price of, and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75"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As part of the separation, and prior to the distribution, XPO and its subsidiaries expect to complete an internal reorganization in order to transfer to GXO the GXO Businesses that it will hold following the separation. Among other things and subject to limited exceptions, the internal reorganization is expected to result in GXO owning, directly or indirectly, the operations comprising, and the entities that conduct, the GXO Businesses.</w:t>
      </w:r>
    </w:p>
    <w:p>
      <w:pPr>
        <w:spacing w:after="0" w:line="9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internal reorganization is expected to include various restructuring transactions pursuant to which (i) the operations, assets and liabilities of XPO and its subsidiaries used to conduct the GXO Businesses will be separated from the operations, assets and liabilities of XPO and its subsidiaries used to conduct XPO’s other businesses and (ii) such GXO Businesses’ operations, assets and liabilities will be contributed, transferred or otherwise allocated to GXO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GXO Businesses in such jurisdictions.</w:t>
      </w:r>
    </w:p>
    <w:p>
      <w:pPr>
        <w:spacing w:after="0" w:line="13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part of this internal reorganization, XPO will contribute to GXO certain liabilities and certain assets, including equity interests in entities that are expected to conduct the GXO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GXO will be the parent company of the entities that are expected to conduct the GXO Businesses and XPO will remain the parent company of the entities that currently conduct all of XPO’s operations except the GXO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After the distribution, GXO will be an independent, publicly traded company. The actual number of shares to be distributed will be determined at the close of business on July 23, 2021, the record date for the distribution, and will reflect any exercise of XPO options between the date the XPO board of directors declares the distribution and the record date for the distribution. The distribution will not affect the number of outstanding shares of XPO common stock or any rights of XPO stockholders. XPO will not distribute any fractional shares of GXO common stock.</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will enter into a separation agreement and other related agreements with XPO to effect the separation and to provide a framework for our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GXO’s separation from XPO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GXO Common Stock</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is currently no public trading market for GXO common stock. GXO intends to list its common stock on the NYSE under the symbol “GXO.” GXO has not and will not set the initial price of its common stock. The initial price will be established by the public markets.</w:t>
      </w:r>
    </w:p>
    <w:p>
      <w:pPr>
        <w:spacing w:after="0" w:line="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cannot predict the price at which GXO common stock will trade after the distribution. In fact, the combined trading prices, after the distribution, of the shares of GXO common stock that each XPO stockholder will receive in the distribution, together with the XPO common stock held at the record date for the distribution, may not equal the “regular-way” trading price of the XPO common stock immediately prior to the distribution. The price at which GXO common stock trades may fluctuate significantly, particularly until an orderly public market develops. Trading prices for GXO common stock will be determined in the public markets and may be influenced by many factors. See “Risk Factors—Risks Related to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7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For more information, see “Description of Material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the Distribution Date</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Beginning on or shortly before the record date for the distribution and continuing up to the distribution date, XPO expects that there will be two markets in XPO common stock: a “regular-way” market and an “ex-distribution” market. XPO common stock that trades on the “regular-way” market will trade with an entitlement to GXO common stock distributed in the distribution. XPO common stock that trades on the “ex-distribution” market will trade without an entitlement to GXO common stock distributed in the distribution. Therefore, if you sell shares of XPO common stock in the “regular-way” market up to the distribution date, you will be selling your right to receive shares of GXO common stock in the distribution. If you own XPO common stock at the close of business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record date and sell those shares on the “ex-distribution” market up to the distribution date, you will receive the shares of GXO common stock that you are entitled to receive pursuant to your ownership of shares of XPO common stock as of the record date.</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Furthermore, beginning on or shortly before the record date for the distribution and continuing up to and including the distribution date, GXO expects that there will be a “when-issued” market in its common stock. “When-issued” trading refers to a sale or purchase made conditionally because the security has been authorized but not yet issued. The “when-issued” trading market will be a market for GXO common stock that will be distributed to holders of XPO common stock on the distribution date. If you owned XPO common stock at the close of business on the record date for the distribution, you would be entitled to GXO common stock distributed pursuant to the distribution. You may trade this entitlement to shares of GXO common stock, without trading the XPO common stock you own, on the “when-issued” market. On the distribution date, “when-issued” trading with respect to GXO common stock will end, and “regular-way” trading with respect to GXO common stock will begin.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distribution will be effective at 12:01 a.m., Eastern Time, on August 2, 2021, which is the distribution date, subject to final approval by the XPO board of directors, as well as to the satisfaction (or waiver by XPO in its sole and absolute discretion), of a number of conditions set forth in the separation agreement, including, among others:</w:t>
      </w:r>
    </w:p>
    <w:p>
      <w:pPr>
        <w:spacing w:after="0" w:line="130" w:lineRule="exact"/>
        <w:rPr>
          <w:sz w:val="20"/>
          <w:szCs w:val="20"/>
          <w:color w:val="auto"/>
        </w:rPr>
      </w:pPr>
    </w:p>
    <w:p>
      <w:pPr>
        <w:ind w:left="660" w:right="540" w:hanging="328"/>
        <w:spacing w:after="0" w:line="34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71"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w:t>
      </w:r>
    </w:p>
    <w:p>
      <w:pPr>
        <w:ind w:left="660"/>
        <w:spacing w:after="0"/>
        <w:rPr>
          <w:rFonts w:ascii="Arial" w:cs="Arial" w:eastAsia="Arial" w:hAnsi="Arial"/>
          <w:sz w:val="16"/>
          <w:szCs w:val="16"/>
          <w:color w:val="auto"/>
        </w:rPr>
      </w:pPr>
      <w:r>
        <w:rPr>
          <w:rFonts w:ascii="Arial" w:cs="Arial" w:eastAsia="Arial" w:hAnsi="Arial"/>
          <w:sz w:val="18"/>
          <w:szCs w:val="18"/>
          <w:color w:val="auto"/>
        </w:rPr>
        <w:t>(D) of the Code;</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transfer of assets and liabilities to GXO having been completed in accordance with the separation agreement;</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independent appraisal firm acceptable to the XPO board of directors having delivered one or more opinions to the XPO board of directors confirming the solvency and financial viability of XPO before the completion of the distribution, in each case in a form and substance acceptable to the XPO board of directors in its sole and absolute discretion;</w:t>
      </w:r>
    </w:p>
    <w:p>
      <w:pPr>
        <w:spacing w:after="0" w:line="129"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and distribution having been duly executed and delivered by the parties thereto;</w:t>
      </w:r>
    </w:p>
    <w:p>
      <w:pPr>
        <w:spacing w:after="0" w:line="182"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shares of GXO common stock to be distributed having been approved for listing on the NYSE, subject to official notice of distribution;</w:t>
      </w:r>
    </w:p>
    <w:p>
      <w:pPr>
        <w:spacing w:after="0" w:line="182"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XPO having received certain proceeds from the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right="2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XPO will have the sole and absolute discretion to determine (and change) the terms of, and whether to proceed with, the distribution and, to the extent it determines to so proceed, to determine the record date for the distribution, the distribution date and the distribution ratio. XPO will also have sole and absolute discretion to waive any of the conditions to the distribution. XPO does not intend to notify its stockholders of any modifications to the terms of the separation or distribution that, in the judgment of its board of directors, are not material. For example, the XPO board of directors might consider material such matters as significant changes to the distribution ratio and the assets to be contributed or the liabilities to be assumed in the separation. To the extent that the XPO board of directors determines that any modifications by XPO materially change the material terms of the distribution, XPO will notify XPO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1440" w:right="479" w:bottom="1440" w:gutter="0" w:footer="0" w:header="0"/>
        </w:sectPr>
      </w:pPr>
    </w:p>
    <w:bookmarkStart w:id="64" w:name="page65"/>
    <w:bookmarkEnd w:id="6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following table sets forth our capitalization as of March 31, 2021, on an unaudited historical basis and on a pro forma basis to give effect to the pro forma adjustments included in our Unaudited Pro Forma Condensed Combined Financial Information. The information below is not necessarily indicative of what our capitalization would have been had the separation, distribution and related financing transactions been completed as of March 31, 2021. In addition, it is not indicative of our future capitalization. This table should be read in conjunction with “Unaudited Pro Forma Condensed Combined Financial Information,” “Management’s Discussion and Analysis of Financial Condition and Results of Operations,” our Combined Financial Statements and notes and our Condensed Combined Financial Statements and notes included in the “Index to Financial Statements” section of this information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6"/>
                <w:szCs w:val="16"/>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w w:val="94"/>
              </w:rPr>
              <w:t>Pro Forma</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36"/>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indebtedness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57"/>
        </w:trPr>
        <w:tc>
          <w:tcPr>
            <w:tcW w:w="8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r>
    </w:tbl>
    <w:p>
      <w:pPr>
        <w:spacing w:after="0" w:line="24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following unaudited pro forma condensed combined financial information of GXO consists of the Unaudited Pro Forma Combined Statement of Operations for the three months ended March 31, 2021 and 2020 and the year ended December 31, 2020 and the Unaudited Pro Forma Combined Balance Sheet as of March 31, 2021, which have been derived from our historical combined financial statements included elsewhere in this information statement.</w:t>
      </w:r>
    </w:p>
    <w:p>
      <w:pPr>
        <w:spacing w:after="0" w:line="9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Unaudited Pro Forma Combined Statement of Operations gives effect to the Pro Forma Transactions (as defined below) as if they occurred on January 1, 2020, the beginning of the most recently completed fiscal year. The Unaudited Pro Forma Combined Balance Sheet gives effect to the Pro Forma Transactions as if they occurred as of March 31, 2021, our latest balance sheet date.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 forma adjustments include transaction accounting adjustments that reflect the accounting for transactions in accordance with U.S. GAAP, and autonomous entity adjustments that reflect certain incremental expense or other changes necessary, if any, to reflect the financial condition and results of operations as if GXO was a separate stand-alone entity. The following unaudited pro forma condensed combined financial information illustrates the effects of the following transactions (collectively, the “Pro Forma Transactions”):</w:t>
      </w:r>
    </w:p>
    <w:p>
      <w:pPr>
        <w:spacing w:after="0" w:line="133" w:lineRule="exact"/>
        <w:rPr>
          <w:sz w:val="20"/>
          <w:szCs w:val="20"/>
          <w:color w:val="auto"/>
        </w:rPr>
      </w:pPr>
    </w:p>
    <w:p>
      <w:pPr>
        <w:ind w:left="660" w:right="1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separation of the assets (including the equity interests of certain subsidiaries) and liabilities related to the GXO Businesses from XPO and the transfer of those assets (including the equity interests of certain subsidiaries) and liabilities to GXO;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removal of XPO-related assets and liabilities included in GXO’s historical financial statements but retained by XPO;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of 100% of our issued and outstanding common stock by XPO in connection with the separation;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our anticipated post-separation capital structure, including the incurrence of indebtedness of $800 million, and the distribution of approximately $978 million of cash to XPO; and</w:t>
      </w:r>
    </w:p>
    <w:p>
      <w:pPr>
        <w:spacing w:after="0" w:line="116"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agreement, the transition services agreement, the tax matters agreement, the employee matters agreement and the intellectual property license agreement between us and XPO and the provisions contained therein.</w:t>
      </w:r>
    </w:p>
    <w:p>
      <w:pPr>
        <w:spacing w:after="0" w:line="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 final determination regarding our capital structure has not yet been made, and the separation and distribution agreement, tax matters agreement, transition services agreement, employee matters agreement and intellectual property license agreement and certain other transaction agreements have not been finalized. As such, the pro forma statements may be revised in future amendments to reflect the impact on our capital structure and the final form of those agreements, to the extent any such revisions would be deemed material.</w:t>
      </w:r>
    </w:p>
    <w:p>
      <w:pPr>
        <w:spacing w:after="0" w:line="13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operating expenses reported in our historical Combined Statements of Operations include allocations of certain XPO costs. These costs include allocation of XPO corporate costs that benefit us, including corporate governance, executive management, finance, legal, information technology, human resources, other general and administrative costs, shared services and depreciation on shared XPO assets.</w:t>
      </w:r>
    </w:p>
    <w:p>
      <w:pPr>
        <w:spacing w:after="0" w:line="11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To operate as an independent public company, we expect our recurring costs to replace these services to be lower than expenses historically allocated to us from XPO as presented in our historical Combined Statements of Operations. The significant assumptions involved in determining our estimates of the recurring costs of being an independent, publicly traded company include:</w:t>
      </w:r>
    </w:p>
    <w:p>
      <w:pPr>
        <w:spacing w:after="0" w:line="130" w:lineRule="exact"/>
        <w:rPr>
          <w:sz w:val="20"/>
          <w:szCs w:val="20"/>
          <w:color w:val="auto"/>
        </w:rPr>
      </w:pPr>
    </w:p>
    <w:p>
      <w:pPr>
        <w:ind w:left="660" w:right="60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perform financial reporting, tax, regulatory compliance, corporate governance, treasury, legal, internal audit and investor relations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Compensation, including equity-based awards, and benefits with respect to new and existing positions and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Incremental third-party costs with respect to insurance, audit services, tax services, employee benefits and legal services.</w:t>
      </w:r>
    </w:p>
    <w:p>
      <w:pPr>
        <w:spacing w:after="0" w:line="171"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We estimate that the net impact of these costs as compared to our historical Combined Statement of Operations would have been a reduction of approximately $4 million in Depreciation and amortization expense for the three months ended March 31, 2021, and would have been a reduction of between approximately $10 million and $20 million in Sales, general and administrative expense and approximately $20 million in Depreciation and amortization expense for the year ended December 31, 2020. Certain factors could impact these stand-alone public company costs, including the finalization of our staffing and infrastructure needs. A pro forma adjustment has not been made to the accompanying Unaudited Pro Forma Combined Statement of Operations to reflect the anticipated adjustment in the level of these expenses as they are projected amounts based on estimates.</w:t>
      </w:r>
    </w:p>
    <w:p>
      <w:pPr>
        <w:spacing w:after="0" w:line="11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pro forma adjustments are based on available information and assumptions our management believes are reasonable; however, such adjustments are subject to change as transaction-related agreements are finalized and the costs of operating as a standalone company are determined. In addition, such adjustments are estimates and may not prove to be accurate. The Unaudited Pro Forma Condensed Combined Financial Information is based on information and assumptions which are described in the accompanying notes.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our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440" w:right="399" w:bottom="1440" w:gutter="0" w:footer="0" w:header="0"/>
        </w:sectPr>
      </w:pPr>
    </w:p>
    <w:bookmarkStart w:id="67" w:name="page68"/>
    <w:bookmarkEnd w:id="67"/>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21"/>
              <w:spacing w:after="0"/>
              <w:rPr>
                <w:sz w:val="20"/>
                <w:szCs w:val="20"/>
                <w:color w:val="auto"/>
              </w:rPr>
            </w:pPr>
            <w:r>
              <w:rPr>
                <w:rFonts w:ascii="Arial" w:cs="Arial" w:eastAsia="Arial" w:hAnsi="Arial"/>
                <w:sz w:val="13"/>
                <w:szCs w:val="13"/>
                <w:b w:val="1"/>
                <w:bCs w:val="1"/>
                <w:color w:val="auto"/>
                <w:w w:val="86"/>
              </w:rPr>
              <w:t>Transaction</w:t>
            </w:r>
          </w:p>
        </w:tc>
        <w:tc>
          <w:tcPr>
            <w:tcW w:w="142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Autonomous Entity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Pr>
          <w:p>
            <w:pPr>
              <w:spacing w:after="0"/>
              <w:rPr>
                <w:sz w:val="10"/>
                <w:szCs w:val="10"/>
                <w:color w:val="auto"/>
              </w:rPr>
            </w:pPr>
          </w:p>
        </w:tc>
        <w:tc>
          <w:tcPr>
            <w:tcW w:w="10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6"/>
              </w:rPr>
              <w:t>Accounting</w:t>
            </w:r>
          </w:p>
        </w:tc>
        <w:tc>
          <w:tcPr>
            <w:tcW w:w="1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88"/>
              </w:rPr>
              <w:t>Adjustments</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 (d)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4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Short-term borrowings and current finance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debt and finance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420" w:type="dxa"/>
            <w:vAlign w:val="bottom"/>
          </w:tcPr>
          <w:p>
            <w:pPr>
              <w:ind w:left="120"/>
              <w:spacing w:after="0"/>
              <w:rPr>
                <w:sz w:val="20"/>
                <w:szCs w:val="20"/>
                <w:color w:val="auto"/>
              </w:rPr>
            </w:pPr>
            <w:r>
              <w:rPr>
                <w:rFonts w:ascii="Arial" w:cs="Arial" w:eastAsia="Arial" w:hAnsi="Arial"/>
                <w:sz w:val="16"/>
                <w:szCs w:val="16"/>
                <w:color w:val="auto"/>
              </w:rPr>
              <w:t>(c) (e) (f)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 (h)</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Common stock, par value $0.01]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 (i)</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XPO investment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(2,903)</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7"/>
        </w:trPr>
        <w:tc>
          <w:tcPr>
            <w:tcW w:w="4080" w:type="dxa"/>
            <w:vAlign w:val="bottom"/>
          </w:tcPr>
          <w:p>
            <w:pPr>
              <w:ind w:left="240"/>
              <w:spacing w:after="0"/>
              <w:rPr>
                <w:sz w:val="20"/>
                <w:szCs w:val="20"/>
                <w:color w:val="auto"/>
              </w:rPr>
            </w:pPr>
            <w:r>
              <w:rPr>
                <w:rFonts w:ascii="Arial" w:cs="Arial" w:eastAsia="Arial" w:hAnsi="Arial"/>
                <w:sz w:val="16"/>
                <w:szCs w:val="16"/>
                <w:b w:val="1"/>
                <w:bCs w:val="1"/>
                <w:color w:val="auto"/>
              </w:rPr>
              <w:t>Total equity before noncontrolling interests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Transaction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20" w:type="dxa"/>
            <w:vAlign w:val="bottom"/>
          </w:tcPr>
          <w:p>
            <w:pPr>
              <w:spacing w:after="0"/>
              <w:rPr>
                <w:sz w:val="10"/>
                <w:szCs w:val="10"/>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Historical</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24"/>
              <w:spacing w:after="0" w:line="122" w:lineRule="exact"/>
              <w:rPr>
                <w:sz w:val="20"/>
                <w:szCs w:val="20"/>
                <w:color w:val="auto"/>
              </w:rPr>
            </w:pPr>
            <w:r>
              <w:rPr>
                <w:rFonts w:ascii="Arial" w:cs="Arial" w:eastAsia="Arial" w:hAnsi="Arial"/>
                <w:sz w:val="13"/>
                <w:szCs w:val="13"/>
                <w:b w:val="1"/>
                <w:bCs w:val="1"/>
                <w:color w:val="auto"/>
                <w:w w:val="86"/>
              </w:rPr>
              <w:t>Accounting</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 (c)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tcPr>
          <w:p>
            <w:pPr>
              <w:ind w:left="100"/>
              <w:spacing w:after="0"/>
              <w:rPr>
                <w:sz w:val="20"/>
                <w:szCs w:val="20"/>
                <w:color w:val="auto"/>
              </w:rPr>
            </w:pPr>
            <w:r>
              <w:rPr>
                <w:rFonts w:ascii="Arial" w:cs="Arial" w:eastAsia="Arial" w:hAnsi="Arial"/>
                <w:sz w:val="16"/>
                <w:szCs w:val="16"/>
                <w:color w:val="auto"/>
              </w:rPr>
              <w:t>(b) (c)</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ind w:left="100"/>
              <w:spacing w:after="0"/>
              <w:rPr>
                <w:sz w:val="20"/>
                <w:szCs w:val="20"/>
                <w:color w:val="auto"/>
              </w:rPr>
            </w:pPr>
            <w:r>
              <w:rPr>
                <w:rFonts w:ascii="Arial" w:cs="Arial" w:eastAsia="Arial" w:hAnsi="Arial"/>
                <w:sz w:val="16"/>
                <w:szCs w:val="16"/>
                <w:color w:val="auto"/>
              </w:rPr>
              <w:t>(b) (g)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3"/>
              <w:spacing w:after="0"/>
              <w:rPr>
                <w:sz w:val="20"/>
                <w:szCs w:val="20"/>
                <w:color w:val="auto"/>
              </w:rPr>
            </w:pPr>
            <w:r>
              <w:rPr>
                <w:rFonts w:ascii="Arial" w:cs="Arial" w:eastAsia="Arial" w:hAnsi="Arial"/>
                <w:sz w:val="13"/>
                <w:szCs w:val="13"/>
                <w:b w:val="1"/>
                <w:bCs w:val="1"/>
                <w:color w:val="auto"/>
                <w:w w:val="86"/>
              </w:rPr>
              <w:t>Transaction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4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ind w:left="120"/>
              <w:spacing w:after="0"/>
              <w:rPr>
                <w:sz w:val="20"/>
                <w:szCs w:val="20"/>
                <w:color w:val="auto"/>
              </w:rPr>
            </w:pPr>
            <w:r>
              <w:rPr>
                <w:rFonts w:ascii="Arial" w:cs="Arial" w:eastAsia="Arial" w:hAnsi="Arial"/>
                <w:sz w:val="16"/>
                <w:szCs w:val="16"/>
                <w:color w:val="auto"/>
              </w:rPr>
              <w:t>(b) (c)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120"/>
              <w:spacing w:after="0"/>
              <w:rPr>
                <w:sz w:val="20"/>
                <w:szCs w:val="20"/>
                <w:color w:val="auto"/>
              </w:rPr>
            </w:pPr>
            <w:r>
              <w:rPr>
                <w:rFonts w:ascii="Arial" w:cs="Arial" w:eastAsia="Arial" w:hAnsi="Arial"/>
                <w:sz w:val="16"/>
                <w:szCs w:val="16"/>
                <w:color w:val="auto"/>
              </w:rPr>
              <w:t>(c)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763"/>
              <w:spacing w:after="0"/>
              <w:rPr>
                <w:sz w:val="20"/>
                <w:szCs w:val="20"/>
                <w:color w:val="auto"/>
              </w:rPr>
            </w:pPr>
            <w:r>
              <w:rPr>
                <w:rFonts w:ascii="Arial" w:cs="Arial" w:eastAsia="Arial" w:hAnsi="Arial"/>
                <w:sz w:val="16"/>
                <w:szCs w:val="16"/>
                <w:color w:val="auto"/>
              </w:rPr>
              <w:t>(1)</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763"/>
              <w:spacing w:after="0"/>
              <w:rPr>
                <w:sz w:val="20"/>
                <w:szCs w:val="20"/>
                <w:color w:val="auto"/>
              </w:rPr>
            </w:pPr>
            <w:r>
              <w:rPr>
                <w:rFonts w:ascii="Arial" w:cs="Arial" w:eastAsia="Arial" w:hAnsi="Arial"/>
                <w:sz w:val="16"/>
                <w:szCs w:val="16"/>
                <w:color w:val="auto"/>
              </w:rPr>
              <w:t>(7)</w:t>
            </w:r>
          </w:p>
        </w:tc>
        <w:tc>
          <w:tcPr>
            <w:tcW w:w="980" w:type="dxa"/>
            <w:vAlign w:val="bottom"/>
          </w:tcPr>
          <w:p>
            <w:pPr>
              <w:ind w:left="120"/>
              <w:spacing w:after="0"/>
              <w:rPr>
                <w:sz w:val="20"/>
                <w:szCs w:val="20"/>
                <w:color w:val="auto"/>
              </w:rPr>
            </w:pPr>
            <w:r>
              <w:rPr>
                <w:rFonts w:ascii="Arial" w:cs="Arial" w:eastAsia="Arial" w:hAnsi="Arial"/>
                <w:sz w:val="16"/>
                <w:szCs w:val="16"/>
                <w:color w:val="auto"/>
              </w:rPr>
              <w:t>(b) (g)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4</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 attributable to GXO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Transaction</w:t>
            </w:r>
          </w:p>
        </w:tc>
        <w:tc>
          <w:tcPr>
            <w:tcW w:w="90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Autonomous Entity</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Pr>
          <w:p>
            <w:pPr>
              <w:spacing w:after="0"/>
              <w:rPr>
                <w:sz w:val="10"/>
                <w:szCs w:val="10"/>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3"/>
                <w:szCs w:val="13"/>
                <w:b w:val="1"/>
                <w:bCs w:val="1"/>
                <w:color w:val="auto"/>
              </w:rPr>
              <w:t>Pro Forma</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6"/>
              </w:rPr>
              <w:t>Adjustments</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ind w:left="120"/>
              <w:spacing w:after="0"/>
              <w:rPr>
                <w:sz w:val="20"/>
                <w:szCs w:val="20"/>
                <w:color w:val="auto"/>
              </w:rPr>
            </w:pPr>
            <w:r>
              <w:rPr>
                <w:rFonts w:ascii="Arial" w:cs="Arial" w:eastAsia="Arial" w:hAnsi="Arial"/>
                <w:sz w:val="16"/>
                <w:szCs w:val="16"/>
                <w:color w:val="auto"/>
              </w:rPr>
              <w:t>(b) (c)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62"/>
              <w:spacing w:after="0"/>
              <w:rPr>
                <w:sz w:val="20"/>
                <w:szCs w:val="20"/>
                <w:color w:val="auto"/>
              </w:rPr>
            </w:pPr>
            <w:r>
              <w:rPr>
                <w:rFonts w:ascii="Arial" w:cs="Arial" w:eastAsia="Arial" w:hAnsi="Arial"/>
                <w:sz w:val="16"/>
                <w:szCs w:val="16"/>
                <w:color w:val="auto"/>
                <w:w w:val="89"/>
              </w:rPr>
              <w:t>6</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 (o)</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ind w:left="120"/>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ind w:left="120"/>
              <w:spacing w:after="0"/>
              <w:rPr>
                <w:sz w:val="20"/>
                <w:szCs w:val="20"/>
                <w:color w:val="auto"/>
              </w:rPr>
            </w:pPr>
            <w:r>
              <w:rPr>
                <w:rFonts w:ascii="Arial" w:cs="Arial" w:eastAsia="Arial" w:hAnsi="Arial"/>
                <w:sz w:val="16"/>
                <w:szCs w:val="16"/>
                <w:color w:val="auto"/>
              </w:rPr>
              <w:t>(b) (g)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(2)</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attributable to GXO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GXO:</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(0.16) (k)</w:t>
            </w: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(0.16) (l)</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2700" w:firstLine="2734"/>
        <w:spacing w:after="0" w:line="440" w:lineRule="auto"/>
        <w:rPr>
          <w:sz w:val="20"/>
          <w:szCs w:val="20"/>
          <w:color w:val="auto"/>
        </w:rPr>
      </w:pPr>
      <w:r>
        <w:rPr>
          <w:rFonts w:ascii="Arial" w:cs="Arial" w:eastAsia="Arial" w:hAnsi="Arial"/>
          <w:sz w:val="18"/>
          <w:szCs w:val="18"/>
          <w:b w:val="1"/>
          <w:bCs w:val="1"/>
          <w:color w:val="auto"/>
        </w:rPr>
        <w:t>Notes to Unaudited Pro Forma Condensed Combined Financial Statements Transaction Accounting Adjustments:</w:t>
      </w:r>
    </w:p>
    <w:p>
      <w:pPr>
        <w:spacing w:after="0" w:line="1" w:lineRule="exact"/>
        <w:rPr>
          <w:sz w:val="20"/>
          <w:szCs w:val="20"/>
          <w:color w:val="auto"/>
        </w:rPr>
      </w:pPr>
    </w:p>
    <w:p>
      <w:pPr>
        <w:ind w:left="660" w:right="140" w:hanging="328"/>
        <w:spacing w:after="0" w:line="287" w:lineRule="auto"/>
        <w:tabs>
          <w:tab w:leader="none" w:pos="657"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an adjustment to provide GXO with $228 million of pro forma cash at March 31, 2021. This amount includes $128 million intended to fund the purchase of the remaining 3% of XPO Logistics Europe, which is described in Note 9—Subsequent events to the Condensed Combined Interim Financial Statements, and $100 million of available cash. The cash amount presented reflects the distribution of approximately</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$978 million of cash to XPO, including settlements of existing loans.</w:t>
      </w:r>
    </w:p>
    <w:p>
      <w:pPr>
        <w:spacing w:after="0" w:line="156" w:lineRule="exact"/>
        <w:rPr>
          <w:rFonts w:ascii="Arial" w:cs="Arial" w:eastAsia="Arial" w:hAnsi="Arial"/>
          <w:sz w:val="16"/>
          <w:szCs w:val="16"/>
          <w:color w:val="auto"/>
        </w:rPr>
      </w:pPr>
    </w:p>
    <w:p>
      <w:pPr>
        <w:ind w:left="660" w:right="120" w:hanging="328"/>
        <w:spacing w:after="0" w:line="308" w:lineRule="auto"/>
        <w:tabs>
          <w:tab w:leader="none" w:pos="65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Adjustments reflect the impact of removing the historical results of certain legal entities attributed to GXO that will not be transferred from XPO to GXO in connection with the Distribution. Refer to the below table for further details on specific adjustments: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(in millions)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Refer to Note 2 —Basis of Presentation of our unaudited condensed combined financial statements for further discussion of the Company’s attribution of assets and liabilities.</w:t>
      </w:r>
    </w:p>
    <w:p>
      <w:pPr>
        <w:spacing w:after="0" w:line="116" w:lineRule="exact"/>
        <w:rPr>
          <w:sz w:val="20"/>
          <w:szCs w:val="20"/>
          <w:color w:val="auto"/>
        </w:rPr>
      </w:pPr>
    </w:p>
    <w:p>
      <w:pPr>
        <w:ind w:left="660" w:hanging="328"/>
        <w:spacing w:after="0" w:line="277" w:lineRule="auto"/>
        <w:tabs>
          <w:tab w:leader="none" w:pos="6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transfer of assets and liabilities related to the GXO Businesses from XPO and the related impact to the statements of operations. Refer to the below table for further details on specific adjustments: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190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liabilities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42" w:lineRule="exact"/>
        <w:rPr>
          <w:sz w:val="20"/>
          <w:szCs w:val="20"/>
          <w:color w:val="auto"/>
        </w:rPr>
      </w:pPr>
    </w:p>
    <w:p>
      <w:pPr>
        <w:ind w:left="660" w:right="60" w:hanging="328"/>
        <w:spacing w:after="0" w:line="342" w:lineRule="auto"/>
        <w:tabs>
          <w:tab w:leader="none" w:pos="6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amendment of the existing securitization program to exclude XPO trade receivables. In connection with this amendment, $85 million of trade receivables previously purchased from XPO are expected to be returned to XPO with an offsetting adjustment of the XPO investment.</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settlement of $457 million of outstanding loans with XPO. In connection with the spin-off, $135 million of loans with our European subsidiaries will be cash settled and $322 million of loans with our North American subsidiary will be eliminated.</w:t>
      </w:r>
    </w:p>
    <w:p>
      <w:pPr>
        <w:spacing w:after="0" w:line="116"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incurrence of $800 million of indebtedness, net of debt issuance costs of $8 million. The indebtedness is assumed to consist of $800 million term notes with a weighted average interest rate of 2%. A 0.125% change to the annual interest rate would change interest expense by $1 million for the year ended December 31, 2020.</w:t>
      </w:r>
    </w:p>
    <w:p>
      <w:pPr>
        <w:spacing w:after="0" w:line="129" w:lineRule="exact"/>
        <w:rPr>
          <w:rFonts w:ascii="Arial" w:cs="Arial" w:eastAsia="Arial" w:hAnsi="Arial"/>
          <w:sz w:val="18"/>
          <w:szCs w:val="18"/>
          <w:color w:val="auto"/>
        </w:rPr>
      </w:pPr>
    </w:p>
    <w:p>
      <w:pPr>
        <w:ind w:left="660" w:right="100" w:hanging="328"/>
        <w:spacing w:after="0" w:line="275"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assumption of 100% of the plan assets and obligations related to the United Kingdom pension plan. The net plan liability and related deferred tax assets of $13 million and $3 million, respectively, will be transferred from XPO to GXO, with the obligations associated with such plans resulting in GXO recognizing accumulated other comprehensive loss of $107 million, net of tax and reducing noncontrolling interest by $4 million. Reflects an adjustment to include income associated with the plan of $10 million, $8 million and $34 million for the three months ended March 31, 2021 and 2020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440" w:right="379" w:bottom="1440" w:gutter="0" w:footer="0" w:header="0"/>
        </w:sectPr>
      </w:pPr>
    </w:p>
    <w:bookmarkStart w:id="72" w:name="page73"/>
    <w:bookmarkEnd w:id="72"/>
    <w:p>
      <w:pPr>
        <w:spacing w:after="0" w:line="144" w:lineRule="exact"/>
        <w:rPr>
          <w:sz w:val="20"/>
          <w:szCs w:val="20"/>
          <w:color w:val="auto"/>
        </w:rPr>
      </w:pPr>
    </w:p>
    <w:p>
      <w:pPr>
        <w:ind w:left="660" w:right="100" w:hanging="328"/>
        <w:spacing w:after="0" w:line="259"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For March 31, 2021 and 2020, the tax impact was calculated using a forecasted full-year effective tax rate of approximately 24.2% and 41.9%, respectively. For December 31, 2020, the tax impact was calculated using the jurisdictional tax rate associated with each adjustment. The final income tax impact may be materially different as more detailed information will become available after the consummation of the spin-off and related transactions.</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reclassification of XPO’s net investment in GXO, including the additional net assets expected to be contributed by XPO and other pro forma adjustments, into Additional paid-in capital and Common stock, par value $0.01, to reflect the number of shares of GXO common stock expected to be outstanding at the distribution date.</w:t>
      </w:r>
    </w:p>
    <w:p>
      <w:pPr>
        <w:spacing w:after="0" w:line="129" w:lineRule="exact"/>
        <w:rPr>
          <w:rFonts w:ascii="Arial" w:cs="Arial" w:eastAsia="Arial" w:hAnsi="Arial"/>
          <w:sz w:val="18"/>
          <w:szCs w:val="18"/>
          <w:color w:val="auto"/>
        </w:rPr>
      </w:pPr>
    </w:p>
    <w:p>
      <w:pPr>
        <w:jc w:val="both"/>
        <w:ind w:left="660" w:right="220" w:hanging="328"/>
        <w:spacing w:after="0" w:line="263"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adjustment to interest expense included in the unaudited pro forma Condensed Combined Statement of Operations of $2 million for both the three months ended March 31, 2021 and 2020 and $8 million for the year ended December 31, 2020, respectively, for the settlement of intercompany loans and issuance of the notes.</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the number of shares of GXO common stock which are expected to be outstanding upon completion of the distribution. We have assumed the number of outstanding shares of common stock based on the number of XPO common shares outstanding at March 31, 2021 and an assumed pro-rata distribution ratio of one share of GXO common stock for each share of XPO common stock. The actual number of shares of GXO common stock outstanding upon completion of the Distribution may be different from this estimated amount.</w:t>
      </w:r>
    </w:p>
    <w:p>
      <w:pPr>
        <w:spacing w:after="0" w:line="117" w:lineRule="exact"/>
        <w:rPr>
          <w:rFonts w:ascii="Arial" w:cs="Arial" w:eastAsia="Arial" w:hAnsi="Arial"/>
          <w:sz w:val="17"/>
          <w:szCs w:val="17"/>
          <w:color w:val="auto"/>
        </w:rPr>
      </w:pPr>
    </w:p>
    <w:p>
      <w:pPr>
        <w:ind w:left="660" w:hanging="328"/>
        <w:spacing w:after="0" w:line="259"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estimated number of shares of GXO common stock that are expected to be outstanding upon completion of the distribution and reflects the potential issuance of shares of our common stock under our equity plans, based on the distribution ratio of one share of GXO common stock for every share of XPO common stock. The actual number of shares of GXO common stock outstanding upon completion of the Distribution may be different from this estimated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Autonomous Entity Adjustments:</w:t>
      </w:r>
    </w:p>
    <w:p>
      <w:pPr>
        <w:spacing w:after="0" w:line="175" w:lineRule="exact"/>
        <w:rPr>
          <w:sz w:val="20"/>
          <w:szCs w:val="20"/>
          <w:color w:val="auto"/>
        </w:rPr>
      </w:pPr>
    </w:p>
    <w:p>
      <w:pPr>
        <w:ind w:left="660" w:right="140" w:hanging="328"/>
        <w:spacing w:after="0" w:line="286" w:lineRule="auto"/>
        <w:tabs>
          <w:tab w:leader="none" w:pos="65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the impact of new lease agreements with XPO for corporate offices. These adjustments recognize operating lease assets and liabilities of $16 million based on the estimated present value of the lease payments over the lease term. There is no impact to the condensed combined statements of operations as lease expense is consistent with the lease expense previously allocated to GXO.</w:t>
      </w:r>
    </w:p>
    <w:p>
      <w:pPr>
        <w:spacing w:after="0" w:line="111" w:lineRule="exact"/>
        <w:rPr>
          <w:rFonts w:ascii="Arial" w:cs="Arial" w:eastAsia="Arial" w:hAnsi="Arial"/>
          <w:sz w:val="17"/>
          <w:szCs w:val="17"/>
          <w:color w:val="auto"/>
        </w:rPr>
      </w:pPr>
    </w:p>
    <w:p>
      <w:pPr>
        <w:ind w:left="660" w:right="120" w:hanging="328"/>
        <w:spacing w:after="0" w:line="263"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net impact of new compensation agreements for current executives of GXO. These adjustments relate primarily to increases in salary and bonus and stock-based compensation of $1 million for both the three months ended March 31, 2021 and 2020 and $3 million for the year ended December 31, 2020.</w:t>
      </w:r>
    </w:p>
    <w:p>
      <w:pPr>
        <w:spacing w:after="0" w:line="129" w:lineRule="exact"/>
        <w:rPr>
          <w:rFonts w:ascii="Arial" w:cs="Arial" w:eastAsia="Arial" w:hAnsi="Arial"/>
          <w:sz w:val="18"/>
          <w:szCs w:val="18"/>
          <w:color w:val="auto"/>
        </w:rPr>
      </w:pPr>
    </w:p>
    <w:p>
      <w:pPr>
        <w:ind w:left="660" w:right="420" w:hanging="328"/>
        <w:spacing w:after="0" w:line="286" w:lineRule="auto"/>
        <w:tabs>
          <w:tab w:leader="none" w:pos="654"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the impact of the transition services agreement, which results in incremental corporate and administrative costs not included in the Company’s historical combined financial statements. An adjustment of $3 million to increase Sales, general and administrative expense were recorded in the Unaudited Pro Forma Combined Statement of Operations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costs: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estimate that GXO will incur additional one-time expenses of between $45 million and $65 million associated with becoming a stand-alone public company. The accompanying unaudited pro forma combined financial statements are not adjusted for these estimated expenses. These expenses include, among other things, costs related to legal, accounting and other professional fees, along with transitional costs such as those to convert to a standalone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i w:val="1"/>
          <w:iCs w:val="1"/>
          <w:color w:val="auto"/>
        </w:rPr>
        <w:t>This section discusses GXO’s business assuming the completion of all of the transactions described in this information statement, including the separation. All monetary amounts discussed in this section are in millions of U.S. dollars, unless otherwise indicated.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2020, we generated $6.2 billion of revenue. 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3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to customer service has led to many of our key customer relationships extending for years and growing in scope.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Drivers of value creation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60" w:right="320" w:hanging="328"/>
        <w:spacing w:after="0" w:line="311"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Critical Scale in a Fast-Growing Industry with Strong Tailwinds: </w:t>
      </w:r>
      <w:r>
        <w:rPr>
          <w:rFonts w:ascii="Arial" w:cs="Arial" w:eastAsia="Arial" w:hAnsi="Arial"/>
          <w:sz w:val="16"/>
          <w:szCs w:val="16"/>
          <w:color w:val="auto"/>
        </w:rPr>
        <w:t>Our significant scale makes us well-positioned to benefit from the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94"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We are strongly differentiated by our technology as an innovative provider of sophisticated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enhance visibility, speed, accuracy and cost effectiveness for our customers, and by our ability to customize our technology-enabled services to each customer’s requirements;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 durable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Resilient Business Model with Multiple Drivers of Profitable Growth: </w:t>
      </w:r>
      <w:r>
        <w:rPr>
          <w:rFonts w:ascii="Arial" w:cs="Arial" w:eastAsia="Arial" w:hAnsi="Arial"/>
          <w:sz w:val="18"/>
          <w:szCs w:val="18"/>
          <w:color w:val="auto"/>
        </w:rPr>
        <w:t>We have numerous avenues for profitable growth, including a long runway</w:t>
      </w:r>
      <w:r>
        <w:rPr>
          <w:rFonts w:ascii="Arial" w:cs="Arial" w:eastAsia="Arial" w:hAnsi="Arial"/>
          <w:sz w:val="18"/>
          <w:szCs w:val="18"/>
          <w:i w:val="1"/>
          <w:iCs w:val="1"/>
          <w:color w:val="auto"/>
        </w:rPr>
        <w:t xml:space="preserve"> </w:t>
      </w:r>
      <w:r>
        <w:rPr>
          <w:rFonts w:ascii="Arial" w:cs="Arial" w:eastAsia="Arial" w:hAnsi="Arial"/>
          <w:sz w:val="18"/>
          <w:szCs w:val="18"/>
          <w:color w:val="auto"/>
        </w:rPr>
        <w:t>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32"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Experienced and Cohesive Leadership: </w:t>
      </w:r>
      <w:r>
        <w:rPr>
          <w:rFonts w:ascii="Arial" w:cs="Arial" w:eastAsia="Arial" w:hAnsi="Arial"/>
          <w:sz w:val="17"/>
          <w:szCs w:val="17"/>
          <w:color w:val="auto"/>
        </w:rPr>
        <w:t>Our company is led by highly experienced executives who are recognized as leading practitioners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fields, and who will work together to create sustainable value through operational excellence and a purposeful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1440" w:right="419" w:bottom="1440" w:gutter="0" w:footer="0" w:header="0"/>
        </w:sectPr>
      </w:pPr>
    </w:p>
    <w:bookmarkStart w:id="74" w:name="page75"/>
    <w:bookmarkEnd w:id="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Scale in a Fast-Growing Industry with Strong Tailwinds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at the forefront of a rapidly expanding industry that represents a total potential addressable market of $430 billion across North America and Europe, including the $130 billion of logistics spend that is currently outsourced and the opportunity for another $300 billion of spend that is currently insourced. We expect that the industry will continue to grow faster than GDP, with increased demand for outsourced logistics propelled by strong secular tailwinds, such as the consumer shift to e-commerce, customer demand for warehouse automation and the ongoing trend toward outsourcing logistics management. Our technology and scale provide us with competitive advantages and strategically position us to capitalize on these substantial growth opportunities.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locations span the globe, with our operating sites located primarily in North America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270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GXO’s 885 operating sites are focused primarily in North America and Europe</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March 31, 2021, we operated 210 million square feet (20 million square meters) of logistics warehouse space worldwide at 885 locations and operated with approximately 93,000 team members (comprised of approximately 66,000 full-time and part-time employees and 27,000 temporary workers).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4"/>
                <w:szCs w:val="14"/>
                <w:b w:val="1"/>
                <w:bCs w:val="1"/>
                <w:color w:val="auto"/>
                <w:w w:val="98"/>
              </w:rPr>
              <w:t>Pro Forma Combined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27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significant scale gives us a competitive advantage in the growing logistics industry. The most dramatic growth in demand for logistics services in recent years has come from e-commerce and related sectors, including omnichannel retail and direct-to-consumer channels established by manufacturers. Prior to 2020, e-commerce was</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40"/>
          </w:cols>
          <w:pgMar w:left="320" w:top="1440" w:right="439" w:bottom="1440" w:gutter="0" w:footer="0" w:header="0"/>
          <w:type w:val="continuous"/>
        </w:sectPr>
      </w:pPr>
    </w:p>
    <w:bookmarkStart w:id="75" w:name="page76"/>
    <w:bookmarkEnd w:id="75"/>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already growing globally at a double-digit rate; COVID-19 has accelerated that growth by encouraging more consumers to purchase a wide variety of goods online: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e-commerce,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117475</wp:posOffset>
            </wp:positionV>
            <wp:extent cx="450024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450024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rapid pace of growth and the necessary reliance on technology make it difficult for many companies to provide consistently high levels of service while handling e-commerce logistics in-house. This is a secular growth driver for our business on two fronts: more companies are turning to outsourcing to manage high volumes of e-commerce fulfillment and returns, and their supply chains are becoming increasingly complex, requiring sophisticated warehouse automation that is difficult to achieve on their own.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GXO’s positioning as a technology leader and one of the largest providers of outsourced e-fulfillment globally — including the largest e-fulfillment platform in Europe — are significant competitive advantages for us. In addition, we have expertise with numerous verticals and SKU types in the e-commerce space, with an ability to produce replicable outcomes at scale. These are major reasons why our e-fulfillment services are equally attractive to longstanding e-commerce companies and new entrants.</w:t>
      </w:r>
    </w:p>
    <w:p>
      <w:pPr>
        <w:spacing w:after="0" w:line="13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engineer customized, end-to-end solutions for our customers: storage, inventory management, staffing, peak management, demand forecasting, fulfillment, aftermarket support, high-value-add services, such as order personalization, and reverse logistics — the merchandise returns that have become a fast-growing byproduct of e-fulfillment. We are a major provider of integrated reverse logistics services, including the inspection, repackaging, refurbishment and resale or disposal of returned merchandise, as well as refunding and warranty management. Reverse logistics expertise is highly valued by companies with consumer end-markets, as shoppers increasingly “test-drive” the merchandise they buy online.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Robust Technological Differentiation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Logistics processes of all kinds are ripe for transformation through advanced automation and digital management. We anticipated this nearly a decade ago, and prioritized the development of proprietary technologies that make logistics smarter, faster and more responsive to changes in demand. Our customers see the depth of our commitment to innovation, and they value our ability to meet their current objectives and future needs. Many of our larger customers consider us a strategic partner — they view our technology and expertise as critical to their success. Our reputation as an innovator also supports our capacity to develop new capabilities by attracting world-class technology talent 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76" w:name="page77"/>
    <w:bookmarkEnd w:id="76"/>
    <w:p>
      <w:pPr>
        <w:spacing w:after="0" w:line="144"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The most significant impacts of our technology to date are in three areas: our “Smart” suite of intelligent productivity tools, advanced warehouse automation and predictive analytics, all of which are integrated into our operations. See “Technology and Intellectual Property” for more information.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Another type of innovation that further differentiates GXO from our competitors is our “Direct” shared-space distribution network for B2C and B2B customers in North America. This network increases utilization of our existing warehouses and other resources, and it offers our customers the option of a flexible “fulfillment as a service” (“FaaS”) model. Our facilities serve as strategically located stockholding sites and cross-docks that can be utilized by multiple customers at the same time. The network gives retailers, e-tailers and manufacturers access to our scale, expertise and technology without the high fixed costs of traditional distribution center models.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“Direct” network enables our customers to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responds directly to consumer expectations for shorter fulfillment times, and consequently, it enhances consumer loyalty for our customers. The customers who use this network have the use of our technology for ease of doing business at both ends of distribution, as well as our predictive analytics to help plan inventory flows.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Customer Relationships in Attractive Verticals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 large opportunity to grow our share in verticals with durable fundamentals and high-growth outsourcing opportunities, where we have strong partnerships with preeminent customers, longstanding track records and deep expertise. Our revenue is diversified across numerous verticals and customers with different demand patterns and seasonality, including over 30% of Fortune 100 companies and 24% of the Fortune Global 100. In 2020, our revenue profile reflected a healthy mix of verticals and customers, with low concentration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93345</wp:posOffset>
            </wp:positionV>
            <wp:extent cx="2657475" cy="3257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26574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customers include numerous long-term relationships with blue-chip market leaders and world-class brands, operating primarily in e-commerce and retail, food and beverage, consumer packaged goods, technology, aerospace, consumer technology, industrial and manufacturing, chemicals, agribusiness, life sciences and healthcare. These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verticals where we have decades of expertise and understand the unique supply chain requirements, such as complex stock-keeping, time-assured distribution and surge management.</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strongly positioned with large customers because we can provide the technology and customization required for their complex supply chains. GXO’s ability to produce reliable outcomes at scale resonates with these customers, as does our expansive capacity and leading ability to manage tight labor markets.</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By partnering with our customers for the long term, we further our differentiation as a highly valued supply chain partner. The average relationship tenure for our top 20 customers in 2020, based on revenue, was approximately 15 years. GXO’s growth is also propelled by long-cycle projects and long-term contractual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91440</wp:posOffset>
            </wp:positionV>
            <wp:extent cx="5314950" cy="3257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53149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Resilient Business Model with Multiple Drivers of Profitable Growth</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has numerous drivers of profitable growth, including the ability to expand our margins through continuous deployment of our technology in areas such as labor productivity, warehouse management, inventory management, demand forecasting and advanced automation, as well as our asset-light business model, which has historically been resilient across cycles.</w:t>
      </w:r>
    </w:p>
    <w:p>
      <w:pPr>
        <w:spacing w:after="0" w:line="13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business relationships are characterized by long-term contractual agreements structured with either a fixed-variable or cost-plus mechanism to cover our base expenses across the economic cycle, with a historical customer retention rate of approximately 93%. Additionally, our business requires limited maintenance capital spending, which provides us with the flexibility to adjust our overall capital spending to changes in the macro environment. Our long-term contracts and flexible operating model allow us to adapt across the cycle, reducing costs during downturns and putting us in a position to expand quickly in growing markets. The result is expected to be strong, macro-independent free cash flow generation. We are committed to continuing to deploy capital with discipline and agility to maximize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and Cohesive Leadership</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company is led by Malcolm Wilson, chief executive officer and Baris Oran, chief financial officer. Each of our executives has decades of experience in their respective fields, having previously served in leadership roles in businesses around the globe.</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Malcolm Wilson has three decades of executive experience managing multinational supply chain operations. Prior to GXO, he served as Chief Executive Officer of XPO’s European operations, where he led the European logistics business to unprecedented growth and efficiencies. Earlier, he was head of the logistics division for industry leader Norbert Dentressangle and grew that logistics division to global scale as Norbert Dentressangle’s largest revenue-producing unit. XPO acquired Norbert Dentressangle in 2015.</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Baris Oran has more than two decades of finance experience, including most recently serving as chief financial officer of the Sabanci Group, one of Turkey’s largest publicly traded companies. Oran also has significant board experience, having served as chairman, vice chairman or board member of eight public companies and four private companies over the course of his career.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leaders prioritize developing a company culture that is, among other things:</w:t>
      </w:r>
    </w:p>
    <w:p>
      <w:pPr>
        <w:spacing w:after="0" w:line="171" w:lineRule="exact"/>
        <w:rPr>
          <w:sz w:val="20"/>
          <w:szCs w:val="20"/>
          <w:color w:val="auto"/>
        </w:rPr>
      </w:pPr>
    </w:p>
    <w:p>
      <w:pPr>
        <w:ind w:left="660" w:hanging="328"/>
        <w:spacing w:after="0" w:line="342"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Safe</w:t>
      </w:r>
      <w:r>
        <w:rPr>
          <w:rFonts w:ascii="Arial" w:cs="Arial" w:eastAsia="Arial" w:hAnsi="Arial"/>
          <w:sz w:val="16"/>
          <w:szCs w:val="16"/>
          <w:color w:val="auto"/>
        </w:rPr>
        <w:t>: In 2020, our recordable incident rate (“RIR”) in the U.S. was once again significantly better than the industry average. While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average RIR for General Warehousing and Storage was 4.9, as reported by OSHA, our RIR in 2020 was significantly better at 1.3;</w:t>
      </w:r>
    </w:p>
    <w:p>
      <w:pPr>
        <w:spacing w:after="0" w:line="69" w:lineRule="exact"/>
        <w:rPr>
          <w:rFonts w:ascii="Arial" w:cs="Arial" w:eastAsia="Arial" w:hAnsi="Arial"/>
          <w:sz w:val="16"/>
          <w:szCs w:val="16"/>
          <w:color w:val="auto"/>
        </w:rPr>
      </w:pPr>
    </w:p>
    <w:p>
      <w:pPr>
        <w:jc w:val="both"/>
        <w:ind w:left="660" w:right="4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Diverse</w:t>
      </w:r>
      <w:r>
        <w:rPr>
          <w:rFonts w:ascii="Arial" w:cs="Arial" w:eastAsia="Arial" w:hAnsi="Arial"/>
          <w:sz w:val="18"/>
          <w:szCs w:val="18"/>
          <w:color w:val="auto"/>
        </w:rPr>
        <w:t>: In 2020, approximately 8,840 of our global hires were women, representing over 30% of all hires. In the U.S., approximately 78%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hires were diverse based on self-identification as a person of color, military veteran, member of the LGBTQ+ community or a person with a disability; and</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Sustainable</w:t>
      </w:r>
      <w:r>
        <w:rPr>
          <w:rFonts w:ascii="Arial" w:cs="Arial" w:eastAsia="Arial" w:hAnsi="Arial"/>
          <w:sz w:val="17"/>
          <w:szCs w:val="17"/>
          <w:color w:val="auto"/>
        </w:rPr>
        <w:t>: A number of our warehouse facilities are ISO 14001-certified, which ensures environmental and other regulatory compliance.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strategy is to help our customers manage their supply chains most efficiently, using our network of people, technology and physical assets. We deliver value to customers in the form of technological innovations, process efficiencies, cost efficiencies and reliable outcomes. Our services are both highly responsive to customer goals — such as increasing visibility in the supply chain, decreasing fulfillment times and mitigating environmental impacts over time — and proactive in identifying potential improvements.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growth and optimization strategy for GXO is to:</w:t>
      </w:r>
    </w:p>
    <w:p>
      <w:pPr>
        <w:spacing w:after="0" w:line="171" w:lineRule="exact"/>
        <w:rPr>
          <w:sz w:val="20"/>
          <w:szCs w:val="20"/>
          <w:color w:val="auto"/>
        </w:rPr>
      </w:pPr>
    </w:p>
    <w:p>
      <w:pPr>
        <w:jc w:val="both"/>
        <w:ind w:left="660" w:right="14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 additional business in verticals where we already have deep expertise, relationships with prominent customers and a strong track record of performance, by successfully selling to new customers and by expanding the services we provide to existing customers through new projects, thus earning more of their external and internal logistics spend;</w:t>
      </w:r>
    </w:p>
    <w:p>
      <w:pPr>
        <w:spacing w:after="0" w:line="129" w:lineRule="exact"/>
        <w:rPr>
          <w:rFonts w:ascii="Arial" w:cs="Arial" w:eastAsia="Arial" w:hAnsi="Arial"/>
          <w:sz w:val="18"/>
          <w:szCs w:val="18"/>
          <w:color w:val="auto"/>
        </w:rPr>
      </w:pPr>
    </w:p>
    <w:p>
      <w:pPr>
        <w:ind w:left="660" w:right="320" w:hanging="328"/>
        <w:spacing w:after="0" w:line="342"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the advantages of our proprietary technology for warehouse operations, which we use to manage advanced automation, robotics, labor productivity, inventory management, safety, seasonal changes in demand and other aspects of complex logistics environments;</w:t>
      </w:r>
    </w:p>
    <w:p>
      <w:pPr>
        <w:spacing w:after="0" w:line="69" w:lineRule="exact"/>
        <w:rPr>
          <w:rFonts w:ascii="Arial" w:cs="Arial" w:eastAsia="Arial" w:hAnsi="Arial"/>
          <w:sz w:val="16"/>
          <w:szCs w:val="16"/>
          <w:color w:val="auto"/>
        </w:rPr>
      </w:pPr>
    </w:p>
    <w:p>
      <w:pPr>
        <w:ind w:left="660" w:right="68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Partner with our customers in meeting their goals for supply chain performance, risk mitigation, cost efficiency, growth management and stakeholder satisfaction by helping them overcome challenges specific to their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44" w:lineRule="exact"/>
        <w:rPr>
          <w:sz w:val="20"/>
          <w:szCs w:val="20"/>
          <w:color w:val="auto"/>
        </w:rPr>
      </w:pPr>
    </w:p>
    <w:p>
      <w:pPr>
        <w:ind w:left="660" w:right="4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to drive productivity and share gains, with a focus on automation and other levers of profitable growth.</w:t>
      </w:r>
    </w:p>
    <w:p>
      <w:pPr>
        <w:spacing w:after="0" w:line="11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Our growth and optimization strategy is geared toward consumer-related sectors that demonstrate enduring demand over time and where we already have a deep presence. In 2020, 50% of our revenue came from e-commerce, omnichannel and consumer technology, 13% came from food and beverage, and 13% from consumer packaged goods. These top three verticals accounted for 76% of our revenue, with the vast majority of revenue generated in the U.S., the U.K., France and Spain.</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aid us in executing our strategy, we have instilled a culture that focuses our efforts on delivering mutually beneficial results for our customers and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industry is evolving, and logistics processes are ripe for innovative, disruptive thinking. Customers want to reduce risk and increase the productivity of their supply chains. We are well-positioned to meet these expectations because we prioritized visibility, quality control and automation early in our technological development.</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We can implement innovations across multiple geographies in a relatively short time, or take an innovation developed for one vertical and apply it to other verticals to enhance the value we offer our customers.</w:t>
      </w:r>
    </w:p>
    <w:p>
      <w:pPr>
        <w:spacing w:after="0" w:line="130"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most significant impacts of our proprietary technology to date are in three areas: labor and inventory management productivity, intelligent warehouse automation and predictive analytics, all of which are integrated through our proprietary warehouse management platform.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and Inventory Management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productivity is driven by our comprehensive “Smart” suite of intelligent tools and analytics designed to optimize labor and inventory management. This technology incorporates dynamic data science, predictive analytics and machine learning to aid in decision-making. Our site managers use these tools to improve productivity in site-specific ways in a safe, disciplined and cost-effective manner.</w:t>
      </w:r>
    </w:p>
    <w:p>
      <w:pPr>
        <w:spacing w:after="0" w:line="13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year-end 2020, we had implemented these tools and analytics in approximately 85% of our North American logistics sites and 50% of our European logistics sites, with further roll-outs underway. This technology is delivering an average labor productivity improvement of 5% to 7%, and we expect to see further increases in productivity as we fully utilize these tools in all of our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Intelligent Warehouse Automation</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intelligent warehouse automation includes our deployments of autonomous robots and cobots (collaborative robots), automated sortation systems, automated guided vehicles, goods-to-person systems and wearable smart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as part of an integrated solution.</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most benefit from our technology in areas such as visibility, demand planning and continuous improvement.</w:t>
      </w:r>
    </w:p>
    <w:p>
      <w:pPr>
        <w:spacing w:after="0" w:line="11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have found that autonomous goods-to-person systems can improve labor productivity by four to six times, and that cobots, which assist workers with the inventory picking process, can improve productivity by two times on average. Stationary robot arms can repeat demanding tasks with precision three times faster than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manually. Robots are particularly valuable in tight labor markets where wage inflation and labor shortages can erode customer margins.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ability to employ our technologies for our customers’ benefit is highlighted by our innovative partnership with Nestle, the world’s largest food and beverage company. In mid-2020, we opened our Digital Distribution Warehouse of the Future in partnership with Nestlé in the U.K. This flagship site has the capacity to process the highest throughput of any facility in Nestlé’s global network.</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Digital Distribution Warehouse of the Future brings together the latest systems architecture and intelligent applications under one roof, with sophisticated robotics, advanced sortation systems and data analysis using machine learning. Our European innovation lab is based on the premises, where it functions as both a think tank and an innovation incubator, giving us the ability to test new technologies under real-life operating conditions.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about 15% to 35% of consumer goods bought online are returned, based on the product category, and this creates reverse peaks of returned merchandise at certain times of year. We have developed analytics that predict future surges in demand using a combination of data histories and customer forecasting.</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an industry leader that makes substantial investments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 versus our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operated 885 locations, primarily in North America and Europe. These sites included locations in 27 countries.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Leased Facilities</w:t>
            </w:r>
          </w:p>
        </w:tc>
        <w:tc>
          <w:tcPr>
            <w:tcW w:w="1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Owned Facilities</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Customer Facilities</w:t>
            </w:r>
            <w:r>
              <w:rPr>
                <w:rFonts w:ascii="Arial" w:cs="Arial" w:eastAsia="Arial" w:hAnsi="Arial"/>
                <w:sz w:val="18"/>
                <w:szCs w:val="18"/>
                <w:b w:val="1"/>
                <w:bCs w:val="1"/>
                <w:color w:val="auto"/>
                <w:vertAlign w:val="superscript"/>
              </w:rPr>
              <w:t>(2)</w:t>
            </w:r>
          </w:p>
        </w:tc>
        <w:tc>
          <w:tcPr>
            <w:tcW w:w="180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780" w:type="dxa"/>
            <w:vAlign w:val="bottom"/>
            <w:gridSpan w:val="2"/>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17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3"/>
          <w:szCs w:val="13"/>
          <w:color w:val="auto"/>
        </w:rPr>
      </w:pPr>
      <w:r>
        <w:rPr>
          <w:rFonts w:ascii="Arial" w:cs="Arial" w:eastAsia="Arial" w:hAnsi="Arial"/>
          <w:sz w:val="14"/>
          <w:szCs w:val="14"/>
          <w:color w:val="auto"/>
        </w:rPr>
        <w:t>Locations not in North America or Europe; primarily in Asia.</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53"/>
        </w:numPr>
        <w:rPr>
          <w:rFonts w:ascii="Arial" w:cs="Arial" w:eastAsia="Arial" w:hAnsi="Arial"/>
          <w:sz w:val="13"/>
          <w:szCs w:val="13"/>
          <w:color w:val="auto"/>
        </w:rPr>
      </w:pPr>
      <w:r>
        <w:rPr>
          <w:rFonts w:ascii="Arial" w:cs="Arial" w:eastAsia="Arial" w:hAnsi="Arial"/>
          <w:sz w:val="14"/>
          <w:szCs w:val="14"/>
          <w:color w:val="auto"/>
        </w:rPr>
        <w:t>Locations owned or leased by customers.</w:t>
      </w:r>
    </w:p>
    <w:p>
      <w:pPr>
        <w:spacing w:after="0" w:line="1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lease our current executive office located in London, England, our U.S. headquarters in Greenwich, Connecticut, our U.S. operations center in North Carolina and our various office facilities in France, the U.K. and India, to support our global executive and shared-services functions. We believe that our facilities are sufficient for our current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GXO provides services to over 1,000 customers globally, including Fortune 100 companies in the U.S., European multinational market leaders and renowned global brands. The customers we serve span every major industry and touch every part of the economy. The diversification of our customer base minimizes concentration risk: in 2020, our top five customers combined accounted for approximately 16% of our revenue, with our largest customer accounting for approximately 4% of revenue.</w:t>
      </w:r>
    </w:p>
    <w:p>
      <w:pPr>
        <w:spacing w:after="0" w:line="13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Our revenue is highly diversified due to our expertise across a range of key verticals. We derive our revenue from retail and e-commerce, food and beverage, consumer packaged goods, consumer technology and other verticals where we have longstanding positioning and prominent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market to domestic and international customers and primarily perform services in North America and Europe. In 2020, approximately 36% of our total revenue was generated in the U.S., 27% in Europe (excluding the U.K. and France), 25% in the U.K. and 10% in France.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GXO operates in a highly fragmented marketplace with thousands of companies competing domestically and internationally. The top five contract logistics providers across North America and Europe, in total, hold less than 25% of the $130 billion of outsourced logistics spend, with GXO holding approximately 5% share. We compete based on our ability to deliver quality of service, reliability, scope and scale of operations, technological capabilities, expertise and price.</w:t>
      </w:r>
    </w:p>
    <w:p>
      <w:pPr>
        <w:spacing w:after="0" w:line="133"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Our competitors include local, regional, national and international companies that offer the same services we provide; some have larger customer bases, significantly more resources and more experience than we have. Some of our competitors include Clipper Logistics, DHL, DSV Panalpina, ID Logistics, and Kuehne + Nagel. Additionally, some of our customers have sufficient internal resources to perform the services we offer. Due to the competitive nature of our marketplaces, we strive daily to strengthen existing business relationships and forge new relationships.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also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From time to time, we receive inquiries from governmental authorities about potential environmental exposure related to the operations of our facilities. Historically, we have successfully resolved such inquiries without a material effect on our business or operations. 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number of GXO’s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reduced productivity and efficiency and increased operating expenses, all of which could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We believe this is due in part to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good corporate citizenship and, importantly, engaged employees who embrace our values.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a customer-centric company with a strong service culture, we constantly work to maintain our position as an employer of choice. This requires an unwavering commitment to workplace inclusion and safety, as well as competitive total compensation that meets the needs of our employees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Profile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March 31, 2021, we operated with approximately 93,000 team members (comprised of approximately 66,000 full-time and part-time employees and 27,000 temporary workers) in 27 countries: 32% of our employees were based in North America, 65% were based in Europe and 3% were based in Latin America and Asia combined. Of our North American employees, 83% were in hourly roles and 17% were in salaried positions. In Europe, 72% of our employees were covered by collective bargaining agreements, while none of our employees in North America were covered by collective bargaining agreements.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take pride in having an inclusive workplace that encourages a diversity of backgrounds and perspectives and mandates fair treatment for all individuals —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frontline employees provide essential services that keep goods flowing to the people who need them. Their protection is always our foremost priority, and we have numerous protocols in place to ensure a safe workplace environment. We aim to maintain an OSHA recordable incident rate that is less than half the published rate for the General Warehousing and Storage sector, based on the “Industry Injury and Illness Data” of the U.S. Bureau of Labor Statistics.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Amid the onset of COVID-19 in 2020, we deployed a combination of protective measures, technology and virtual communications to maintain a safe workplace environment. We have taken many risk-mitigating actions to protect our employees, including offering 100% paid pandemic sick leave for eligible employees, providing frontline employee appreciation pay to approximately 18,500 workers in the U.S. and Canada, procuring personal protective equipment for employees in all of our workplaces, and providing expanded access to mental health counseling services for employees and their dependents.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seek to identify top talent in all aspects of the recruitment process, and we emphasize training and development.</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throughout their career path, such as tailored skills development, training and mentoring for employees who aspire to grow into higher-paying positions with more responsibility. In addition, we maintain a robust pipeline of future operations leaders by using structured sponsorships and incidental learning techniques to develop internal candidates who demonstrate high potential in supervisory roles into positions as site leaders. The programs also serve to retain top talent by defining personalized development paths, and they attract new talent by differentiating GXO as an employer.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appreciate that our employees choose to work for GXO from among the many different options available to them inside and outside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a total compensation package that is both competitive and progressive to help attract and retain outstanding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offer competitive wages and a comprehensive suite of benefits to all employees to maintain our positioning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schemes, and local and global bonus schemes structured to offer competitive pay in each country.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the ordinary course of conducting our business activities, we and our subsidiaries become involved in judicial, administrative and regulatory proceedings involving both private parties and governmental authorities. These proceedings include insured and uninsured matters that are brought on an individual, collective, representative and class action basis, and other proceedings involving personal injury claims arising from the transportation and handling of goods, contractual disputes, employment-related claims, including alleged violations of wage and hour laws, and general and commercial liability matters.</w:t>
      </w:r>
    </w:p>
    <w:p>
      <w:pPr>
        <w:spacing w:after="0" w:line="1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Based on facts currently available, we do not expect any of these proceedings to have a material effect, individually or in the aggregate, on our reputation, business, financial position, results of operations or cash flows; however, we can give no assurance that the results of any such proceedings will not materially affect our reputation,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84" w:name="page85"/>
    <w:bookmarkEnd w:id="8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You should read the following Management’s Discussion and Analysis of Financial Condition and Results of Operations (“MD&amp;A”) in conjunction with the audited Combined Financial Statements and corresponding notes and the Unaudited Pro Forma Condensed Combined Financial Information and corresponding notes included elsewhere in this information statement. This MD&amp;A contains forward-looking statements. The matters discussed in these forward-looking statements are subject to risk, uncertainties, and other factors that could cause actual results to differ materially from those projected or implied in the forward-looking statements. Please see “Risk Factors” and “Cautionary Note Regarding Forward-Looking Statements” for a discussion of the uncertainties, risks and assumptions associated with these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GXO Logistics, Inc. (“GXO” or “we”)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 with significant growth potential through customer outsourcing of logistics services.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growing in scope.</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this technology to manage advanced automation, labor productivity, safety and the complex flow of goods within sophisticated logistics environments.</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2020, our parent company, XPO Logistics, Inc. (together with its subsidiaries, “XPO”), announced its intention to separate into two independent, publicly traded companies. The spin-off is expected to be completed through a tax-free pro rata distribution of all the outstanding shares of common stock of GXO. The proposed spin-off is complex in nature, and unanticipated developments or changes, including changes in law, the macroeconomic environment, competitive conditions of our markets, regulatory approvals or clearances, the uncertainty of the financial markets, and challenges in executing the separation, could delay or prevent the completion of the proposed spin-off, or cause the spin-off to occur on terms or conditions that are different or less favorable than expected, including, without limitation, the failure of the spin-off to qualify as a transaction that is tax-free for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440" w:right="379" w:bottom="1440" w:gutter="0" w:footer="0" w:header="0"/>
        </w:sectPr>
      </w:pPr>
    </w:p>
    <w:bookmarkStart w:id="85" w:name="page86"/>
    <w:bookmarkEnd w:id="8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to our shareholders. There can be no assurance that the spin-off will occur or, if it does occur, of its terms or timing.</w:t>
      </w:r>
    </w:p>
    <w:p>
      <w:pPr>
        <w:spacing w:after="0" w:line="171"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In connection with the separation and distribution, GXO and XPO will enter into several agreements to implement the legal and structural separation between the two companies; govern the relationship between GXO and XPO after the completion of the separation; and allocate between GXO and XPO various assets, liabilities and obligations, including, among other things, employee benefits, intellectual property and tax-related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70"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in the markets we serve, GXO is considered an “essential business,” providing supply chain solutions to crucial industries. As a result, our sites have generally remained open and operating, and we have continued to serve our customers while employing significant measures to protect our employees and keep them safe.</w:t>
      </w:r>
    </w:p>
    <w:p>
      <w:pPr>
        <w:spacing w:after="0" w:line="12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as of and for the year ended December 31, 2020, as discussed below. 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w:t>
      </w:r>
    </w:p>
    <w:p>
      <w:pPr>
        <w:spacing w:after="0" w:line="133"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expect our results of operations will continue to be impacted by this pandemic in 2021.</w:t>
      </w:r>
    </w:p>
    <w:p>
      <w:pPr>
        <w:spacing w:after="0" w:line="11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incurred net incremental costs related to COVID-19 to ensure that we meet the needs of our customers and employees; these include costs for personal protective equipment (“PPE”), temporary site closures, site cleanings and enhanced employee benefits.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if appropriate,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could not fully offset the decrease in demand for our services arising from the economic disruption of the pandemic in 2020, the actions we have taken, combined with the variable components of our cost structure, have helped to mitigate the impact on our profitability.</w:t>
      </w:r>
    </w:p>
    <w:p>
      <w:pPr>
        <w:spacing w:after="0" w:line="111" w:lineRule="exact"/>
        <w:rPr>
          <w:sz w:val="20"/>
          <w:szCs w:val="20"/>
          <w:color w:val="auto"/>
        </w:rPr>
      </w:pPr>
    </w:p>
    <w:p>
      <w:pPr>
        <w:ind w:right="2100" w:firstLine="324"/>
        <w:spacing w:after="0" w:line="438" w:lineRule="auto"/>
        <w:rPr>
          <w:sz w:val="20"/>
          <w:szCs w:val="20"/>
          <w:color w:val="auto"/>
        </w:rPr>
      </w:pPr>
      <w:r>
        <w:rPr>
          <w:rFonts w:ascii="Arial" w:cs="Arial" w:eastAsia="Arial" w:hAnsi="Arial"/>
          <w:sz w:val="18"/>
          <w:szCs w:val="18"/>
          <w:color w:val="auto"/>
        </w:rPr>
        <w:t xml:space="preserve">A further discussion of the potential impact of the COVID-19 pandemic on our business is set forth above in Risk Factors.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combined financial statements of the Company were prepared on a standalone basis and have been derived from the combined financial statements and accounting records of XPO. 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intercompany balances and transactions between the operations of the GXO legal entities have been eliminated in the accompanying combined financial statements. All significant related party transactions between GXO and XPO have been included in these combined financial statements as components of XPO investment. We prepare our combined financial statements in accordance with accounting principles generally accepted in the United States of America (“GAAP”), which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w:t>
      </w:r>
    </w:p>
    <w:p>
      <w:pPr>
        <w:spacing w:after="0" w:line="11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 transaction and integration costs, as well as restructuring costs and other adjustments, or headcount. The majority of these allocated costs are recorded in Sales, general and administrative expense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2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other than those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was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GXO has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Percent of Revenue</w:t>
            </w:r>
          </w:p>
        </w:tc>
        <w:tc>
          <w:tcPr>
            <w:tcW w:w="1040" w:type="dxa"/>
            <w:vAlign w:val="bottom"/>
            <w:tcBorders>
              <w:bottom w:val="single" w:sz="8" w:color="auto"/>
            </w:tcBorders>
          </w:tcPr>
          <w:p>
            <w:pPr>
              <w:spacing w:after="0"/>
              <w:rPr>
                <w:sz w:val="16"/>
                <w:szCs w:val="16"/>
                <w:color w:val="auto"/>
              </w:rPr>
            </w:pPr>
          </w:p>
        </w:tc>
      </w:tr>
      <w:tr>
        <w:trPr>
          <w:trHeight w:val="18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83.4 %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11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revenue increased 26.5% to $1.8 billion in first quarter of 2021, compared with $1.4 billion for the same quarter in 2020. The increase in revenue compared to the first quarter of 2020 reflects 38.4% growth in our European business and 8.6% growth in our North American business, driven by increases in revenues from our e-commerce/retail and food and beverage customers. Also impacting our revenue was the Kuehne + Nagel business we acquired in January 2021, which contributed approximately 13.6 percentage points to revenue growth in our European business and 8.2 percentage points to our total revenue growth. Foreign currency movement increased revenue by approximately 5.5 percentage points in 2021.</w:t>
      </w:r>
    </w:p>
    <w:p>
      <w:pPr>
        <w:spacing w:after="0" w:line="10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Direct operating expense in the first quarter of 2021 was $1.5 billion, or 83.4% of revenue, compared with $1.2 billion, or 83.5% of revenue, for the same quarter in 2020. As a percentage of revenue, compensation costs and third-party transportation costs decreased direct operating expense by approximately 1.1% and 0.7%, respectively. These decreases were offset by higher temporary labor and maintenance costs, which increased direct operating expense by approximately 0.7% and 0.6%, respectively, as a percentage of revenue.</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$171 million for the first quarter of 2021, or 9.4% of revenue, compared with $142 million, or 9.9% of revenue, for the same quarter in 2020. The year-over-year decrease in SG&amp;A as a percentage of revenue primarily resulted from lower compensation costs as a percentage of revenue due to the significant year-over-year increase in revenues.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expense for the first quarter of 2021 was $79 million, compared with $76 million for the same quarter in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amortization of acquisition-related intangible assets of $14 million in the first quarter of 2021 and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for the first quarter in 2021 are primarily related to costs related to our planned spin-off.</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We recorded restructuring charges of $4 million for severance costs in the first quarter of 2021. For further information on our restructuring actions, see Note 5—Restructuring Charges to the Condensed Combined Interim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the first quarter of both 2021 and 2020 was $1 million and primarily consists of pension income.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for the first quarter of 2021 decreased 28.6% to $5 million, from $7 million for the same quarter in 2020. The decrease in interest expense was primarily due to lower average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effective income tax rate was 33.4% and (124.7)% in the first three months of 2021 and 2020, respectively. The effective tax rates for the first quarter of 2021 and 2020 were based on forecasted full-year effective tax rates. The negative effective income tax rate for the first quarter of 2020 was primarily driven by contribution- and margin-based taxes which we incurred even though our pretax income was negative.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Percent of Revenue</w:t>
            </w:r>
          </w:p>
        </w:tc>
        <w:tc>
          <w:tcPr>
            <w:tcW w:w="118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83.4 %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revenue increased 1.7% to $6.2 billion in 2020, compared with $6.1 billion in 2019. The increase in revenue compared to 2019 reflects 5.5% growth in our European business, partially offset by a 4.2% decline in our North American business. The growth in our European business was primarily driven by higher revenues from our e-commerce/retail customers, partially offset by the impact of COVID-19. The decline in our North America business was driven by the impact of COVID-19 and our elimination of certain low-margin business. Foreign currency movement increased revenue by approximately 0.8 percentage points in 2020.</w:t>
      </w:r>
    </w:p>
    <w:p>
      <w:pPr>
        <w:spacing w:after="0" w:line="13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Direct operating expense in 2020 was $5.2 billion, or 83.4% of revenue, compared with $5.1 billion, or 83.9% of revenue, in 2019. The year-over-year decrease as a percentage of revenue was primarily driven by lower temporary labor and third-party transportation costs, which decreased direct operating expense by approximately 1.0% and 0.6%, respectively, as a percentage of revenue. These decreases were partially offset by higher payroll costs, which increased direct operating expense by approximately 1.0%, as well as other incremental COVID-19-related costs. Additionally, 2020 and 2019 included $1 million and $9 million, respectively, from gains on sales of property and equipment.</w:t>
      </w:r>
    </w:p>
    <w:p>
      <w:pPr>
        <w:spacing w:after="0" w:line="12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SG&amp;A was $611 million in 2020, or 9.9% of revenue, compared with $514 million, or 8.4% of revenue, in 2019. The year-over-year increase in SG&amp;A as a percentage of revenue primarily resulted from higher compensation costs. Compensation costs were higher for the year ended December 31, 2020 in comparison to the prior-year period due to the strength of our operating performance in a challenging macro-environment.</w:t>
      </w:r>
    </w:p>
    <w:p>
      <w:pPr>
        <w:spacing w:after="0" w:line="1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Depreciation and amortization expense in 2020 was $323 million, compared with $302 million in 2019. The increase was primarily due to the impact of prior capital investments, new contract startups and accelerated depreciation due to contract modifications. Depreciation and amortization expense included amortization of acquisition-related intangible assets of $57 million in 2020, compared to $60 million in 2019.</w:t>
      </w:r>
    </w:p>
    <w:p>
      <w:pPr>
        <w:spacing w:after="0" w:line="11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integration costs in 2020 are primarily related to XPO’s previously announced exploration of strategic alternatives that was terminated in March 2020 and costs related to the acquisition of Kuehne + Nagel’s U.K. logistics business, which was completed in 2021.</w:t>
      </w:r>
    </w:p>
    <w:p>
      <w:pPr>
        <w:spacing w:after="0" w:line="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We expect the restructuring initiatives to which the 2020 charges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be complete by December 31, 2021. Once complete, these initiatives are expected to generate annualized pre-tax savings of approximately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restructuring actions, see Note 5—Restructuring Charges to the Combined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primarily consists of pension income. Other income for 2020 was $2 million, compared with $1 million in 2019.</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2020 decreased to $24 million, from $33 million in 2019. The decrease in interest expense was primarily due to lower average total indebtedness.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effective income tax rate was (264.5)% and 31.4% in 2020 and 2019, respectively. The decrease in our effective income tax rate for the year ended December 31, 2020 compared to the year ended December 31, 2019 was primarily driven by the incurrence of contribution- and margin-based taxes in both periods combined with a pretax loss in 2020 compared to pretax income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there was no material income tax benefit on our Consolidated Statements of Operations in 2020. Additionally, our cash flows benefited from the ability to defer the payment of certain payroll taxes that would otherwise have been due in 2020. We have not applied for any government loans under the CARES Act or similar laws.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revenue for 2019 increased by 0.5% to $6.09 billion, from $6.07 billion in 2018. The increase in revenue compared to 2018 was primarily driven by 5.0% growth of our North American business, partially offset by a 2.2% decline in revenue in Europe, primarily due to foreign currency movement. The growth of our North American business was led by higher revenues from our food and beverage, consumer packaged goods and aerospace customers. Foreign currency movement reduced revenue growth by approximately three percentage points in 2019.</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Direct operating expense in 2019 was $5.1 billion, or 83.9% of revenue, compared with $5.1 billion, or 84.4% of revenue, in 2018. The year-over-year decrease as a percentage of revenue was primarily driven by lower temporary labor and third-party transportation costs, which decreased direct operating expense by approximately 1.6% and 0.3%, respectively, as a percentage of revenue. These decreases were partially offset by higher personnel costs to support growth in the North American business, which increased direct operating expense by approximately 1.6% as a percentage of revenue. Additionally, 2019 and 2018 included $9 million and $2 million, respectively, from gains on sales of property and equipment.</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$514 million in 2019, or 8.4% of revenue, compared with $528 million, or 8.7% of revenue, in 2018. The year-over-year decrease in SG&amp;A as a percentage of revenue primarily resulted from lower bad debt and overhead expenses, which in aggregate decreased SG&amp;A by approximately 0.6% as a percentage of revenue.</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Depreciation and amortization expense in 2019 was $302 million, compared with $261 million in 2018. The increase was primarily due to the impact of prior capital investments and new contract startups.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in 2018 are primarily related to litigation expenses.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Other income for 2019 was $1 million, compared with $13 million in 2018. Included in Other income for 2018 was a gain of $9 million related to a terminated swap.</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2019 increased to $33 million, from $30 million in 2018. The increase in interest expense was primarily due to higher average total indebtedness.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effective income tax rate was 31.4% and 28.9% in 2019 and 2018, respectively. The increase in our effective income tax rate for 2019 compared to 2018 was primarily driven by changes in our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existing sources of cash are cash generated from operations and funding from XPO.</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Treasury activities at XPO are generally centralized, while certain balances are managed locally, except as noted below. To the extent cash and cash equivalents are legally owned by GXO, they are reflected in the combined financial statements.</w:t>
      </w:r>
    </w:p>
    <w:p>
      <w:pPr>
        <w:spacing w:after="0" w:line="11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 In conjunction with the planned spin-off, we expect to further evaluate our liquidity needs, capital structure and sources of capital on a standalone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asset and liability balances as of March 31, 2021, December 31,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r>
    </w:tbl>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Total assets increased $397 million from December 31, 2019 to December 31, 2020 primarily due to higher cash and cash equivalents and accounts receivable, the latter of which is due to higher revenues and reduced factoring of our receivables. Total liabilities increased $146 million from December 31, 2019 to December 31, 2020 due to an increase in accrued expenses in 2020, primarily due to the deferral of payroll tax payments as a result of the CARES Act.</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increase in our assets and liabilities from December 31, 2020 to March 31, 2021 primarily reflects the impact of the Kuehne + Nagel business acquired in January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Our current trade receivables securitization program also permits us to borrow, on an unsecured basis, cash collected in a servicing capacity on previously sold receivables, which we report within short-term debt on our Combined Balance Sheets.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to the Combined Financial Statements and Note 6—Debt to the Interim Condensed Combined Financial Statements for additional information related to our receivables securitization secured borrowing program and these borrowings.</w:t>
      </w:r>
    </w:p>
    <w:p>
      <w:pPr>
        <w:spacing w:after="0" w:line="11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11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current program, inclusive of any unsecured borrowings, is €400 million (approximately $469 million as of March 31, 2021). As of March 31, 2021, €82 million (approximately $96 million) was available under the program, subject to having sufficient receivables available to sell to the Purchasers.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260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2500" w:type="dxa"/>
            <w:vAlign w:val="bottom"/>
            <w:tcBorders>
              <w:top w:val="single" w:sz="8" w:color="auto"/>
            </w:tcBorders>
            <w:shd w:val="clear" w:color="auto" w:fill="CCEEFF"/>
          </w:tcPr>
          <w:p>
            <w:pPr>
              <w:ind w:left="360"/>
              <w:spacing w:after="0" w:line="224" w:lineRule="exact"/>
              <w:rPr>
                <w:sz w:val="20"/>
                <w:szCs w:val="20"/>
                <w:color w:val="auto"/>
              </w:rPr>
            </w:pPr>
            <w:r>
              <w:rPr>
                <w:rFonts w:ascii="Arial" w:cs="Arial" w:eastAsia="Arial" w:hAnsi="Arial"/>
                <w:sz w:val="18"/>
                <w:szCs w:val="18"/>
                <w:b w:val="1"/>
                <w:bCs w:val="1"/>
                <w:color w:val="auto"/>
                <w:w w:val="92"/>
              </w:rPr>
              <w:t xml:space="preserve">Securitization programs </w:t>
            </w:r>
            <w:r>
              <w:rPr>
                <w:rFonts w:ascii="Arial" w:cs="Arial" w:eastAsia="Arial" w:hAnsi="Arial"/>
                <w:sz w:val="23"/>
                <w:szCs w:val="23"/>
                <w:b w:val="1"/>
                <w:bCs w:val="1"/>
                <w:color w:val="auto"/>
                <w:w w:val="92"/>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Deferred purchase price</w:t>
            </w: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2600" w:type="dxa"/>
            <w:vAlign w:val="bottom"/>
            <w:gridSpan w:val="2"/>
          </w:tcPr>
          <w:p>
            <w:pPr>
              <w:ind w:left="360"/>
              <w:spacing w:after="0"/>
              <w:rPr>
                <w:sz w:val="20"/>
                <w:szCs w:val="20"/>
                <w:color w:val="auto"/>
              </w:rPr>
            </w:pPr>
            <w:r>
              <w:rPr>
                <w:rFonts w:ascii="Arial" w:cs="Arial" w:eastAsia="Arial" w:hAnsi="Arial"/>
                <w:sz w:val="18"/>
                <w:szCs w:val="18"/>
                <w:b w:val="1"/>
                <w:bCs w:val="1"/>
                <w:color w:val="auto"/>
              </w:rPr>
              <w:t>Factoring programs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318" w:lineRule="exact"/>
        <w:rPr>
          <w:sz w:val="20"/>
          <w:szCs w:val="20"/>
          <w:color w:val="auto"/>
        </w:rPr>
      </w:pPr>
    </w:p>
    <w:p>
      <w:pPr>
        <w:jc w:val="both"/>
        <w:ind w:left="340" w:right="80" w:hanging="332"/>
        <w:spacing w:after="0" w:line="257" w:lineRule="auto"/>
        <w:tabs>
          <w:tab w:leader="none" w:pos="338"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while under the current program, all transfers are accounted for as sales. This change had the effect of increasing the amount of trade receivables we reported as sold beginning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Three Months Ended March 31, 2021 and 2020</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Combined Statements of Cash Flows,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0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(37)</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81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(13)</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72</w:t>
            </w:r>
          </w:p>
        </w:tc>
      </w:tr>
    </w:tbl>
    <w:p>
      <w:pPr>
        <w:spacing w:after="0" w:line="242"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During the first quarter of 2021, we: (i) generated cash from operating activities of $47 million and (ii) received net transfers from XPO of $138 million. We used cash during this period primarily to: (i) purchase property and equipment of $67 million and (ii) make payments on debt and finance leases of $26 million.</w:t>
      </w:r>
    </w:p>
    <w:p>
      <w:pPr>
        <w:spacing w:after="0" w:line="13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During the first quarter of 2020, we: (i) generated cash from operating activities of $41 million; (ii) received net transfers from XPO of $55 million; and (iii) received net proceeds related to secured borrowing activity of $84 million. We used cash during this period primarily to: (i) make payments on debt and finance leases of $62 million and (ii) purchase property and equipment of $48 million.</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Cash flows from operating activities for the first quarter of 2021 increased by $6 million compared with 2020. The increase reflects higher net income, partially offset by the impact of operating assets and liabilities generating $38 million less in cash in 2021.</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Investing activities used $38 million of cash for the first quarter of 2021, compared with $37 million used for the same quarter in 2020. During for the first quarter of 2021, we used $67 million of cash to purchase property and equipment and received $20 million, net, in connection with the purchase and sale of affiliate trade receivables. During the same quarter in 2020, we used $48 million of cash to purchase property and equipment and received $8 million, net, in connection with the purchase and sale of affiliate trade receivables and received $3 million of cash from sales of property and equipment.</w:t>
      </w:r>
    </w:p>
    <w:p>
      <w:pPr>
        <w:spacing w:after="0" w:line="10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Financing activities generated $80 million of cash for the first quarter of 2021 and generated $81 million of cash for the same quarter in 2020. The primary source of cash from financing activities for the first quarter of 2021 were $138 million of net transfers from XPO. The primary uses of cash from financing activities for the first quarter of 2021 were $26 million used to repay debt and finance leases and $25 million from net borrowings related to our securitization program. By comparison, the primary sources of cash from financing activities in the first quarter of 2020 were $84 million of net proceeds related to secured borrowing activity and $55 million of net transfers from XPO. The primary uses of cash from financing activities in the first quarter of 2020 were $62 million used to repay debt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cash flows from operating, investing and financing activities, as reflected on our Combined Statements of Cash Flows,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8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24"/>
        </w:trPr>
        <w:tc>
          <w:tcPr>
            <w:tcW w:w="5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we: (i) generated cash from operating activities of $333 million and (ii) received net transfers from XPO of $168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$222 million and (ii) make payments on debt and finance leases of $123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2019, we: (i) generated cash from operating activities of $145 million; (ii) collected $112 million on the deferred purchase price receivable as described above; (iii) received net transfers from XPO of $278 million; and (iv) received net proceeds related to secured borrowing activity of $261 million. We used cash during this period primarily to: (i) purchase property and equipment of $222 million; (ii) make payments on debt and finance leases of $376 million; and (iii) purchase noncontrolling interests of $258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2018, we: (i) generated cash from operating activities of $335 million and (ii) received net transfers from XPO of $65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$270 million and (ii) make payments on debt and finance leases of $139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Cash flows from operating activities for 2020 increased by $188 million compared with 2019. The increase reflects the impact of operating assets and liabilities generating $310 million more in cash in 2020, partially offset by lower net income. Within operating assets and liabilities, accrued expenses and other liabilities was a source of cash for 2020 as compared to a use of cash in 2019. This fluctuation reflects the deferral of certain tax payments and an increase in compensation and purchased transportation accruals in 2020.</w:t>
      </w:r>
    </w:p>
    <w:p>
      <w:pPr>
        <w:spacing w:after="0" w:line="13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Cash flows from operating activities for 2019 decreased by $190 million compared with 2018. The decrease primarily reflects the impact of operating assets and liabilities generating $240 million less cash in 2019. Within operating assets and liabilities, accounts receivable was a use of cash in 2019 compared to a source of cash in 2018, which reflected increased revenues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Investing activities used $280 million of cash in 2020, compared with $147 million used in 2019 and $240 million used in 2018. During 2020, we used $222 million of cash to purchase property and equipment, received $12 million from sales of property and equipment and used $40 million, net, in connection with the purchase and sale of affiliate trade receivables. During 2019, we used $222 million of cash to purchase property and equipment, received $15 million of cash from sales of property and equipment, received proceeds of $112 million related to the realization of cash on deferred purchase price receivable and used $52 million, net, in connection with the purchase and sale of affiliate trade receivables. During 2018, we used $270 million of cash to purchase property and equipment and received $30 million of cash from sales of property and equipment.</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Financing activities generated $67 million of cash in 2020, used $102 million of cash in 2019 and used $38 million of cash in 2018. The primary sources of cash from financing activities in 2020 were $168 million of net transfers from XPO and $24 million from net borrowings related to our securitization program. The primary uses of cash from financing activities in 2020 were $123 million used to repay debt and finance leases. By comparison, the primary sources of cash from financing activities in 2019 were $278 million of net transfers from XPO and $261 million of net proceeds related to secured borrowing activity on our securitization program. The primary uses of cash from financing activities in 2019 were $376 million used to repay debt and finance leases and $258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used to purchase a shareholder’s noncontrolling interest in XPO Logistics Europe SA. The primary uses of cash from financing activities in 2018 were $139 million used to repay debt and finance leases. The primary sources of cash from financing activities in 2018 were $65 million of net transfers from XPO and $47 million of net proceeds related to secured borrowing activity on our securitization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color w:val="auto"/>
        </w:rPr>
        <w:t>The table below reflects our contractual obligations as of December 31, 2020. As of March 31, 2021, the Company’s future contractual obligations have not materially changed.</w:t>
      </w: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Debt (excluding 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Interest on related-party debt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bl>
    <w:p>
      <w:pPr>
        <w:spacing w:after="0" w:line="319" w:lineRule="exact"/>
        <w:rPr>
          <w:sz w:val="20"/>
          <w:szCs w:val="20"/>
          <w:color w:val="auto"/>
        </w:rPr>
      </w:pPr>
    </w:p>
    <w:p>
      <w:pPr>
        <w:ind w:left="340" w:right="40" w:hanging="332"/>
        <w:spacing w:after="0" w:line="250" w:lineRule="auto"/>
        <w:tabs>
          <w:tab w:leader="none" w:pos="338" w:val="left"/>
        </w:tabs>
        <w:numPr>
          <w:ilvl w:val="0"/>
          <w:numId w:val="55"/>
        </w:numPr>
        <w:rPr>
          <w:rFonts w:ascii="Arial" w:cs="Arial" w:eastAsia="Arial" w:hAnsi="Arial"/>
          <w:sz w:val="13"/>
          <w:szCs w:val="13"/>
          <w:color w:val="auto"/>
        </w:rPr>
      </w:pPr>
      <w:r>
        <w:rPr>
          <w:rFonts w:ascii="Arial" w:cs="Arial" w:eastAsia="Arial" w:hAnsi="Arial"/>
          <w:sz w:val="14"/>
          <w:szCs w:val="14"/>
          <w:color w:val="auto"/>
        </w:rPr>
        <w:t>As of December 31, 2020, we had additional operating leases that have not yet commenced with future undiscounted lease payments of $143 million. These operating leases will commence in 2021 through 2022 with initial lease terms of 2 years to 10 years.</w:t>
      </w: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Estimated interest payments have been calculated based on the outstanding amount of debt and the applicable interest rates as of December 31, 2020.</w:t>
      </w:r>
    </w:p>
    <w:p>
      <w:pPr>
        <w:spacing w:after="0" w:line="15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2020, our Combined Balance Sheet reflects a long-term liability of $54 million for deferred taxes. Additionally, our Combined Balance Sheet reflects gross unrecognized tax benefits of $4 million, which are primarily included in long-term liabilities.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 $225 million and $275 million in 2021, funded by cash on hand and available liquidity.</w:t>
      </w:r>
    </w:p>
    <w:p>
      <w:pPr>
        <w:spacing w:after="0" w:line="13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above table also excludes the principal amount of indebtedness expected to be incurred in connection with the separation and distribution of approximately $800 million and associated interest payments of $16 million per year. See “Description of Material Indebtedness” for additional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prepare our combined financial statements in accordance with U.S. generally accepted accounting principles.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Expense Allocation</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Combined Financial Statements of GXO include general corporate expenses for certain support functions that are provided on a centralized basis, such as expenses related to information technology, human resources, accounting, sales and sales operations, procurement, executive services, legal, corporate finance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EBITDA, which includes adjustments for transaction and integration costs, as well as restructuring costs and other adjustments, or headcount. All such costs have been deemed to have been incurred and settled through XPO investment in the period when the costs were recorded.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We have two reporting units. Application of the goodwill impairment test requires judgment, including the identification of the reporting unit, the assignment of assets and liabilities to the reporting unit, the assignment of goodwill to the reporting unit, and a determination of the fair value of the reporting unit.</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and both of our reporting units had fair values in excess of their carrying values, resulting in no impairment of goodwill.</w:t>
      </w:r>
    </w:p>
    <w:p>
      <w:pPr>
        <w:spacing w:after="0" w:line="1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 to the Combined Financial Statements and Note 2—Basis of Presentation to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440" w:right="379" w:bottom="1440" w:gutter="0" w:footer="0" w:header="0"/>
        </w:sectPr>
      </w:pPr>
    </w:p>
    <w:bookmarkStart w:id="96" w:name="page97"/>
    <w:bookmarkEnd w:id="9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individuals who are expected to serve as executive officers of GXO following the completion of the distribution. We are in the process of identifying the other persons who will be our executive officers following the completion of the distribution and will include information concerning those persons in an amendment to this information statement.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460" w:type="dxa"/>
            <w:vAlign w:val="bottom"/>
          </w:tcPr>
          <w:p>
            <w:pPr>
              <w:ind w:left="29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Baris Oran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143"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Baris Oran </w:t>
      </w:r>
      <w:r>
        <w:rPr>
          <w:rFonts w:ascii="Arial" w:cs="Arial" w:eastAsia="Arial" w:hAnsi="Arial"/>
          <w:sz w:val="18"/>
          <w:szCs w:val="18"/>
          <w:color w:val="auto"/>
        </w:rPr>
        <w:t>currently serves as chief financial officer of XPO’s Logistics segment. Mr. Oran joined XPO on May 14, 2021, having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of the Sabanci Group, one of Turkey’s largest publicly traded companies. Mr. Oran served as chief financial officer of Sabanci from 2016 to 2021, prior to which he held other senior finance roles at the company. Mr. Oran was previously employed by Kordsa Global, Ernst and Young, Sara Lee Corp, and Price Waterhouse Coopers. Mr. Oran also has significant board experience, including serving as executive chairman of Teknosa since 2019.</w:t>
      </w:r>
    </w:p>
    <w:p>
      <w:pPr>
        <w:spacing w:after="0" w:line="129"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Karlis Kirsis </w:t>
      </w:r>
      <w:r>
        <w:rPr>
          <w:rFonts w:ascii="Arial" w:cs="Arial" w:eastAsia="Arial" w:hAnsi="Arial"/>
          <w:sz w:val="18"/>
          <w:szCs w:val="18"/>
          <w:color w:val="auto"/>
        </w:rPr>
        <w:t>currently serves as senior vice president, European Chief Legal Officer, Corporate Secretary for XPO, a role he has held since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2020. In this role, Mr. Kirsis is responsible for advising senior executives and XPO’s board of directors on a wide range of strategic initiatives. Mr. Kirsis previously served in various roles at XPO, including senior vice president, Corporate Counsel, from July 2017 to February 2020, and vice president, Corporate and Securities Counsel, from September 2016 to July 2017. Prior to his time with XPO, Mr. Kirsis was a corporate associate with Skadden, Arps, Slate, Meagher &amp; Flom LLP from 2007 to 2016.</w:t>
      </w:r>
    </w:p>
    <w:p>
      <w:pPr>
        <w:spacing w:after="0" w:line="12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 xml:space="preserve">Maryclaire Hammond </w:t>
      </w:r>
      <w:r>
        <w:rPr>
          <w:rFonts w:ascii="Arial" w:cs="Arial" w:eastAsia="Arial" w:hAnsi="Arial"/>
          <w:sz w:val="16"/>
          <w:szCs w:val="16"/>
          <w:color w:val="auto"/>
        </w:rPr>
        <w:t>currently serves as senior vice president, human resources – Americas and Asia Pacific for XPO’s North American logistics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role she has held since September 2019. In this capacity, Ms. Hammond oversees the employment culture of more than 22,000 XPO employees at over 300 locations in the America’s and Asia Pacific. Prior to her time with XPO, Ms. Hammond was employed by Marathon Petroleum Company (formerly Andeavor) as a senior human resources director from August 2017 – September 2019, and before that as human resources director for BP North America. Additionally, she served as a Global Vice President of Human Resources with Honeywell in Rolle,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Directors Following the Distribution</w:t>
      </w:r>
    </w:p>
    <w:p>
      <w:pPr>
        <w:spacing w:after="0" w:line="17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Our amended and restated certificate of incorporation will provide for a classified board of directors, with members of each class serving staggered three-year terms. We will have two directors in Class I, three directors in Class II and three directors in Class III. Any additional directorships resulting from an increase in the number of directors will be distributed among the three classes so that, as nearly as possible, each class will consist of one-third of the directors. The terms of directors in Classes I, II and III end at the annual meetings in 2022, 2023 and 2024, as indicated below.</w:t>
      </w:r>
    </w:p>
    <w:p>
      <w:pPr>
        <w:spacing w:after="0" w:line="1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the completion of the distribution, commencing with the first annual meeting of stockholders following the distribution, directors for each class will be elected at the annual meeting of stockholders held in the year in which the term for that class expires and thereafter will serve for a term of three years. Commencing with the second annual meeting of stockholders after the completion of the distribution,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one-year terms, and our board will therefore no longer be divided into three classes.</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information regarding the individuals who are expected to serve on GXO’s board of directors following completion of the distribution and until their respective successors are duly elected and qualified. We are in the process of identifying the other persons who are expected to serve on GXO’s board of directors following the completion of the distribution and will include information concerning those persons in an amendment to this information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800" w:type="dxa"/>
            <w:vAlign w:val="bottom"/>
            <w:gridSpan w:val="2"/>
          </w:tcPr>
          <w:p>
            <w:pPr>
              <w:ind w:left="1600"/>
              <w:spacing w:after="0"/>
              <w:rPr>
                <w:sz w:val="20"/>
                <w:szCs w:val="20"/>
                <w:color w:val="auto"/>
              </w:rPr>
            </w:pPr>
            <w:r>
              <w:rPr>
                <w:rFonts w:ascii="Arial" w:cs="Arial" w:eastAsia="Arial" w:hAnsi="Arial"/>
                <w:sz w:val="14"/>
                <w:szCs w:val="14"/>
                <w:b w:val="1"/>
                <w:bCs w:val="1"/>
                <w:color w:val="auto"/>
              </w:rPr>
              <w:t>Position</w:t>
            </w:r>
          </w:p>
        </w:tc>
        <w:tc>
          <w:tcPr>
            <w:tcW w:w="4320" w:type="dxa"/>
            <w:vAlign w:val="bottom"/>
          </w:tcPr>
          <w:p>
            <w:pPr>
              <w:ind w:left="1980"/>
              <w:spacing w:after="0"/>
              <w:rPr>
                <w:sz w:val="20"/>
                <w:szCs w:val="20"/>
                <w:color w:val="auto"/>
              </w:rPr>
            </w:pPr>
            <w:r>
              <w:rPr>
                <w:rFonts w:ascii="Arial" w:cs="Arial" w:eastAsia="Arial" w:hAnsi="Arial"/>
                <w:sz w:val="14"/>
                <w:szCs w:val="14"/>
                <w:b w:val="1"/>
                <w:bCs w:val="1"/>
                <w:color w:val="auto"/>
              </w:rPr>
              <w:t>Class</w:t>
            </w:r>
          </w:p>
        </w:tc>
      </w:tr>
      <w:tr>
        <w:trPr>
          <w:trHeight w:val="229"/>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III—Expiring 2024</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Oren Shaffer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4320" w:type="dxa"/>
            <w:vAlign w:val="bottom"/>
          </w:tcPr>
          <w:p>
            <w:pPr>
              <w:spacing w:after="0"/>
              <w:rPr>
                <w:sz w:val="20"/>
                <w:szCs w:val="20"/>
                <w:color w:val="auto"/>
              </w:rPr>
            </w:pPr>
            <w:r>
              <w:rPr>
                <w:rFonts w:ascii="Arial" w:cs="Arial" w:eastAsia="Arial" w:hAnsi="Arial"/>
                <w:sz w:val="18"/>
                <w:szCs w:val="18"/>
                <w:color w:val="auto"/>
              </w:rPr>
              <w:t>Class III—Expiring 2024</w:t>
            </w: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Marlene Colucci</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Chair</w:t>
            </w: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Class III—Expiring 2024</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Gena Ashe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tcPr>
          <w:p>
            <w:pPr>
              <w:spacing w:after="0"/>
              <w:rPr>
                <w:sz w:val="20"/>
                <w:szCs w:val="20"/>
                <w:color w:val="auto"/>
              </w:rPr>
            </w:pPr>
            <w:r>
              <w:rPr>
                <w:rFonts w:ascii="Arial" w:cs="Arial" w:eastAsia="Arial" w:hAnsi="Arial"/>
                <w:sz w:val="18"/>
                <w:szCs w:val="18"/>
                <w:color w:val="auto"/>
              </w:rPr>
              <w:t>Class I—Expiring 2022</w:t>
            </w: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Clare Chatfield</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Class II—Expiring 2023</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Joli Gross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tcPr>
          <w:p>
            <w:pPr>
              <w:spacing w:after="0"/>
              <w:rPr>
                <w:sz w:val="20"/>
                <w:szCs w:val="20"/>
                <w:color w:val="auto"/>
              </w:rPr>
            </w:pPr>
            <w:r>
              <w:rPr>
                <w:rFonts w:ascii="Arial" w:cs="Arial" w:eastAsia="Arial" w:hAnsi="Arial"/>
                <w:sz w:val="18"/>
                <w:szCs w:val="18"/>
                <w:color w:val="auto"/>
              </w:rPr>
              <w:t>Class II—Expiring 2023</w:t>
            </w:r>
          </w:p>
        </w:tc>
      </w:tr>
      <w:tr>
        <w:trPr>
          <w:trHeight w:val="230"/>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Papastavrou</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Class II—Expiring 2023</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Malcolm Wilson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tcPr>
          <w:p>
            <w:pPr>
              <w:spacing w:after="0"/>
              <w:rPr>
                <w:sz w:val="20"/>
                <w:szCs w:val="20"/>
                <w:color w:val="auto"/>
              </w:rPr>
            </w:pPr>
            <w:r>
              <w:rPr>
                <w:rFonts w:ascii="Arial" w:cs="Arial" w:eastAsia="Arial" w:hAnsi="Arial"/>
                <w:sz w:val="18"/>
                <w:szCs w:val="18"/>
                <w:color w:val="auto"/>
              </w:rPr>
              <w:t>Class I—Expiring 2022</w:t>
            </w:r>
          </w:p>
        </w:tc>
      </w:tr>
    </w:tbl>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Brad Jacobs, </w:t>
      </w:r>
      <w:r>
        <w:rPr>
          <w:rFonts w:ascii="Arial" w:cs="Arial" w:eastAsia="Arial" w:hAnsi="Arial"/>
          <w:sz w:val="17"/>
          <w:szCs w:val="17"/>
          <w:color w:val="auto"/>
        </w:rPr>
        <w:t>chairman and chief executive officer of XPO Logistics, has started five companies from scratch and led each of them to become a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dollar or multi-billion dollar enterprise. These include XPO Logistics (NYSE: XPO) and two other publicly traded companies: United Rentals (NYSE: URI) and United Waste Systems. XPO Logistics and United Rentals were among the 20 best-performing stocks of the last decade. Prior to starting XPO in 2011, Mr. Jacobs founded United Rentals in 1997 and led the company for 10 years as chairman, including six years as chief executive officer. He founded United Waste Systems in 1989 and served eight years as chairman and chief executive officer.</w:t>
      </w:r>
    </w:p>
    <w:p>
      <w:pPr>
        <w:spacing w:after="0" w:line="114"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Oren Shaffer </w:t>
      </w:r>
      <w:r>
        <w:rPr>
          <w:rFonts w:ascii="Arial" w:cs="Arial" w:eastAsia="Arial" w:hAnsi="Arial"/>
          <w:sz w:val="18"/>
          <w:szCs w:val="18"/>
          <w:color w:val="auto"/>
        </w:rPr>
        <w:t>served as a director of XPO from September 2, 2011 until the separation. From 2002 to 2007, Mr. Shaffer was vice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Qwest Communications International, Inc. (now CenturyLink, Inc.). Previously, Mr. Shaffer was president and chief operating officer of Sorrento Networks, Inc., executive vice president and chief financial officer of Ameritech Corporation, and held senior executive positions with The Goodyear Tire &amp; Rubber Company, where he also served on the board of directors. Additionally, Mr. Shaffer served as a director on the board of Terex Corporation from 2007 until May 2019.</w:t>
      </w:r>
    </w:p>
    <w:p>
      <w:pPr>
        <w:spacing w:after="0" w:line="129" w:lineRule="exact"/>
        <w:rPr>
          <w:sz w:val="20"/>
          <w:szCs w:val="20"/>
          <w:color w:val="auto"/>
        </w:rPr>
      </w:pPr>
    </w:p>
    <w:p>
      <w:pPr>
        <w:jc w:val="both"/>
        <w:ind w:right="340" w:firstLine="324"/>
        <w:spacing w:after="0" w:line="266" w:lineRule="auto"/>
        <w:rPr>
          <w:sz w:val="20"/>
          <w:szCs w:val="20"/>
          <w:color w:val="auto"/>
        </w:rPr>
      </w:pPr>
      <w:r>
        <w:rPr>
          <w:rFonts w:ascii="Arial" w:cs="Arial" w:eastAsia="Arial" w:hAnsi="Arial"/>
          <w:sz w:val="18"/>
          <w:szCs w:val="18"/>
          <w:b w:val="1"/>
          <w:bCs w:val="1"/>
          <w:color w:val="auto"/>
        </w:rPr>
        <w:t xml:space="preserve">Marlene Colucci </w:t>
      </w:r>
      <w:r>
        <w:rPr>
          <w:rFonts w:ascii="Arial" w:cs="Arial" w:eastAsia="Arial" w:hAnsi="Arial"/>
          <w:sz w:val="18"/>
          <w:szCs w:val="18"/>
          <w:color w:val="auto"/>
        </w:rPr>
        <w:t>served as a director of XPO from February 7, 2019 until the separation. She has served as the executive director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in Washington, D.C. since July 2013. Previously, from September 2005 to June 2013, she was executive vice president of public policy for the American Hotel &amp; Lodging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September 2003 to June 2005, she served in the White House as special assistant to President George W. Bush in the Office of Domestic Policy. In this role, she developed labor, transportation and postal reform policies and advised the president and his staff on related matters. Earlier, Ms. Colucci served as deputy assistant secretary with the U.S. Department of Labor’s Office of Congressional and Intergovernmental Affairs. Her law career includes more than 12 years with the firm of Akin Gump Strauss Hauer &amp; Feld LLP, where she served as senior counsel.</w:t>
      </w:r>
    </w:p>
    <w:p>
      <w:pPr>
        <w:spacing w:after="0" w:line="11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Gena Ashe </w:t>
      </w:r>
      <w:r>
        <w:rPr>
          <w:rFonts w:ascii="Arial" w:cs="Arial" w:eastAsia="Arial" w:hAnsi="Arial"/>
          <w:sz w:val="17"/>
          <w:szCs w:val="17"/>
          <w:color w:val="auto"/>
        </w:rPr>
        <w:t>served as a director of XPO from March 21, 2016 until the separation. She has served as the general counsel and corporate secretary of</w:t>
      </w:r>
      <w:r>
        <w:rPr>
          <w:rFonts w:ascii="Arial" w:cs="Arial" w:eastAsia="Arial" w:hAnsi="Arial"/>
          <w:sz w:val="17"/>
          <w:szCs w:val="17"/>
          <w:b w:val="1"/>
          <w:bCs w:val="1"/>
          <w:color w:val="auto"/>
        </w:rPr>
        <w:t xml:space="preserve"> </w:t>
      </w:r>
      <w:r>
        <w:rPr>
          <w:rFonts w:ascii="Arial" w:cs="Arial" w:eastAsia="Arial" w:hAnsi="Arial"/>
          <w:sz w:val="17"/>
          <w:szCs w:val="17"/>
          <w:color w:val="auto"/>
        </w:rPr>
        <w:t>Anterix Inc. since July 2019, and as the president and chief executive officer of GLA Legal Advisory Group, LLC since February 2018. She was senior vice president, chief legal officer and corporate secretary of Adtalem Global Education Inc. from May 2017 to February 2018, and executive vice president, chief legal officer, and corporate secretary of BrightView Landscapes, LLC (formerly The Brickman Group, Ltd. LLC) from December 2012 to June 2016. Ms. Ashe served as vice-chairman of the Supervisory Board of XPO Logistics Europe S.A., XPO’s majority-owned subsidiary, from February 2017 until June 2021. In addition, she has served as a director of the Executive Leadership Council since February 2020 and American Landscape Partners, LLC since January 2021. Ms. Ashe also sits on the Board of Trustees of Spelman College.</w:t>
      </w:r>
    </w:p>
    <w:p>
      <w:pPr>
        <w:spacing w:after="0" w:line="11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Clare Chatfield </w:t>
      </w:r>
      <w:r>
        <w:rPr>
          <w:rFonts w:ascii="Arial" w:cs="Arial" w:eastAsia="Arial" w:hAnsi="Arial"/>
          <w:sz w:val="17"/>
          <w:szCs w:val="17"/>
          <w:color w:val="auto"/>
        </w:rPr>
        <w:t>is a senior partner at L.E.K. Consulting and head of L.E.K.’s Energy &amp; Environment Practice. Ms. Chatfield has worked at L.E.K.</w:t>
      </w:r>
      <w:r>
        <w:rPr>
          <w:rFonts w:ascii="Arial" w:cs="Arial" w:eastAsia="Arial" w:hAnsi="Arial"/>
          <w:sz w:val="17"/>
          <w:szCs w:val="17"/>
          <w:b w:val="1"/>
          <w:bCs w:val="1"/>
          <w:color w:val="auto"/>
        </w:rPr>
        <w:t xml:space="preserve"> </w:t>
      </w:r>
      <w:r>
        <w:rPr>
          <w:rFonts w:ascii="Arial" w:cs="Arial" w:eastAsia="Arial" w:hAnsi="Arial"/>
          <w:sz w:val="17"/>
          <w:szCs w:val="17"/>
          <w:color w:val="auto"/>
        </w:rPr>
        <w:t>since 1990, and has led its Energy and Environment Practice since 2000. Since 2016, Ms. Chatfield has served as a non-executive director of the Savencia Group and the president of its remuneration committee, and as a non-executive director of Daher Group and a member of Daher Group’s audit committee. From 2016 until June 2021, Ms. Chatfield served as a non-executive director of XPO Logistics Europe and as the president of its audit committee. From 2017 until 2020, Ms. Chatfield served as a non-executive director of the Antalis Group.</w:t>
      </w:r>
    </w:p>
    <w:p>
      <w:pPr>
        <w:spacing w:after="0" w:line="114"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b w:val="1"/>
          <w:bCs w:val="1"/>
          <w:color w:val="auto"/>
        </w:rPr>
        <w:t xml:space="preserve">Joli Gross </w:t>
      </w:r>
      <w:r>
        <w:rPr>
          <w:rFonts w:ascii="Arial" w:cs="Arial" w:eastAsia="Arial" w:hAnsi="Arial"/>
          <w:sz w:val="18"/>
          <w:szCs w:val="18"/>
          <w:color w:val="auto"/>
        </w:rPr>
        <w:t>is senior vice president, general counsel and corporate secretary, of United Rentals, Inc., a role she has held since May 2017. Prior to 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role at United Rentals, Ms. Gross held various positions in the organization, including deputy general counsel and corporate secretary (January 2016-May 2017), deputy general counsel and assistant secretary (March 2011-January 2016), associate general counsel and assistant secretary (August 2006-March 2011), and director, legal affairs - real estate &amp; contracts (August 2002-August 2006). Ms. Gross currently serves on the executive board of Family Centers.</w:t>
      </w:r>
    </w:p>
    <w:p>
      <w:pPr>
        <w:spacing w:after="0" w:line="129"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Jason Papastavrou </w:t>
      </w:r>
      <w:r>
        <w:rPr>
          <w:rFonts w:ascii="Arial" w:cs="Arial" w:eastAsia="Arial" w:hAnsi="Arial"/>
          <w:sz w:val="18"/>
          <w:szCs w:val="18"/>
          <w:color w:val="auto"/>
        </w:rPr>
        <w:t>served as a director of XPO from September 2, 2011 until the separation. He founded ARIS Capital Management, LLC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serves as its chief investment officer. Previously, Dr. Papastavrou was the founder and managing director of the Fund of Hedge Funds Strategies Group of Banc of America Capital Management (BACAP), president of BACAP Alternative Advisors, and a senior portfolio manager with Deutsche Asset Management. He was previously a tenured professor at Purdue University School of Industrial Engineering and also served on the board of directors of United Rentals, Inc. (NYSE: URI) from April 2005 to May 2020.</w:t>
      </w:r>
    </w:p>
    <w:p>
      <w:pPr>
        <w:spacing w:after="0" w:line="129"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our Corporate Governance Guidelines (“Guidelines”), our board of directors will be responsible for making independence determinations annually with the assistance of the Nominating, Corporate Governance and Sustainability Committee. Such independence determinations will be made by reference to the independence standard under the Guidelines and the definition of “independent director” under Section 303A.02 of the NYSE Listed Company Manual.</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to the independence standards provided in the Guidelines, our board of directors will be responsible for determining that each director who serves on our Audit Committee satisfies standards established by the SEC providing that, to qualify as “independent” for the purposes of membership on that committee, members of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committees may not: (i) accept directly or indirectly any consulting, advisory or other compensatory fee from GXO other than their director compensation, or (ii) be an affiliated person of GXO or any of its subsidiaries. Our board of directors will also determine that each member of the Compensation Committee satisfies the NYSE standards for independence of Compensation Committee members. Additionally, our board of directors will determine that each member of the Nominating, Corporate Governance and Sustainability Committee satisfies the NYSE standards for independence. In making the independence determinations for each director, our board of directors and the Nominating, Corporate Governance and Sustainability Committee will analyze certain relationships of the directors that are not required to be disclosed pursuant to Item 404(a) of Regulation S-K.</w:t>
      </w:r>
    </w:p>
    <w:p>
      <w:pPr>
        <w:spacing w:after="0" w:line="110"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board is expected to affirmatively determine that all the directors are independent except Mr. Jacobs. In the course of its determination regarding independence, the board is expected not to find any material relationships between GXO and any of the directors, other than Mr. Jacobs’ role as the Chief Executive Officer of XPO and Mr. Wilson’s role as the Chief Executive Officer of GXO.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Effective upon the completion of the distribution, our board of directors will have the following three standing committees: an Audit Committee, Compensation Committee, and a Nominating, Corporate Governance and Sustainability Committee. The board is expected to adopt written charters for each committee, which will be available on our website.</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Each of the Audit Committee, the Compensation Committee, and the Nominating, Corporate Governance and Sustainability Committee is expected to be composed solely of directors who have been determined by the board to be independent in accordance with SEC regulations, NYSE listing standards and the independence standards under our Guidelines (including the heightened independence standards for members of the Audit Committee and the Compensation Committee).</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Following the completion of the distribution, the members of the Audit Committee are expected to be Oren Shaffer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Gena Ashe and Clare Chatfield. GXO’s board of directors is expected to determine that Mr. Shaffer is an “audit committee financial expert” for purposes of the rules of the SEC, and that each member of the Audit Committee is financially literate as required by the rules of the New York Stock Exchange. Our Audit Committee will be established in accordance with Section 3(a)(58)(A) of the Exchange Act, to assist our board in 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 party transactions. Each member of the Audit Committee will be required to: (i) satisfy all applicable independence standards, (ii) not have participated in the preparation of our financial statements at any time during the past three years and (iii) be able to read and understand fundamental financial statements.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Following the completion of the distribution, the members of the Compensation Committee are expected to be Jason</w:t>
      </w:r>
      <w:r>
        <w:rPr>
          <w:rFonts w:ascii="Arial" w:cs="Arial" w:eastAsia="Arial" w:hAnsi="Arial"/>
          <w:sz w:val="18"/>
          <w:szCs w:val="18"/>
          <w:i w:val="1"/>
          <w:iCs w:val="1"/>
          <w:color w:val="auto"/>
        </w:rPr>
        <w:t xml:space="preserve"> </w:t>
      </w:r>
      <w:r>
        <w:rPr>
          <w:rFonts w:ascii="Arial" w:cs="Arial" w:eastAsia="Arial" w:hAnsi="Arial"/>
          <w:sz w:val="18"/>
          <w:szCs w:val="18"/>
          <w:color w:val="auto"/>
        </w:rPr>
        <w:t>Papastavrou (Chairman), Marlene Colucci and Joli Gross. GXO’s board of directors is expected to determine that each member of the Compensation Committee will be independent, as defined by the rules of the New York Stock Exchange and in accordance with GXO’s Corporate Governance Guidelines. The primary responsibilities of the Compensation Committee will be, among other things: (i) to oversee the administration 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 oversee the work of such consultants.</w:t>
      </w:r>
    </w:p>
    <w:p>
      <w:pPr>
        <w:spacing w:after="0" w:line="141"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i w:val="1"/>
          <w:iCs w:val="1"/>
          <w:color w:val="auto"/>
        </w:rPr>
        <w:t>Nominating, Corporate Governance and Sustainability Committee</w:t>
      </w:r>
      <w:r>
        <w:rPr>
          <w:rFonts w:ascii="Arial" w:cs="Arial" w:eastAsia="Arial" w:hAnsi="Arial"/>
          <w:sz w:val="16"/>
          <w:szCs w:val="16"/>
          <w:color w:val="auto"/>
        </w:rPr>
        <w:t>. Following the completion of the distribution, the members of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and Sustainability Committee are expected to be Joli Gross (Chair), Marlene Colucci and Jason Papastavrou. GXO’s board of directors is expected to determine that each of the members of the Nominating, Corporate Governance and Sustainability Committee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independent, as defined by the rules of the New York Stock Exchange and in accordance with the company’s Corporate Governance Guidelines. The primary responsibilities of the Nominating, and Corporate Governance and Sustainability Committee will be, among other things: (i) to identify individuals qualified to become directors and recommend that our board select such individuals to be presented for stockholder consideration at the annual meeting or to be appointed by the board to fill a vacancy, (ii) to make recommendations to our board concerning committee appointments, (iii) to develop, recommend to our board and annually review the Guidelines and oversee corporate governance matters and (iv) to oversee an annual evaluation of our board and committees.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Pay Decisions and Assess Our Compensation Programs</w:t>
      </w:r>
    </w:p>
    <w:p>
      <w:pPr>
        <w:spacing w:after="0" w:line="17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During our fiscal year ended December 31, 2020, GXO was not an independent company and did not have a compensation committee or any other committee serving a similar function. Decisions as to the compensation of those who currently serve as our executive officers were made by XPO, as described in the section of this information statement titled “Compensation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Commitment to Sound Corporate Governance</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GXO will be committed to strong corporate governance practices designed to maintain high standards of independent oversight, accountability, integrity and ethics while promoting long-term growth in stockholder value.</w:t>
      </w:r>
    </w:p>
    <w:p>
      <w:pPr>
        <w:spacing w:after="0" w:line="11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governance structure will enable independent, experienced and accomplished directors to provide advice, insight and oversight to advance the interests of GXO and our stockholders. GXO will strive to maintain sound governance standards, to be reflected in our Code of Business Ethics, Corporate Governance Guidelines, our systematic approach to risk management and our commitment to transparent financial reporting and strong internal controls.</w:t>
      </w:r>
    </w:p>
    <w:p>
      <w:pPr>
        <w:spacing w:after="0" w:line="95" w:lineRule="exact"/>
        <w:rPr>
          <w:sz w:val="20"/>
          <w:szCs w:val="20"/>
          <w:color w:val="auto"/>
        </w:rPr>
      </w:pPr>
    </w:p>
    <w:p>
      <w:pPr>
        <w:ind w:right="1420" w:firstLine="324"/>
        <w:spacing w:after="0" w:line="277" w:lineRule="auto"/>
        <w:rPr>
          <w:sz w:val="20"/>
          <w:szCs w:val="20"/>
          <w:color w:val="auto"/>
        </w:rPr>
      </w:pPr>
      <w:r>
        <w:rPr>
          <w:rFonts w:ascii="Arial" w:cs="Arial" w:eastAsia="Arial" w:hAnsi="Arial"/>
          <w:sz w:val="18"/>
          <w:szCs w:val="18"/>
          <w:color w:val="auto"/>
        </w:rPr>
        <w:t xml:space="preserve">The following documents, as well as additional corporate governance information and materials, will be available on our website at </w:t>
      </w:r>
      <w:r>
        <w:rPr>
          <w:rFonts w:ascii="Arial" w:cs="Arial" w:eastAsia="Arial" w:hAnsi="Arial"/>
          <w:sz w:val="18"/>
          <w:szCs w:val="18"/>
          <w:i w:val="1"/>
          <w:iCs w:val="1"/>
          <w:color w:val="auto"/>
        </w:rPr>
        <w:t>www.gxo.com/investors</w:t>
      </w:r>
      <w:r>
        <w:rPr>
          <w:rFonts w:ascii="Arial" w:cs="Arial" w:eastAsia="Arial" w:hAnsi="Arial"/>
          <w:sz w:val="18"/>
          <w:szCs w:val="18"/>
          <w:color w:val="auto"/>
        </w:rPr>
        <w:t>:</w:t>
      </w:r>
    </w:p>
    <w:p>
      <w:pPr>
        <w:spacing w:after="0" w:line="11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Amended and Restated Certificate of Incorporation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Insider Trading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Code of Business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Related Person Transaction Approval Policy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addition, the following documents will be available on our website at </w:t>
      </w:r>
      <w:r>
        <w:rPr>
          <w:rFonts w:ascii="Arial" w:cs="Arial" w:eastAsia="Arial" w:hAnsi="Arial"/>
          <w:sz w:val="18"/>
          <w:szCs w:val="18"/>
          <w:i w:val="1"/>
          <w:iCs w:val="1"/>
          <w:color w:val="auto"/>
        </w:rPr>
        <w:t>www.gxo.com/investors</w:t>
      </w:r>
      <w:r>
        <w:rPr>
          <w:rFonts w:ascii="Arial" w:cs="Arial" w:eastAsia="Arial" w:hAnsi="Arial"/>
          <w:sz w:val="18"/>
          <w:szCs w:val="18"/>
          <w:color w:val="auto"/>
        </w:rPr>
        <w:t>:</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Charters of each of our board committees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Copies of these documents will also available in print form at no charge by sending a request to GXO Logistics, Inc., Two American Lane, Greenwich, CT 06831, Attention: Investor Relations.</w:t>
      </w:r>
    </w:p>
    <w:p>
      <w:pPr>
        <w:spacing w:after="0" w:line="112"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The GXO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Board and Board Leadership Structure</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Nominating, Corporate Governance and Sustainability Committee is expected to routinely review our governance practices and board leadership structure to ensure that it continues to serve GXO’s best interests and the best interests of our stockholders.</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the completion of the distribution, it is expected that Brad Jacobs will serve as GXO’s Chairman. To ensure independent oversight and decision-making, GXO will also have a Lead Independent Director and a Vice Chair.</w:t>
      </w:r>
    </w:p>
    <w:p>
      <w:pPr>
        <w:spacing w:after="0" w:line="1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our Corporate Governance Guidelines to be adopted in connection with the distribution, the independent directors will designate a Lead Independent Director to, among other things, preside over meetings of the board of directors at which the Chairman is not present and at executive sessions of the independent directors, and to serve as a liaison between the Chairman and the independent directors. It is expected that Oren Shaffer will serve as the Lead Independent Director as of the completion of the distribution.</w:t>
      </w:r>
    </w:p>
    <w:p>
      <w:pPr>
        <w:spacing w:after="0" w:line="13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Additionally, the board of directors will appoint a Vice Chair responsible for, among other things, presiding at meetings of the board of directors where the Chairman and Lead Independent Director are not present; assisting the Chairman, when appropriate, in carrying out his or her duties; assisting the Lead Independent Director, when appropriate, in carrying out his or her duties; and such other duties, responsibilities and assistance as the board of directors or the Chairman may determine. It is expected that Marlene Colucci will serve as the Vice Chair as of the completion of the distribution.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Following the completion of the distribution, our board of directors will hold regular and special meetings throughout each calendar year. In conjunction with those meetings, executive sessions, which are meetings of the independent directors, will be regularly scheduled throughout the year. Our Lead Independent Director will preside over the executive sessions of the board.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board will annually assess the effectiveness of the full board, the operations of its committees and the contributions of director nominees. The Nominating, Corporate Governance and Sustainability Committee will oversee the evaluation of the board as a whole and its committees, as well as individual evaluations of those directors who are being considered for possible re-nomination to the board.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Nominating, Corporate Governance and Sustainability Committee will be responsible for recommending to our board all nominees for election to the board, including nominees for re-election to the board, in each case, after consultation with the Chairman of the board. Subject to the foregoing, in considering new nominees for election to our board, the Nominating, Corporate Governance and Sustainability Committee will consider, among other things, breadth of experience, financial expertise, wisdom, integrity, an ability to make independent analytical inquiries, an understanding of our company’s business environment, knowledge and experience in such areas as technology and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When searching for new directors, our board will endeavor to actively seek out highly qualified women and individuals from underrepresented minorities to include in the pool from which board nominees are chosen. Our board will aim to create a team of directors with diverse experiences and perspectives to provide our global company with thoughtful and engaged board oversight. The Nominating, Corporate Governance and Sustainability Committee will assess the effectiveness of its diversity efforts through periodic evaluations of the board’s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The Nominating, Corporate Governance and Sustainability Committee will be able to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nominees.</w:t>
      </w:r>
    </w:p>
    <w:p>
      <w:pPr>
        <w:spacing w:after="0" w:line="9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will consider nominees submitted by our stockholders, subject to the same factors that are brought to bear when it considers nominees referred by other sources. Our stockholders will be permitted to nominate candidates for election as directors by following the procedures set forth in our amended and restated bylaws, which are summarized below.</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amended and restated bylaws will provide that a stockholder who wishes to nominate an individual for election as a director at our annual meeting must give us advance written notice. The notice will be required to be delivered to or mailed and received by the secretary of our company not less than 90 days, and not more than 120 days, prior to the earlier of the date of the annual meeting and the first anniversary of the preceding year’s annual meeting. As more specifically provided in our amended and restated bylaws, any nomination will be required to include, among other information: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such proposed director nominee that would be required to be provided in a proxy statement prepared in accordance with applicable SEC rules and (iv) the consent of the proposed candidate to serve as a member of our board.</w:t>
      </w:r>
    </w:p>
    <w:p>
      <w:pPr>
        <w:spacing w:after="0" w:line="12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Any stockholder who wishes to nominate a potential director candidate will be required to follow the specific requirements set forth in our amended and restated bylaws, a copy of which will be available in print form at no charge by sending a request to GXO Logistics, Inc., Two American Lane, Greenwich, CT 06831, Attention: Investor Relations.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Risk Oversight</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board will provide overall risk oversight, with a focus on the most significant risks facing our company. In addition, our board will be responsible for ensuring that appropriate crisis management and business continuity plans are in place. The management of risks to our business, and the execution of contingency plans, will be primarily the responsibility of our senior management team.</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and senior management team will regularly discuss the company’s business strategy, operations, policies, controls, prospects and current and potential risks. Our board will delegate responsibility for the oversight of specific risks special to committees as follows: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will oversee the policies that govern the process by which our exposure to risk is assessed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that role, the Audit Committee will be responsible for discussing with our management major financial risk exposures and the steps taken by management to monitor and control these exposures. The Audit Committee will also be responsible for reviewing risks arising from related party transactions involving our company and for overseeing our company-wide Code of Business Ethics and overall compliance with legal and regulatory requirements.</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will monitor the risks associated with our compensation philosophy and programs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has a compensation structure that strikes an appropriate balance between motivating our senior executives to deliver long-term results for the company’s stockholders and simultaneously holding our senior leadership team accountable.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Nominating, Corporate Governance and Sustainability Committee</w:t>
      </w:r>
      <w:r>
        <w:rPr>
          <w:rFonts w:ascii="Arial" w:cs="Arial" w:eastAsia="Arial" w:hAnsi="Arial"/>
          <w:sz w:val="18"/>
          <w:szCs w:val="18"/>
          <w:color w:val="auto"/>
        </w:rPr>
        <w:t>. The Nominating, Corporate Governance and Sustainability Committee will oversee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governance structure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Guidelines and Code of Business Ethics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will remain committed to sound corporate governance principles and practices. The Chairman of the board will provide support on key governance matters and stockholder engagement to the board as well as providing strategic guidance to GXO’s executive management team.</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Guidelines will serve as a framework within which our board will conduct its operations. Among other things, the Guidelines will include criteria for determining the qualifications and independence of the members of our board, requirements for the standing committees of our board, responsibilities for members of our board and an annual evaluation of the effectiveness of our board and its committees. The Nominating, Corporate Governance and Sustainability Committee will be responsible for reviewing the Guidelines annually, or more frequently as appropriate, and recommending to our board appropriate changes in light of applicable laws and regulations, the governance standards identified by leading governance authorities and our company’s evolving needs.</w:t>
      </w:r>
    </w:p>
    <w:p>
      <w:pPr>
        <w:spacing w:after="0" w:line="13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Code of Business Ethics will apply to our directors and executive officers. This code will be designed to deter wrongdoing, to promote the honest and ethical conduct of all employees and to promote compliance with applicable governmental laws, rules and regulations, as well as to provide clear channels for reporting concerns. The Code of Business Ethics will constitute a “code of ethics” as defined in Item 406(b) of Regulation S-K. We intend to satisfy the disclosure requirements under applicable SEC rules relating to amendments to the Code of Business Ethics or waivers from any provision thereof applicable to our principal executive officer, our principal financial officer and our principal accounting officer by posting such information on our website pursuant to SEC rules.</w:t>
      </w:r>
    </w:p>
    <w:p>
      <w:pPr>
        <w:spacing w:after="0" w:line="13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 xml:space="preserve">The Guidelines and our Code of Business Ethics will be available on our website at </w:t>
      </w:r>
      <w:r>
        <w:rPr>
          <w:rFonts w:ascii="Arial" w:cs="Arial" w:eastAsia="Arial" w:hAnsi="Arial"/>
          <w:sz w:val="16"/>
          <w:szCs w:val="16"/>
          <w:i w:val="1"/>
          <w:iCs w:val="1"/>
          <w:color w:val="auto"/>
        </w:rPr>
        <w:t>www.gxo.com/investors</w:t>
      </w:r>
      <w:r>
        <w:rPr>
          <w:rFonts w:ascii="Arial" w:cs="Arial" w:eastAsia="Arial" w:hAnsi="Arial"/>
          <w:sz w:val="16"/>
          <w:szCs w:val="16"/>
          <w:color w:val="auto"/>
        </w:rPr>
        <w:t>. Copies of these documents will also be available in print form at no charge by sending a request to GXO Logistics, Inc., Two American Lane, Greenwich, CT 06831, Attention: Investor Relations.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Communication with the Board</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GXO’s Corporate Governance Guidelines will include procedures by which stockholders and other interested parties may communicate with our board of directors, any board committee, any individual director, including our Lead Independent Director and Vice Chair, or any group of directors (such as our independent directors) by sending written correspondence to: board of directors c/o Secretary, GXO Logistics, Inc., Two American Lane, Greenwich, CT 06831. We will not forward communications to the board that qualify as spam, junk mail, mass mailings, resumes or other forms of job inquiries, surveys, business solicitations or advertisements.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GXO will have a written Related Person Transaction Approval Policy regarding the review, approval and ratification of transactions between GXO and related persons. The policy will apply to any transaction in which GXO or a GXO subsidiary is a participant, the amount involved exceeds $120,000 and a related person has a direct or indirect material interest. A related person will mean any director or executive officer of GXO, any nominee for director, any stockholder known to GXO to be the beneficial owner of more than 5% of any class of GXO’s voting securities, and any immediate family member of any such person.</w:t>
      </w:r>
    </w:p>
    <w:p>
      <w:pPr>
        <w:spacing w:after="0" w:line="13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Under this policy, reviews will be conducted by management to determine which transactions or relationships should be referred to the Audit Committee for consideration. The Audit Committee will then review the material facts and circumstances regarding a transaction and determine whether to approve, ratify, revise or reject a related person transaction, or to refer it to the full board or another committee of the board for consideration. GXO’s Related Person Transaction Approval Policy will operate in conjunction with other aspects of GXO’s compliance program, including its Business Conduct Policies, which will require that all directors, officers and employees have a duty to be free from the influence of any conflict of interest when they represent GXO in negotiations or make recommendations with respect to dealings with third parties, or otherwise carry out their duties with respect to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board is expected to consider the following types of potential related person transactions and pre-approve them under GXO’s Related Person Transaction Approval Policy as not presenting material conflicts of interest:</w:t>
      </w:r>
    </w:p>
    <w:p>
      <w:pPr>
        <w:spacing w:after="0" w:line="116" w:lineRule="exact"/>
        <w:rPr>
          <w:sz w:val="20"/>
          <w:szCs w:val="20"/>
          <w:color w:val="auto"/>
        </w:rPr>
      </w:pPr>
    </w:p>
    <w:p>
      <w:pPr>
        <w:ind w:left="660" w:right="140" w:hanging="328"/>
        <w:spacing w:after="0" w:line="342"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employment of GXO executive officers (except employment of a GXO executive officer that is an immediate family member of another GXO executive officer, director, or nominee for director) as long as the Compensation Committee has approved the executive officers’ compensation;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 compensation that the board has approved;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transaction with another entity in which the aggregate amount involved does not exceed the greater of $1,000,000 or 2% of the other entity’s total annual revenues, if a related person’s interest arises only from:</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person’s position as an employee or executive officer of the other entity;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person’s position as a director of the other entity; or</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ownership by such person, together with his or her immediate family members, of less than a 10% equity interest in the aggregate in the other entity (other than a partnership);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both such position as a director and ownership as described above; or</w:t>
      </w:r>
    </w:p>
    <w:p>
      <w:pPr>
        <w:spacing w:after="0" w:line="171" w:lineRule="exact"/>
        <w:rPr>
          <w:rFonts w:ascii="Arial" w:cs="Arial" w:eastAsia="Arial" w:hAnsi="Arial"/>
          <w:sz w:val="18"/>
          <w:szCs w:val="18"/>
          <w:color w:val="auto"/>
        </w:rPr>
      </w:pPr>
    </w:p>
    <w:p>
      <w:pPr>
        <w:ind w:left="980" w:right="100" w:hanging="324"/>
        <w:spacing w:after="0" w:line="277" w:lineRule="auto"/>
        <w:tabs>
          <w:tab w:leader="none" w:pos="9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person’s position as a limited partner in a partnership in which the person, together with his or her immediate family members, have an interest of less than 10%;</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charitable contributions in which a related person’s only relationship is as an employee (other than an executive officer), or a director or trustee, if the aggregate amount involved does not exceed the greater of $250,000 or 2% of the charitable organization’s total annual receipts;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such as the receipt of dividends, in which all stockholders receive proportional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involving competitive bids;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involving the rendering of services as a common or contract carrier, or public utility, at rates or charges fixed in conformity with law or governmental authority;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with a related person involving services as a bank depositary of funds, transfer agent, registrar, trustee under a trust indenture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elsewhere in this information statement, XPO is separating into two publicly traded companies, XPO and GXO. GXO is currently a subsidiary of XPO and is not yet an independent company, and its compensation committee has not yet been formed. Following the separation and distribution, GXO will have its own executive officers and its own compensation committee of the GXO Board (the “GXO Compensation Committee”). As of the date of this information, the following individuals are expected to serve as executive officers of GXO in the positions set forth below effective as of the separation and distribution:</w:t>
      </w:r>
    </w:p>
    <w:p>
      <w:pPr>
        <w:spacing w:after="0" w:line="13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Malcolm Wilson,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Baris Oran,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Karlis Kirsis, Chief Legal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Maryclaire Hammond, Chief Human Resources Officer</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section discusses the compensation policies and practices that are expected to apply to the identified GXO executive officers after the separation and distribution. These policies and practices remain subject to the review and approval by the GXO Compensation Committee after the separation and distribution. This section also contains a description of certain GXO executive compensation arrangements that are expected to become effective upon the occurrence of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Philosophy and Executive Compensation Program Objectives</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XPO’s executive compensation philosophy is founded on the following core objectives, which we expect to be the core objectives of GXO’s compensation philosophy:</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Attract high-impact, results-oriented executives in a competitive job market who will contribute to our goal of maximizing stockholder value.</w:t>
      </w:r>
    </w:p>
    <w:p>
      <w:pPr>
        <w:spacing w:after="0" w:line="182"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Ensure that each executive receives total compensation that encourages his or her long-term retention through business and individual performance assessments, coupled with market benchmarking.</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executive focus on the company’s top priorities of profitable growth, innovation, operational excellence and customer satisfaction, as well as increased focus on ESG matters including employee safety and engagement.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Set ambitious targets that incentivize our executives to drive long-term stockholder value creation without unnecessary risk.</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by emphasizing high growth and high returns in our long-term, performance-based incentives.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 stockholder feedback into our Compensation Committee’s decision-making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Governance Framework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Policies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believe that executive equity ownership in the company mitigates a number of risks, including risks related to executive attrition and undue risk-taking. It is expected that GXO’s executive stock ownership guidelines will initially be consistent with XPO’s executive stock ownership guidelines and will therefore be expressed as a multiple of each GXO named executive officer’s annual base salary as follows:</w:t>
      </w:r>
    </w:p>
    <w:p>
      <w:pPr>
        <w:spacing w:after="0" w:line="11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Chief Executive Officer: 6x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GXO Named Executive Officers: 3x annual base salary</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Compliance with GXO’s stock ownership guidelines will be determined using the aggregate count of shares of common stock held directly or indirectly by the GXO named executive officer, plus unvested restricted stock units subject solely to time-based vesting. Stock options, whether vested or unvested, and equity-based awards subject to performance-based vesting conditions, will not be counted toward meeting stock ownership guidelines until they have settled or been exercised, as applicable.</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the stock ownership guidelines are met, a named executive officer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 Policy</w:t>
      </w:r>
    </w:p>
    <w:p>
      <w:pPr>
        <w:spacing w:after="0" w:line="17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XPO’s named executive officers are subject to clawback restrictions with respect to long-term and annual short-term incentive compensation as described below. The Compensation Committee of XPO’s Board of Directors (the “</w:t>
      </w:r>
      <w:r>
        <w:rPr>
          <w:rFonts w:ascii="Arial" w:cs="Arial" w:eastAsia="Arial" w:hAnsi="Arial"/>
          <w:sz w:val="17"/>
          <w:szCs w:val="17"/>
          <w:u w:val="single" w:color="auto"/>
          <w:color w:val="auto"/>
        </w:rPr>
        <w:t>XPO Compensation Committee</w:t>
      </w:r>
      <w:r>
        <w:rPr>
          <w:rFonts w:ascii="Arial" w:cs="Arial" w:eastAsia="Arial" w:hAnsi="Arial"/>
          <w:sz w:val="17"/>
          <w:szCs w:val="17"/>
          <w:color w:val="auto"/>
        </w:rPr>
        <w:t>”) is focused on mitigating risk associated with XPO’s compensation program for XPO named executive officers and believes that clawback provisions are an important tool to achieve this. We expect that GXO will adopt a clawback policy with similar terms, which will be set forth in the GXO equity award agreements.</w:t>
      </w:r>
    </w:p>
    <w:p>
      <w:pPr>
        <w:spacing w:after="0" w:line="11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XPO named executive officer employment agreements include a clawback provision under which the XPO named executive officer may be required, upon certain triggering events, to repay all or a portion of long-term incentive compensation that was previously paid (including proceeds from previously-exercised and vested equity-based awards) and to forfeit unvested equity-based awards during the term of the employment agreements. These clawback provisions are generally triggered if any of the following conditions apply—the XPO named executive officer:</w:t>
      </w:r>
    </w:p>
    <w:p>
      <w:pPr>
        <w:spacing w:after="0" w:line="103" w:lineRule="exact"/>
        <w:rPr>
          <w:sz w:val="20"/>
          <w:szCs w:val="20"/>
          <w:color w:val="auto"/>
        </w:rPr>
      </w:pPr>
    </w:p>
    <w:p>
      <w:pPr>
        <w:ind w:left="660" w:right="2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engaged in fraud or other willful misconduct that contributes materially to any significant financial restatement or material loss to XPO or any of XPO’s affiliates;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terminated for cause, as defined in the employment agreement;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Breaches the restrictive covenants that are applicable under the employment agreement.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if an XPO named executive officer has engaged in fraud or other willful misconduct that contributes materially to any financial restatement or material loss to the company or any of its affiliates, XPO may: (i) require repayment by the XPO named executive officer of any cash bonus or annual bonus previously paid, net of any taxes paid by the XPO named executive officer on such bonus; (ii) cancel any earned but unpaid cash bonus or annual bonus; and/or (iii) adjust the XPO named executive officer’s future compensation in order to recover an appropriate amount with respect to the restated financial results or the material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Process for Determining Executive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expect that the GXO Compensation Committee will adopt a similar role to the role of the XPO Compensation Committee following the separation and distribution. The XPO Compensation Committee is responsible for approving XPO’s compensation practices and overseeing XPO’s executive compensation program in a manner consistent with XPO’s compensation philosophy. The XPO Compensation Committee is tasked with: (i) reviewing the annual and long-term performance goals for XPO Executive Officers (ii) approving awards under incentive compensation and equity-based plans; and (iii) approving all other compensation and benefits for XPO Executive Officers. The XPO Compensation Committee acts independently but works closely with the full Board of Directors of XPO and executive management in making many of its decisions. To assist it in discharging its responsibilities, the XPO Compensation Committee has retained the services of an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GXO management will adopt a similar role in determination of executive compensation to the role of XPO management following the separation and distribution. Executive management provides input to the XPO Compensation Committee, including with respect to the XPO Compensation Committee’s evaluation of executive compensation practices. The XPO Compensation Committee carefully and independently reviews the recommendations of management without members of management present and consults its independent advisor before making final determinations. XPO believes this process ensures that its executive compensation program effectively aligns with XPO’s compensation philosophy and stockholder interests.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Peer Group</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It is expected that the initial GXO peer group will be as set forth below, subject to the review and approval of the GXO Compensation Committee after the separation and distribution. This peer group reflects a group of companies with similar or adjacent business models, and that source talent from the same labor pools as GXO. In determining the peer group, the following factors were considered: (i) whether company is publicly-traded on a major U.S. stock exchange, (ii) whether company is within a reasonable size range of GXO, (iii) whether company is operating in similar or adjacent industry to logistics, and (iv) whether company has displayed a degree of peer similarity.</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Aspen Technology,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 Robinson Worldwide,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Cintas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Descartes Systems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Expeditors International of Washington,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FedEx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Iron Mountain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Pitney Bowes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Rockwell Automation,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Rollins,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Sanmina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Parcel Service, Inc.</w:t>
      </w:r>
    </w:p>
    <w:p>
      <w:pPr>
        <w:spacing w:after="0" w:line="452"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Elements</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It is expected that GXO’s executive compensation program will consist of four principal elements: (i) annual base salary, (ii) annual short-term incentive, (iii) annual long-term incentive, and (iv) employee benefits and limited executive perquisites.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Base Salary</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We expect that the GXO Compensation Committee will review annual base salaries for GXO’s executive officers each year in order to ensure alignment with current market levels. The 2021 annual base salary of each identified GXO executive officer is set forth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260" w:type="dxa"/>
            <w:vAlign w:val="bottom"/>
          </w:tcPr>
          <w:p>
            <w:pPr>
              <w:spacing w:after="0"/>
              <w:rPr>
                <w:sz w:val="16"/>
                <w:szCs w:val="16"/>
                <w:color w:val="auto"/>
              </w:rPr>
            </w:pPr>
          </w:p>
        </w:tc>
        <w:tc>
          <w:tcPr>
            <w:tcW w:w="1780" w:type="dxa"/>
            <w:vAlign w:val="bottom"/>
          </w:tcPr>
          <w:p>
            <w:pPr>
              <w:jc w:val="right"/>
              <w:ind w:right="334"/>
              <w:spacing w:after="0"/>
              <w:rPr>
                <w:sz w:val="20"/>
                <w:szCs w:val="20"/>
                <w:color w:val="auto"/>
              </w:rPr>
            </w:pPr>
            <w:r>
              <w:rPr>
                <w:rFonts w:ascii="Arial" w:cs="Arial" w:eastAsia="Arial" w:hAnsi="Arial"/>
                <w:sz w:val="14"/>
                <w:szCs w:val="14"/>
                <w:b w:val="1"/>
                <w:bCs w:val="1"/>
                <w:color w:val="auto"/>
              </w:rPr>
              <w:t>Annual Base Salary</w:t>
            </w:r>
          </w:p>
        </w:tc>
      </w:tr>
      <w:tr>
        <w:trPr>
          <w:trHeight w:val="25"/>
        </w:trPr>
        <w:tc>
          <w:tcPr>
            <w:tcW w:w="9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Karlis Kirsis, Chief Legal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288,000</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Short-Term Incentive</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Each GXO named executive officer is eligible for an annual short-term incentive payment. The table below reflects the 2021 annual short-term incentive opportunity of each identified GXO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Target Opportunity (as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 percentage of base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Bonus</w:t>
            </w:r>
          </w:p>
        </w:tc>
      </w:tr>
      <w:tr>
        <w:trPr>
          <w:trHeight w:val="186"/>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Base 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Target Opportunity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Opportunity</w:t>
            </w:r>
          </w:p>
        </w:tc>
      </w:tr>
      <w:tr>
        <w:trPr>
          <w:trHeight w:val="26"/>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£538,200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r>
        <w:trPr>
          <w:trHeight w:val="24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 Chief Legal Officer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£288,000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£216,000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bl>
    <w:p>
      <w:pPr>
        <w:spacing w:after="0" w:line="2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expect that, subject to review and approval by the GXO Compensation Committee, GXO will maintain a 2021 short-term incentive program that utilizes a balanced scorecard of three weighted metrics:</w:t>
      </w:r>
    </w:p>
    <w:p>
      <w:pPr>
        <w:spacing w:after="0" w:line="116"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50% adjusted EBITDA;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30% Revenue;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 Free Cash Flow, as adjusted to exclude certain items.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that for the 2021 performance year, each performance metric must equal or exceed 90% of target performance in order for each named executive officer to become eligible for a short term incentive award, assuming they remained employed on the payment date. We expect that 2021 short-term incentives would pay out at 50% of the target opportunity at a 90% target performance level with upward potential up to a maximum of 200% of the target opportunity for a 120% target performance level. The actual performance goals for each metric and the corresponding payout curve will be confirmed by the GXO Compensation Committee after the separation and distribution.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expect that GXO will maintain a long-term incentive program designed to retain key executives and to align the interests of GXO executives with the achievement of sustainable long-term growth and performance. Subject to the review and approval of the GXO Compensation Committee after the separation and distribution, we expect that annual long-term incentive grants made in 2022 in respect of the 2021 performance year will be composed of 70% performance-based restricted stock units and 30% time-based restricted stock units for key positions, including the CEO and CFO; all other executive officer positions will have awards comprised of 50% performance-based stock units and 50% restricted stock units. We expect that, subject to the review and approval of the GXO Compensation Committee after the separation and distribution, the initial performance awards granted by GXO to executive officers in 2022 will have a four-year performance period, with awards vesting at end of the performance period based on the achievement of performance goals, using the following three performance measures:</w:t>
      </w:r>
    </w:p>
    <w:p>
      <w:pPr>
        <w:spacing w:after="0" w:line="12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60% total shareholder return vs. the S&amp;P MidCap 400 Index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adjusted Cash Flow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15% ESG scorecard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and Limited Executive Perquisites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GXO to offer a variety of health and welfare programs to all eligible employees, including the GXO named executive officers. The GXO named executive officers will be eligible for the same health and welfare benefit programs that apply to, on the same basis as, the rest of our employees, including medical and dental care coverage, life insurance coverage and short and long-term disability, with the exception of our CEO who is entitled to the UK pension allowance described below since he does not participate in the GXO UK pension scheme.</w:t>
      </w:r>
    </w:p>
    <w:p>
      <w:pPr>
        <w:spacing w:after="0" w:line="1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expect to limit the use of perquisites as a method of compensation and provide executive officers with only those perquisites that we believe are reasonable and consistent with our compensation goal of enabling us to attract and retain superior executives for key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Forward GXO Compensation Arrangements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XPO or GXO has entered into, or expects to enter into, offer letters and service agreements with each of the identified GXO executive officers with respect to their GXO executive positions following the occurrence of the separation and distribution. These offer letters and service agreements will become effective, and to the extent applicable, GXO will assume such agreements, as of the separation and distribution. The material terms of these letters and agreements are described below.</w:t>
      </w:r>
    </w:p>
    <w:p>
      <w:pPr>
        <w:spacing w:after="0" w:line="13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connection with the separation and distribution, it is expected that GXO will adopt an executive severance plan (described below) and the 2021 Omnibus Incentive Compensation Plan (which is described in this information statement under the heading “GXO 2021 Omnibus Incentive Compensation Plan”), each of which will be effective for GXO upon the separation and distribution. Following the separation and distribution, the GXO Compensation Committee will consider and develop GXO’s compensation programs, plans, philosophy and practices, consistent with GXO’s business needs and goals.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Executive Officer</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offer letter and service agreement with Malcolm Wilson would become effective upon, and subject to the occurrence of, the separation and distribution and provides for Mr. Wilson to serve as Chief Executive Officer of GXO and to receive an annual compensation package consisting of a base salary of £468,000, a target annual bonus award of 115% of base salary, an annual equity award consisting of 30% restricted stock units and 70% performance-based restricted stock units with a total target value of $850,000 for the 2021 performance year and a pension allowance equal to 17.79% of base salary. In addition, the offer letter and service agreement provide for an XPO equity award of 120,000 stock options relating to XPO common stock that will vest in installments over the five-year period following the grant date, subject to (i) the occurrence of the separation and distribution by March 31, 2022 and (ii) Mr. Wilson’s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with GXO Chief Financial Officer</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offer letter with Baris Oran will become effective upon, and subject to the occurrence of, the separation and distribution and provides for Mr. Oran to serve as Chief Financial Officer of GXO and to receive an annual compensation package consisting of a base salary of $600,000, a target annual bonus award of 100% of base salary, and an annual equity award consisting of 30% restricted stock units and 70% performance-based restricted stock units with a total target value of $800,000 for the 2021 performance year. In addition, the offer letter provides for an XPO equity award of 100,000 stock options relating to XPO common stock that will vest in installments over the five-year period following the grant date, subject to (i) the occurrence of the separation and distribution by March 31, 2022 and (ii) Mr. Oran’s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Legal Officer</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offer letter and service agreement with Karlis Kirsis would become effective upon, and subject to the occurrence of, the separation and distribution and provides for Mr. Kirsis to serve as the Chief Legal Officer of GXO effective as of the separation and distribution and to receive an annual compensation package consisting of a base salary of £310,000, a target annual bonus award of 100%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 March 31, 2022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44"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Mr. Kirsis’s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Mr.</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Kirsis also entered into a UK pension top-up agreement with XPO in connection with his role with GXO following the separation and distribution, which states that XPO will provide a top-up to his pension account of 4% of base salary, subject to his individual contribution of at least 8% of base salary (which additional contribution will be grossed up to offset any additional tax impact).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Human Resources Officer</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offer letter and service agreement with Maryclaire Hammond would become effective upon, and subject to the occurrence of, the separation and distribution and provides for Ms. Hammond to serve as the Chief Human Resources Officer of GXO effective as of the separation and distribution and to receive an annual compensation package consisting of a base salary of £288,000, a target annual bonus award of 75%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 March 31, 2022 and (ii) Ms. Hammond’s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Ms. Hammond also entered into a UK pension top-up agreement with XPO in connection with her role with GXO following the separation and distribution, which states that XPO will provide a top-up to her pension account of 4% of base salary, subject to her individual contribution of at least 8% of base salary (which additional contribution will be grossed up to offset any additional tax impact).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GXO Severance Plan</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It is expected that GXO will adopt a severance plan that will become effective upon, and subject to, the occurrence of, the separation and distribution. The eligible participants under the severance plan would include the named executive officers of GXO and its other executive officers and key members of executive management.</w:t>
      </w:r>
    </w:p>
    <w:p>
      <w:pPr>
        <w:spacing w:after="0" w:line="13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at any time other than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134"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continuation of annual base salary for 18 months (for the Chief Executive Officer) or 12 months (for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 (the “Prorated Bonus”); and</w:t>
      </w:r>
    </w:p>
    <w:p>
      <w:pPr>
        <w:spacing w:after="0" w:line="171"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9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or who resigns for “good reason” on, or within the two years following, a “change in control” (as such terms are defined in the severance plan) of GXO, would be entitled to receive (subject to the officer’s execution of a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claims in favor of GXO and continuing compliance with the officer’s confidential information protection agreement, service agreement, or other similar contractual obligations):</w:t>
      </w:r>
    </w:p>
    <w:p>
      <w:pPr>
        <w:spacing w:after="0" w:line="116" w:lineRule="exact"/>
        <w:rPr>
          <w:sz w:val="20"/>
          <w:szCs w:val="20"/>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Healthcare Benefit.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severance plan provides that, in the event that the payments and benefits to a named executive officer in connection with a change in control, whether pursuant to the severance plan or otherwise, would be subject to the golden parachute excise tax imposed under Sections 280G and 4999 of the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3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Cash severance payable under the severance plan will be offset by any other severance payments to which the officer is entitled in respect of the applicable termination of employment, including pursuant to the GXO confidential information protection agreement, as applicable, which provides for payments of the GXO executive officer’s base salary for the duration of his or her post-termination non-compete period with a minimum payment of base salary for 12 months following termination if the officer is terminated without cause before January 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none of our executive officers were previously serving as executive officers of XPO in 2020, there are no executive compensation tables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initial GXO non-employee director compensation program is designed to enable ongoing attraction and retention of highly qualified directors and to address the time, effort, expertise and accountability required of active GXO Board membership. This program is described in further detail below. Following the separation and distribution, the director compensation program will be subject to the review and approval of the GXO Board or a committee thereof.</w:t>
      </w:r>
    </w:p>
    <w:p>
      <w:pPr>
        <w:spacing w:after="0" w:line="13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Treatment of outstanding XPO equity-based compensation awards held by GXO non-employee directors in connection with the distribution is described under “The Separation and Distribution—Treatment of Equity-Based Compensation.”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GXO annual non-employee director compensation program will initially be consistent of the following: (i) an annual cash retainer of $80,000, payable quarterly in arrears; and (ii) an annual grant of time-based restricted stock units with a target value of $190,000, which will generally be granted on the first business day of the calendar year (starting with calendar year 2022) and vest on the later of the first anniversary of grant or the first business day of the following calendar year, subject to continued service on the GXO Board on the vesting date. It is expected that the number of shares of GXO common stock subject to each award will be determined by dividing $190,000 by the average of the closing prices of GXO’s common stock on the ten trading days immediately preceding the grant date.</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vice chair of the Board will receive an additional annual cash retainer of $25,000, payable quarterly in arrears. The lead independent director also will receive an additional $25,000 annual cash retainer, payable quarterly in arrears. The chairperson of each of the GXO Audit Committee, the GXO Compensation Committee and the GXO Nominating, Corporate Governance and Sustainability Committee each will receive an additional cash retainer of $25,000, $20,000 and $20,000, respectively, payable quarterly in arrears.</w:t>
      </w:r>
    </w:p>
    <w:p>
      <w:pPr>
        <w:spacing w:after="0" w:line="133"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No other fees will be paid to directors for their attendance at or participation in meetings of the GXO Board or its committees. GXO will reimburse directors for expenses incurred in the performance of their duties, including reimbursement for air travel and hotel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2021 OMNIBUS INCENTIVE COMPENSATION PLAN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material terms of the GXO Logistics, Inc. 2021 Omnibus Incentive Compensation Plan (the “Plan”) are summarized below. This summary does not contain all information about the Plan. This summary is qualified in its entirety by reference to, and should be read together with the full text of the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Plan provides for the grant of options intended to qualify as incentive stock options (“ISOs”) under Section 422 of the Code, nonqualified stock options (“NSOs”), stock appreciation rights (“SARs”), restricted share awards, restricted stock units (“RSUs”), performance awards, cash incentive awards, deferred share units and other equity-based and equity-related awards, as well as cash-based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Plan is administered by the Compensation Committee of the GXO Board or such other committee the GXO Board designates to administer the Plan (the “Committee”). Subject to the terms of the Plan and applicable law, the Committee has sole authority to administer the Plan, including, but not limited to, the authority to (i) designate plan participants, (ii) determine the type or types of awards to be granted to a participant, (iii) determine the number of shares of GXO common stock to be covered by awards, (iv) determine the terms and conditions of awards, (v)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Plan, (vii) establish, amend, suspend or waive such rules and regulations and appoint such agents as it should deem appropriate for the proper administration of the Plan, (viii) accelerate the vesting or exercisability of, payment for or lapse of restrictions on, awards, and (ix) make any other determination and take any other action that the Committee deems necessary or desirable for the administration of the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Subject to adjustment for changes in capitalization, there are 11,600,000 shares of GXO common stock, in the aggregate, that are currently authorized for delivery pursuant to awards granted under the Plan, 11,600,000 shares of which may be granted pursuant to ISOs. Awards that are settled in cash do not reduce the number of shares available for delivery under the Plan. If any award granted under the Plan is forfeited, or otherwise expires, terminates or is canceled without the delivery of all shares subject thereto, then the number of shares subject to such award that were not issued are not treated as issued for purposes of reducing the maximum aggregate number of shares that may be delivered pursuant to the Plan.</w:t>
      </w:r>
    </w:p>
    <w:p>
      <w:pPr>
        <w:spacing w:after="0" w:line="10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Notwithstanding the foregoing, and for the avoidance of doubt, shares that were surrendered or tendered to us in payment of the exercise price of an award (including with respect to stock-settled SARs) or any taxes required to be withheld in respect of an award and awards based on the fair market value of a share that are settled other than by the delivery of shares (including cash settlement) do not become available again to be delivered pursuant to awards under the Plan or increase the number of shares that may be delivered pursuant to ISOs under the Plan. The maximum value of shares of GXO common stock that are available to be granted pursuant to awards to any non-employee director in the Plan in any fiscal year is $600,000 as of the date of grant.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event of any extraordinary dividend or other extraordinary distribution, recapitalization, rights offering, stock split, reverse stock split, split-up or spin-off affecting the shares of GXO common stock, the Committee shall make equitable adjustments and other substitutions to the Plan and awards under the Plan in the manner it determined to be appropriate or desirable. In the event of any reorganization, merger, consolidation, combination, repurchase or exchange of GXO common stock or other similar corporate transactions, the Committee in its discretion is permitted to make such adjustments and other substitutions to the Plan and awards under the Plan as it deems appropriate or 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Substitute Awards</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Committee is permitted to grant awards in assumption of, or in substitution for, outstanding awards previously granted by GXO or any of its affiliates or a company that GXO acquired or with which GXO combined. Any shares issued by GXO through the assumption of or substitution for outstanding awards granted by a company that GXO acquired do not reduce the aggregate number of shares of GXO common stock available for awards under the Plan, except that awards issued in substitution for ISOs will reduce the number of shares of GXO common stock available for ISOs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shares of GXO common stock issued under the Plan consist, in whole or in part, of authorized and unissued shares or of treasury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Directors, officers, employees and consultants (including any prospective directors, officers, employees and consultants) of GXO and its affiliates are eligible to receive awards under the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Committee is permitted to grant both ISOs and NSOs under the Plan. The exercise price for stock options may not be less than the fair market value (as defined in the Plan) of GXO common stock on the grant date. The Committee may not reprice any stock option granted under the Plan without the approval of GXO stockholders. All stock options granted under the Plan are NSOs unless the applicable award agreement expressly stated that the stock option was intended to be an ISO. Subject to the provisions of the Plan (including the minimum vesting period described below) and the applicable award agreement, the Committee determines, at or after the grant of a stock option, the vesting criteria, term, methods of exercise and any other terms and conditions of any stock option. Unless otherwise set forth in the applicable award agreement, each stock option expires upon the earlier of (i) the tenth anniversary of the date the stock option was granted and (ii) three months after the participant who was holding the stock option ceased to be a director, officer, employee or consultant for GXO, or one of its affiliates. The exercise price is permitted to be paid with cash (or its equivalent) or, in the sole discretion of the Committee, with previously acquired shares of GXO common stock or through delivery of irrevocable instructions to a broker to sell GXO common stock otherwise deliverable upon the exercise of the stock option (provided that there was a public market for GXO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 stock option, was at least equal to such aggregate exercise price.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Committee is permitted to grant SARs under the Plan. The exercise price for SARs may not be less than the fair market value (as defined in the Plan) of GXO common stock on the grant date. The Committee may not reprice any SAR granted under the Plan without the approval of GXO stockholders. Upon exercise of a SAR, the holder receives cash, shares of GXO common stock, other securities, other awards, other property or a combination of any of the foregoing, as determined by the Committee, equal in value to the excess, if any, of the fair market value of a share of GXO common stock on the date of exercise of the SAR over the exercise price of the SAR. Subject to the provisions of the Plan (including the minimum vesting period described below) and the applicable award agreement, the Committee determines, at or after the grant of a SAR, the vesting criteria, term, methods of exercise, methods and form of settlement and any other terms and conditions of any SAR. Unless otherwise set forth in the applicable award agreement, each SAR expires upon the earlier of (i) the tenth anniversary of the date the SAR was granted and (ii) three months after the participant who was holding the SAR ceased to be a director, officer, employee or consultant for GXO or one of its affiliates. Under certain circumstances, the GXO Committee has the ability to substitute, without the consent of the affected participant, SARs for outstanding NSOs. No SAR granted under the Plan could be exercised more than 10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Shares and Restricted Stock Units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Subject to the provisions of the Plan, the Committee is permitted to grant restricted shares and RSUs. Restricted shares and RSUs are not permitted to be sold, assigned, transferred, pledged or otherwise encumbered except as provided in the Plan or the applicable award agreement, except that the Committee may determine that restricted shares and RSUs are permitted to be transferred by the participant for no consideration. Restricted shares may be evidenced in such manner as the Committee determines.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 RSU is granted with respect to one share of GXO common stock or has a value equal to the fair market value of one such share. Upon the lapse of restrictions applicable to an RSU, the RSU may be paid in cash, shares of GXO common stock, other securities, other awards or other property, as determined by the Committee, or in accordance with the applicable award agreement. In connection with each grant of restricted shares, except as provided in the applicable award agreement, the holder is entitled to the rights of a stockholder (including the right to vote and receive dividends) in respect of such restricted shares. The Committee is permitted to, on such terms and conditions as it might determine, provide a participant who holds RSUs with dividend equivalents, payable in cash, shares of GXO common stock, other securities, other awards or other property.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Subject to the provisions of the Plan, the Committee is permitted to grant awards under the Plan that are conditioned on the achievement of performance goals established by the Committee. In its discretion, the Committee sets performance goals that, depending on the extent to which they were met during a specified performance period, determine the number of shares of GXO common stock and/or amount of cash or other property that are paid out to the participant. The Committee, in its sole discretion, is permitted to pay earned performance awards in the form of cash, shares of GXO common stock or other property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 The Committee is permitted to, on such terms and conditions as it might determine, provide a participant who holds performance units with dividends or dividend equivalents, payable in cash, shares of GXO common stock, other securities, other awards or other property.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Subject to the provisions of the Plan, the Committee is permitted to grant cash incentive awards to participants. In its discretion, the Committee determines the number of cash incentive awards to be awarded, the duration of the period in which, and any condition under which, the cash incentive awards vest or are forfeited, and any other terms and conditions applicable to the cash incentive awards. Subject to the provisions of the Plan, the holder of a cash incentive award may receive payment based on the number and value of the cash incentive award earned, which is determined by the Committee, in its discretion, based on the extent to which performance goals or other conditions applicable to the cash incentive award have been achieved.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Subject to the provisions of the Plan, the Committee is permitted to grant to participants other equity-based or equity-related compensation awards, including vested stock, which shall be granted pursuant to the five percent limit described below under the header “Minimum Vesting Period.” The Committee is permitted to determine the amounts and terms and conditions of any such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Assumed XPO Awards</w:t>
      </w:r>
    </w:p>
    <w:p>
      <w:pPr>
        <w:spacing w:after="0" w:line="17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Notwithstanding any provisions in the Plan to the contrary, each XPO equity award that is assumed by GXO in the distribution shall be subject to the terms and conditions of the equity compensation plan and award agreement to which such equity award was subject immediately prior to the distribution, subject to the adjustment of such equity award by the Compensation Committee of XPO and the terms of the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may clawback awards provided to eligible employees to the extent required by applicable law and as otherwise determined by the Compensation Committee and set forth in an award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Minimum Vesting Period</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Plan is subject to a designated vesting period of at least one year following the date of grant, except that up to five percent of shares available for grant under the Plan may be granted without regard to this requirement. Such minimum vesting period does not apply to equity-based compensation awards issued in connection with the adjustment of outstanding XPO equity-based compensation awards upon the distribution.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Subject to any applicable law or government regulation and to the rules of the applicable national stock exchange or quotation system on which the shares of GXO common stock may be listed or quoted, the Plan may be amended, modified or terminated by the GXO Board without the approval of GXO stockholders, except that stockholder approval is required for any amendment that (i) increases the maximum number of shares of GXO common stock available for awards under the Plan or increases the maximum number of shares of GXO common stock that could be delivered pursuant to ISOs granted under the Plan, (ii) changes the class of employees or other individuals eligible to participate in the Plan, (iii) amends or decreases the exercise price of any option or SAR, (iv) cancels or exchanges any option or SAR at a time when its exercise price exceeds the fair market value of the underlying shares,</w:t>
      </w:r>
    </w:p>
    <w:p>
      <w:pPr>
        <w:spacing w:after="0" w:line="4" w:lineRule="exact"/>
        <w:rPr>
          <w:sz w:val="20"/>
          <w:szCs w:val="20"/>
          <w:color w:val="auto"/>
        </w:rPr>
      </w:pPr>
    </w:p>
    <w:p>
      <w:pPr>
        <w:ind w:right="220" w:firstLine="8"/>
        <w:spacing w:after="0" w:line="253"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allows repricing of any option or SAR without stockholder approval, or (vi) constitutes a material increase in the benefits to be provided to eligible employees within the meaning of the New York Stock Exchange rules as of the date hereof. Under these provisions, stockholder approval is not to be required for all possible amendments that might increase the cost of the Plan. No modification, amendment or termination of the Plan that materially and adversely impairs the rights of any participant is effective without the consent of the affected participant, unless otherwise provided by the Committee in the applicable award agreement.</w:t>
      </w:r>
    </w:p>
    <w:p>
      <w:pPr>
        <w:spacing w:after="0" w:line="13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Committee is permitted to waive any conditions or rights under, amend any terms of, or alter, suspend, discontinue, cancel or terminate any award previously granted under the Plan, the Prior Plan or the Stock Option Plan (as defined below), prospectively or retroactively. However, unless otherwise provided by the Committee in the applicable award agreement or in the Plan, any such waiver, amendment, alteration, suspension, discontinuance, cancellation or termination that materially and adversely impairs the rights of any participant to any award previously granted is not effective without the consent of the affected participant.</w:t>
      </w:r>
    </w:p>
    <w:p>
      <w:pPr>
        <w:spacing w:after="0" w:line="13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Committee is authorized to make adjustments in the terms and conditions of awards in the event of any unusual or nonrecurring corporate event (including the occurrence of a change of control of GXO) affecting GXO, any of its affiliates or the financial statements of GXO or any of its affiliates, or of changes in applicable rules, rulings, regulations or other requirements of any governmental body or securities exchange, accounting principles or law whenever the GXO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GXO Committee is permitted to provide for a cash payment to the holder of an award in consideration for the cancellation of such award.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Plan provides that, unless otherwise provided in an award agreement, in the event of a change of control of GXO, awards will be assumed and replaced by awards of equivalent value in connection with the change of control and such assumed awards will have so-called “double trigger” vesting provisions, such that the awards will vest in full and become immediately exercisable upon qualifying terminations of employment during the two-year period following the change of control. However, in the event that awards are not replaced with awards of equivalent value the vesting of the awards will generally accelerate immediately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provided pursuant to an award agreement, a change of control is defined to mean any of the following events, generally:</w:t>
      </w:r>
    </w:p>
    <w:p>
      <w:pPr>
        <w:spacing w:after="0" w:line="183" w:lineRule="exact"/>
        <w:rPr>
          <w:sz w:val="20"/>
          <w:szCs w:val="20"/>
          <w:color w:val="auto"/>
        </w:rPr>
      </w:pPr>
    </w:p>
    <w:p>
      <w:pPr>
        <w:ind w:left="660" w:hanging="328"/>
        <w:spacing w:after="0" w:line="277" w:lineRule="auto"/>
        <w:tabs>
          <w:tab w:leader="none" w:pos="6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any period, a change in the composition of a majority of the board of directors, as constituted on the first day of such period, that was not supported by a majority of the incumbent board of directors;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consummation of certain mergers or consolidations of GXO with any other corporation following which GXO stockholders hold 50% or less of the combined voting power of the surviving entity;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of GXO; or</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acquisition by any individual, entity or group of beneficial ownership of a percentage of the combined voting power of the then outstanding voting securities entitled to vote generally in the election of directors that was equal to or greater than 30%.</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must provide that a change of control will not occur until consummation or effectiveness of a change of control of GXO, rather than upon the announcement, commencement, stockholder approval or other potential occurrence of any event or transaction that, if completed, will result in a change of control of GXO.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distribution, it is expected that the Plan will be approved by the GXO Board and by XPO as the sole shareowner of GXO. No award may be granted under the Plan more than ten years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1440" w:right="539" w:bottom="1440" w:gutter="0" w:footer="0" w:header="0"/>
        </w:sectPr>
      </w:pPr>
    </w:p>
    <w:bookmarkStart w:id="118" w:name="page119"/>
    <w:bookmarkEnd w:id="118"/>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XPO</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Following the separation and distribution, GXO and XPO will each operate separately as an independent public company. In connection with the separation, GXO will enter into a separation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w:t>
      </w:r>
    </w:p>
    <w:p>
      <w:pPr>
        <w:spacing w:after="0" w:line="14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transferred to each of GXO and XPO as part of the separation of XPO into two independent companies, and will provide for when and how these transfers and assumptions will occur. In particular, the separation agreement will provide that, among other things, subject to the terms and conditions contained therein:</w:t>
      </w:r>
    </w:p>
    <w:p>
      <w:pPr>
        <w:spacing w:after="0" w:line="95" w:lineRule="exact"/>
        <w:rPr>
          <w:sz w:val="20"/>
          <w:szCs w:val="20"/>
          <w:color w:val="auto"/>
        </w:rPr>
      </w:pPr>
    </w:p>
    <w:p>
      <w:pPr>
        <w:ind w:left="660" w:right="40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assets related to the GXO Businesses, which we refer to as the “GXO Assets,” will be retained by or transferred to GXO or one of its subsidiaries, including: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equity interests in certain GXO subsidiaries that hold assets of the GXO Businesses;</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GXO brands, certain other trade names and trademarks, and certain other intellectual property (including patents, know-how and trade secrets), software, information and technology allocated to GXO pursuant to the separation agreement;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facilities owned or leased by GXO;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certain contracts exclusively related to the GXO Businesses;</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with respect to certain contracts primarily but not exclusively related to the GXO Businesses, those portions of such contracts to the extent related to the GXO Businesses;</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other assets and rights expressly allocated to GXO pursuant to the terms of the separation agreement or certain other agreements entered into in connection with the separation;</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cash in an amount equal to $100 million (after giving effect to the cash true-up adjustments set forth in the separation agreement);</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permits that primarily relate to the GXO Businesses; and</w:t>
      </w:r>
    </w:p>
    <w:p>
      <w:pPr>
        <w:spacing w:after="0" w:line="171" w:lineRule="exact"/>
        <w:rPr>
          <w:rFonts w:ascii="Arial" w:cs="Arial" w:eastAsia="Arial" w:hAnsi="Arial"/>
          <w:sz w:val="18"/>
          <w:szCs w:val="18"/>
          <w:color w:val="auto"/>
        </w:rPr>
      </w:pPr>
    </w:p>
    <w:p>
      <w:pPr>
        <w:ind w:left="980" w:right="180" w:hanging="324"/>
        <w:spacing w:after="0" w:line="308" w:lineRule="auto"/>
        <w:tabs>
          <w:tab w:leader="none" w:pos="976" w:val="left"/>
        </w:tabs>
        <w:numPr>
          <w:ilvl w:val="1"/>
          <w:numId w:val="70"/>
        </w:numPr>
        <w:rPr>
          <w:rFonts w:ascii="Arial" w:cs="Arial" w:eastAsia="Arial" w:hAnsi="Arial"/>
          <w:sz w:val="17"/>
          <w:szCs w:val="17"/>
          <w:color w:val="auto"/>
        </w:rPr>
      </w:pPr>
      <w:r>
        <w:rPr>
          <w:rFonts w:ascii="Arial" w:cs="Arial" w:eastAsia="Arial" w:hAnsi="Arial"/>
          <w:sz w:val="17"/>
          <w:szCs w:val="17"/>
          <w:color w:val="auto"/>
        </w:rPr>
        <w:t>other assets that are included in GXO’s pro forma balance sheet, included in GXO’s Unaudited Pro Forma Condensed Combined Financial Information, which appear in the section titled “Unaudited Pro Forma Condensed Combined Financial Information”;</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liabilities related to the GXO Businesses or the GXO Assets, which we refer to as the “GXO Liabilities,” will be retained by or transferred to GXO;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320" w:top="1440" w:right="419" w:bottom="1440" w:gutter="0" w:footer="0" w:header="0"/>
        </w:sectPr>
      </w:pPr>
    </w:p>
    <w:bookmarkStart w:id="119" w:name="page120"/>
    <w:bookmarkEnd w:id="119"/>
    <w:p>
      <w:pPr>
        <w:spacing w:after="0" w:line="144" w:lineRule="exact"/>
        <w:rPr>
          <w:sz w:val="20"/>
          <w:szCs w:val="20"/>
          <w:color w:val="auto"/>
        </w:rPr>
      </w:pPr>
    </w:p>
    <w:p>
      <w:pPr>
        <w:ind w:left="660" w:right="18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the assets (including cash and cash equivalents) and liabilities (including whether accrued, contingent or otherwise) other than the GXO Assets and the GXO Liabilities (such assets and liabilities, other than the GXO Assets and the GXO Liabilities, we refer to as the “XPO Assets” and “XPO Liabilities,” respectively) will be retained by or transferred to XPO.</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Except as expressly set forth in the separation agreement or any ancillary agreement, neither of GXO nor XPO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GXO or XPO,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will provide that in the event that the transfer of certain assets and liabilities (or a portion thereof) to GXO or XPO, as applicable, does not occur prior to the separation, then until such assets or liabilities (or a portion thereof) are able to be transferred, GXO or XPO, as applicable, will hold such assets on behalf and for the benefit of the transferee and will pay, perform and discharge such liabilities, for which the transferee will reimburse GXO or XPO, as applicable, for all commercially reasonable payments made in connection with the performance and discharge of such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separation agreement will also govern the rights and obligations of the parties regarding the distribution following the completion of the separation. On the distribution date, XPO will distribute to its stockholders that hold XPO common stock as of the record date for the distribution all of the issued and outstanding shares of GXO common stock on a pro rata basis. XPO will not distribute any fractional shares of GXO common stock.</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separation agreement will provide that the distribution is subject to satisfaction (or waiver by XPO in its sole and absolute discretion) of certain conditions. These conditions are described under “The Separation and Distribution—Conditions to the Distribution.” XPO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Releases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separation agreement will provide that GXO and its affiliates will release and discharge XPO and its affiliates from all liabilities assumed by GXO as part of the separation, from all acts and events occurring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occur, and all conditions existing, on or before the distribution date relating to the GXO Businesses, except as expressly set forth in the separation agreement. XPO and its affiliates will release and discharge GXO and its affiliates from all liabilities retained by XPO and its affiliates as part of the separation, from all acts and events occurring or failing to occur, and all conditions existing, on or before the distribution date relating to the businesses conducted by XPO, except the GXO Businesses, and from all liabilities existing or arising in connection with the implementation of the separation, except as expressly set forth in the separation agreement.</w:t>
      </w:r>
    </w:p>
    <w:p>
      <w:pPr>
        <w:spacing w:after="0" w:line="134"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These releases will not extend to obligations or liabilities under any agreements between the parties that remain in effect following the separation, which agreements include the separation agreement and the other agreements described under “Certain Relationships and Related Party Transactions.”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the separation agreement, GXO will agree to indemnify, defend and hold harmless XPO, each of XPO’s controlled affiliates and each of their respective directors, officers and employees, from and against all liabilities to the extent relating to, arising out of or resulting from:</w:t>
      </w:r>
    </w:p>
    <w:p>
      <w:pPr>
        <w:spacing w:after="0" w:line="92"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GXO Liabilities;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GXO’s failure or the failure of any other person to pay, perform or otherwise promptly discharge any of the GXO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to the extent relating to an XPO Liability, any guarantee, indemnification or contribution obligation for the benefit of GXO by XPO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breach by GXO of the separation agreement or any of the ancillary agreements; and</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material fact in the Form 10 or in this information statement (as amended or supplemented), except for any such statements or omissions made explicitly in XPO’s name.</w:t>
      </w:r>
    </w:p>
    <w:p>
      <w:pPr>
        <w:spacing w:after="0" w:line="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XPO will agree to indemnify, defend and hold harmless GXO, each of GXO’s controlled affiliates and each of their respective directors, officers and employees from and against all liabilities to the extent relating to, arising out of or resulting from:</w:t>
      </w:r>
    </w:p>
    <w:p>
      <w:pPr>
        <w:spacing w:after="0" w:line="11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XPO Liabilities;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failure of XPO or any other person to pay, perform or otherwise promptly discharge any of the XPO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to the extent relating to a GXO Liability, any guarantee, indemnification or contribution obligation for the benefit of XPO by GXO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breach by XPO of the separation agreement or any of the ancillary agreements;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made explicitly in XPO’s name in the Form 10 or in this information statement (as amended or supplemented).</w:t>
      </w:r>
    </w:p>
    <w:p>
      <w:pPr>
        <w:spacing w:after="0" w:line="116" w:lineRule="exact"/>
        <w:rPr>
          <w:sz w:val="20"/>
          <w:szCs w:val="20"/>
          <w:color w:val="auto"/>
        </w:rPr>
      </w:pPr>
    </w:p>
    <w:p>
      <w:pPr>
        <w:ind w:left="340" w:right="1820"/>
        <w:spacing w:after="0" w:line="438" w:lineRule="auto"/>
        <w:rPr>
          <w:sz w:val="20"/>
          <w:szCs w:val="20"/>
          <w:color w:val="auto"/>
        </w:rPr>
      </w:pPr>
      <w:r>
        <w:rPr>
          <w:rFonts w:ascii="Arial" w:cs="Arial" w:eastAsia="Arial" w:hAnsi="Arial"/>
          <w:sz w:val="18"/>
          <w:szCs w:val="18"/>
          <w:color w:val="auto"/>
        </w:rPr>
        <w:t xml:space="preserve">The separation agreement will also establish procedures with respect to claims subject to indemnification and related matters. Indemnification with respect to taxes, and the procedures related thereto, will be governed by the tax matters agreement. </w:t>
      </w:r>
      <w:r>
        <w:rPr>
          <w:rFonts w:ascii="Arial" w:cs="Arial" w:eastAsia="Arial" w:hAnsi="Arial"/>
          <w:sz w:val="18"/>
          <w:szCs w:val="18"/>
          <w:b w:val="1"/>
          <w:bCs w:val="1"/>
          <w:i w:val="1"/>
          <w:iCs w:val="1"/>
          <w:color w:val="auto"/>
        </w:rPr>
        <w:t>Non-Compete</w:t>
      </w:r>
    </w:p>
    <w:p>
      <w:pPr>
        <w:spacing w:after="0" w:line="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separation agreement will contain a covenant not to compete, prohibiting, subject to certain customary exceptions, (1) GXO and its subsidiaries from engaging in the XPO retained businesses and (2) XPO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subsidiaries from engaging in the GXO Businesses, in each case for a period of two years following the distribution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claims covered by XPO’s insurance prior to the distribution and set forth procedures for the administration of insured claims and related matters.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GXO and XPO will agree in the separation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GXO and XPO related to the separation or distribution and that are unable to be resolved through good faith discussions between GXO and XPO.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binding alternative dispute resolution, subject to the provisions of the separation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expressly set forth in the separation agreement or in any ancillary agreement, XPO will be responsible for all costs and expenses incurred in connection with the separation incurred prior to the distribution date, including costs and expenses relating to legal and tax counsel, financial advisors and accounting advisory work related to the separation. Except as expressly set forth in the separation agreement or in any ancillary agreement, or as otherwise agreed in writing by GXO and XPO, all costs and expenses incurred in connection with the separation after the distribution will be paid by the party incurring such cost and expense.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separation agreement will provide that it may be terminated, and the separation and distribution may be modified or abandoned, at any time prior to the distribution date in the sole and absolute discretion of the XPO board of directors without the approval of any person, including GXO or XPO stockholders. In the event of a termination of the separation agreement, no party, nor any of its directors, officers or employees, will have any liability of any kind to the other parties or any other person. After the distribution date, the separation agreement may not be amended or terminated, except by an agreement in writing signed by both GXO and XPO.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GXO and XPO will enter into a transition services agreement in connection with the separation pursuant to which GXO and XPO and their respective affiliates will provide each other, on an interim, transitional basis, various services, such as, treasury administration, employee benefits administration, information technology services, regulatory services, general administrative services and other support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services generally will commence on the distribution date and terminate no later than twelve months following the distribution date. The receiving party may terminate any services by giving prior written notice to the provider of such services and paying any applicable wind-down charges.</w:t>
      </w:r>
    </w:p>
    <w:p>
      <w:pPr>
        <w:spacing w:after="0" w:line="70"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separation, GXO and XPO will enter into a tax matters agreement that will govern the parties’ respective rights, responsibilities and obligations with respect to taxes (including responsibility for taxes, entitlement to refunds, allocation of tax attributes, preparation of tax returns, control of tax contests and other tax matters).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tax matters agreement, XPO generally will be responsible for all U.S. federal income taxes imposed on the XPO consolidated tax return group and state and foreign income, franchise, capital gain, withholding and similar taxes imposed on a consolidated, combined or unitary tax return group (or similar tax group under non-U.S. law) that includes XPO or one of its subsidiaries with respect to taxable periods (or portions thereof) that end on or prior to the distribution date, except (i) special rules will apply with respect to certain taxes imposed in connection with the internal reorganization or the separation and distribution, and (ii) GXO will be responsible for (x) taxes resulting from any breach of certain covenants made by GXO in the tax matters agreement or other separation-related agreements and (y) certain other taxes attributable to GXO’s business. GXO generally will be responsible for all federal, state, or foreign income, franchise, capital gain, withholding or similar taxes imposed on a separate return basis on GXO (or any of its subsidiaries or any subgroup consisting solely of GXO and its subsidiaries), as applicable, with respect to taxable periods (or portions thereof) that end on or prior to the date of the relevant distribution, except (i) special rules will apply with respect to certain taxes imposed in connection with the internal reorganization or the separation and distribution and (ii) XPO will be responsible for taxes resulting from any breach of any covenant made by XPO in the tax matters agreement or other separation-related agreements.</w:t>
      </w:r>
    </w:p>
    <w:p>
      <w:pPr>
        <w:spacing w:after="0" w:line="12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tax matters agreement will provide special rules that allocate tax liabilities in the event either (i) the distribution, together with certain related transactions, fails to qualify as a transaction that is generally tax-free for U.S. federal income tax purposes under Sections 355 and 368(a)(1)(D) of the Code or (ii) any internal separation transaction that is intended to qualify as a transaction that is generally tax-free fails to so qualify. Under the tax matters agreement, each party will be responsible for any taxes and related amounts imposed on XPO or GXO as a result of the failure to so qualify, to the extent that the failure to so qualify is attributable to actions, events or transactions relating to such party’s respective stock, assets or business, or a breach of the relevant covenants made by that party in the tax matters agreement. Further, under the tax matters agreement, each of XPO and GXO would be responsible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separation transaction that is intended to qualify as a transaction that is generally tax-free to so qualify, in each case, to the extent such amounts did not result from a disqualifying action by, or acquisition of equity securities of, XPO or GXO.</w:t>
      </w:r>
    </w:p>
    <w:p>
      <w:pPr>
        <w:spacing w:after="0" w:line="13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the tax matters agreement will impose certain restrictions on GXO and its subsidiaries during the two-year period following the distribution that will be intended to prevent the distribution, together with certain related transactions, from failing to qualify as a transaction that is generally tax-free for U.S. federal income tax purposes under Sections 355 and 368(a)(1)(D) of the Code. Specifically, during such period, except in specific circumstances, GXO and its subsidiaries will be prohibited from: (i) ceasing to conduct certain businesses; (ii) entering into certain transactions or series of transactions pursuant to which all or a portion of the shares of GXO common stock would be acquired or all or a portion of certain assets of GXO and its subsidiaries would be acquired; (iii) liquidating, merging or consolidating with any other person; (iv) issuing equity securities beyond certain thresholds; (v) repurchasing GXO stock other than in certain open-market transactions or (vi) taking or failing to take any other action that would cause the distribution, together with certain related transactions, to fail to qualify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 transaction that is generally tax-free for U.S. federal income tax purposes under Sections 355 and 368(a)(1)(D) of the Code.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7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GXO and XPO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non-employee directors of each company.</w:t>
      </w:r>
    </w:p>
    <w:p>
      <w:pPr>
        <w:spacing w:after="0" w:line="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employees of such party and its subsidiaries and former employees of such party’s business for purposes of post-separation compensation and benefit matters. The employee matters agreement will also provide, subject to customary exceptions, that neither XPO nor GXO nor their respective subsidiaries will solicit for employment or hire any individual who is a salaried employee of the other party or its subsidiaries for a period of two years following the distribution date.</w:t>
      </w:r>
    </w:p>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XPO prior to the separation. See “The Separation and Distribution—Treatment of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GXO and XPO will enter into an intellectual property license agreement in connection with the separation to facilitate and provide for an orderly transition in connection with the transaction. Under the intellectual property license agreement, each of GXO and XPO will be the owner of a copy of the XPO Smart Software for use in its business. The intellectual property license agreement will also provide GXO a non-exclusive license to certain XPO software platforms for use in the operation of the GXO Businesses, and XPO will retain a non-exclusive license to certain GXO software platforms for use in the operation of XPO’s retained businesses. Further, the intellectual property license agreement will also provide the parties with reciprocal, non-exclusive licenses under certain intellectual property rights transferred to GXO and certain intellectual property rights retained by XPO in order to provide the parties freedom to operate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320" w:top="1440" w:right="419" w:bottom="1440" w:gutter="0" w:footer="0" w:header="0"/>
        </w:sectPr>
      </w:pPr>
    </w:p>
    <w:bookmarkStart w:id="124" w:name="page125"/>
    <w:bookmarkEnd w:id="12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is a discussion of material U.S. federal income tax consequences of the distribution to “U.S. holders” (as defined below) of XPO common stock. This discussion is based on the Code,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applies only to U.S. holders (as defined below) of shares of XPO common stock who hold such shares as a capital asset within the meaning of Section 1221 of the Code (generally, property held for investment). This discussion is based upon the assumption that the separation and the distribution, together with certain related transactions, were or will be consummated in accordance with the separation agreement and the other agreements related to the separation and as described in this information statement. Holders of XPO common stock that are not U.S. holders should consult their own tax advisors as to the tax consequences of the distribution.</w:t>
      </w:r>
    </w:p>
    <w:p>
      <w:pPr>
        <w:spacing w:after="0" w:line="134"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This discussion does not address all aspects of U.S. federal income taxation that may be relevant to particular holders of XPO common stock in light of their particular circumstances nor does it address tax consequences applicable to holders that are or may be subject to special treatment under the U.S. federal income tax laws (such as, for example, insurance companies, tax</w:t>
      </w:r>
      <w:r>
        <w:rPr>
          <w:rFonts w:ascii="MS PGothic" w:cs="MS PGothic" w:eastAsia="MS PGothic" w:hAnsi="MS PGothic"/>
          <w:sz w:val="16"/>
          <w:szCs w:val="16"/>
          <w:color w:val="auto"/>
        </w:rPr>
        <w:t>‑</w:t>
      </w:r>
      <w:r>
        <w:rPr>
          <w:rFonts w:ascii="Arial" w:cs="Arial" w:eastAsia="Arial" w:hAnsi="Arial"/>
          <w:sz w:val="16"/>
          <w:szCs w:val="16"/>
          <w:color w:val="auto"/>
        </w:rPr>
        <w:t>exempt organizations, financial institutions, mutual funds, certain former U.S. citizens or long</w:t>
      </w:r>
      <w:r>
        <w:rPr>
          <w:rFonts w:ascii="MS PGothic" w:cs="MS PGothic" w:eastAsia="MS PGothic" w:hAnsi="MS PGothic"/>
          <w:sz w:val="16"/>
          <w:szCs w:val="16"/>
          <w:color w:val="auto"/>
        </w:rPr>
        <w:t>‑</w:t>
      </w:r>
      <w:r>
        <w:rPr>
          <w:rFonts w:ascii="Arial" w:cs="Arial" w:eastAsia="Arial" w:hAnsi="Arial"/>
          <w:sz w:val="16"/>
          <w:szCs w:val="16"/>
          <w:color w:val="auto"/>
        </w:rPr>
        <w:t>term residents of the United States, broker</w:t>
      </w:r>
      <w:r>
        <w:rPr>
          <w:rFonts w:ascii="MS PGothic" w:cs="MS PGothic" w:eastAsia="MS PGothic" w:hAnsi="MS PGothic"/>
          <w:sz w:val="16"/>
          <w:szCs w:val="16"/>
          <w:color w:val="auto"/>
        </w:rPr>
        <w:t>‑</w:t>
      </w:r>
      <w:r>
        <w:rPr>
          <w:rFonts w:ascii="Arial" w:cs="Arial" w:eastAsia="Arial" w:hAnsi="Arial"/>
          <w:sz w:val="16"/>
          <w:szCs w:val="16"/>
          <w:color w:val="auto"/>
        </w:rPr>
        <w:t>dealers, partnerships (or entities or arrangements treated as partnerships for U.S. federal income tax purposes), or other pass</w:t>
      </w:r>
      <w:r>
        <w:rPr>
          <w:rFonts w:ascii="MS PGothic" w:cs="MS PGothic" w:eastAsia="MS PGothic" w:hAnsi="MS PGothic"/>
          <w:sz w:val="16"/>
          <w:szCs w:val="16"/>
          <w:color w:val="auto"/>
        </w:rPr>
        <w:t>‑</w:t>
      </w:r>
      <w:r>
        <w:rPr>
          <w:rFonts w:ascii="Arial" w:cs="Arial" w:eastAsia="Arial" w:hAnsi="Arial"/>
          <w:sz w:val="16"/>
          <w:szCs w:val="16"/>
          <w:color w:val="auto"/>
        </w:rPr>
        <w:t>through entities or owners thereof, traders in securities who elect a mark</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method of accounting, holders who hold their XPO common stock as part of a “hedge,” “straddle,” “conversion,” “synthetic security,” “integrated investment” or “constructive sale transaction,” holders who acquired XPO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consequences under state, local, or foreign laws or U.S. federal laws other than those pertaining to the U.S. federal income tax. This discussion does not address the tax consequences to any person who actually or constructively owns 5% or more of XPO common stock.</w:t>
      </w:r>
    </w:p>
    <w:p>
      <w:pPr>
        <w:spacing w:after="0" w:line="15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XPO common stock, the tax treatment of a partner in such partnership will generally depend upon the status of the partner and the activities of the partnership. Holders of XPO common stock that are partnerships and partners in such partnerships should consult their own tax advisors as to the tax consequences of the distribution.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a “U.S. holder” is a beneficial owner of XPO common stock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DISTRIBUTION UNDER CURRENT LAW AND IS FOR GENERAL INFORMATION ONLY. ALL HOLDERS SHOULD CONSULT THEIR OWN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HEREIN.</w:t>
      </w:r>
    </w:p>
    <w:p>
      <w:pPr>
        <w:spacing w:after="0" w:line="1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GXO and XPO (including those relating to the past and future conduct of GXO and XPO). If any of these facts, assumptions, representations, statements or undertakings is, or becomes, inaccurate or incomplete, or if GXO or XPO breaches any of its respective representations or covenants contained in the separation agreement and certain other separation-related agreements and documents or in any documents relating to the opinion of counsel, such opinion of counsel may be invalid and the conclusions reached therein could be jeopardized.</w:t>
      </w:r>
    </w:p>
    <w:p>
      <w:pPr>
        <w:spacing w:after="0" w:line="11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Notwithstanding receipt by XPO of the opinion of counsel, the IRS could determine that the distribution and/or certain related transactions should be treated as taxable transactions for U.S. federal income tax purposes if it determines that any of the facts, representations, assumptions, statements or undertakings upon which the opinion of counsel was based is false or has been violated, or that the distribution and/or certain related transactions should be taxable for other reasons, including as a result of certain transactions occurring after the distribution. In addition, an opinion of counsel represents the judgment of such counsel and is not binding on the IRS or any court and the IRS or a court may disagree with the conclusions in the opinion of counsel. Accordingly, notwithstanding receipt by XPO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XPO, GXO and XPO stockholders could be subject to significant U.S. federal income tax liability or tax indemnification obligations. Please refer to “—Material U.S. Federal Income Tax Consequences if the Distribution Is Taxable” below.</w:t>
      </w:r>
    </w:p>
    <w:p>
      <w:pPr>
        <w:spacing w:after="0" w:line="1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if the Distribution, Together with Certain Related Transactions, Qualifies as a Transaction That is Generally Tax-Free under Sections 355 and 368(a)(1)(D) of the Code.</w:t>
      </w:r>
    </w:p>
    <w:p>
      <w:pPr>
        <w:spacing w:after="0" w:line="11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If the distribution, together with certain related transactions, qualifies as a transaction that is generally tax-free for U.S. federal income tax purposes under Sections 355 and 368(a)(1)(D) of the Code, the U.S. federal income tax consequences of the distribution generally are as follows:</w:t>
      </w:r>
    </w:p>
    <w:p>
      <w:pPr>
        <w:spacing w:after="0" w:line="92" w:lineRule="exact"/>
        <w:rPr>
          <w:sz w:val="20"/>
          <w:szCs w:val="20"/>
          <w:color w:val="auto"/>
        </w:rPr>
      </w:pPr>
    </w:p>
    <w:p>
      <w:pPr>
        <w:ind w:left="660" w:right="280" w:hanging="328"/>
        <w:spacing w:after="0" w:line="25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XPO as a result of the distribution, other than gain or income arising in connection with certain internal restructurings undertaken in connection with the separation and distribution (including with respect to any portion of the borrowing proceeds transferred to XPO from GXO that is not used for qualifying purposes) with respect to any “excess loss account” or “intercompany transaction” required to be taken into account by XPO under Treasury Regulations relating to consolidated U.S. federal income tax returns;</w:t>
      </w:r>
    </w:p>
    <w:p>
      <w:pPr>
        <w:spacing w:after="0" w:line="13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U.S. holders of XPO common stock upon the receipt of GXO common stock in the distribution;</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aggregate tax basis in the XPO common stock and the GXO common stock received in the distribution in the hands of each U.S. holder of XPO common stock immediately after the distribution will equal the aggregate basis of XPO common stock held by such U.S. holder immediately before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allocated between the XPO common stock and the GXO common stock in proportion to the relative fair market value of each on the date of the distribution; and</w:t>
      </w:r>
    </w:p>
    <w:p>
      <w:pPr>
        <w:spacing w:after="0" w:line="116" w:lineRule="exact"/>
        <w:rPr>
          <w:sz w:val="20"/>
          <w:szCs w:val="20"/>
          <w:color w:val="auto"/>
        </w:rPr>
      </w:pPr>
    </w:p>
    <w:p>
      <w:pPr>
        <w:ind w:left="660" w:right="520" w:hanging="328"/>
        <w:spacing w:after="0" w:line="308"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holding period of GXO common stock received by each U.S. holder of XPO common stock in the distribution will generally include the holding period at the time of the distribution for the XPO common stock with respect to which the distribution is made.</w:t>
      </w:r>
    </w:p>
    <w:p>
      <w:pPr>
        <w:spacing w:after="0" w:line="9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If a U.S. holder of XPO common stock holds different blocks of XPO common stock (generally shares of XPO common stock acquired on different dates or at different prices), such holder should consult its own tax advisor regarding the determination of the basis and holding period of shares of GXO common stock received in the distribution in respect of particular blocks of XPO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Consequences if the Distribution Is Taxable.</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discussed above, notwithstanding receipt by XPO of an opinion of counsel, the IRS could assert that the distribution does not qualify for tax-free treatment for U.S. federal income tax purposes. If the IRS were successful in taking this position, some or all of the consequences described above would not apply, and XPO, GXO and XPO stockholders could be subject to significant U.S. federal income tax liability. In addition, certain events that may or may not be within the control of XPO or GXO could cause the distribution and certain related transactions not to qualify for tax-free treatment for U.S. federal income tax purposes.</w:t>
      </w:r>
    </w:p>
    <w:p>
      <w:pPr>
        <w:spacing w:after="0" w:line="13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distribution, together with certain related transactions, were to fail to qualify as a transaction that is generally tax-free for U.S. federal income tax purposes under Section 355 and 368(a)(1)(D) of the Code, in general, for U.S. federal income tax purposes, XPO would recognize taxable gain as if it had sold the GXO common stock in a taxable sale for its fair market value (unless XPO and GXO jointly make an election under Section 336(e) of the Code with respect to the distribution, in which case, in general, (i) the XPO group would recognize taxable gain as if GXO had sold all of its assets in a taxable sale in exchange for an amount equal to the fair market value of the GXO common stock and the assumption of all GXO’s liabilities and (ii) GXO would obtain a related step up in the basis of its assets), and XPO stockholders who receive shares of GXO common stock in the distribution would be subject to tax as if they had received a taxable distribution equal to the fair market value of such shares.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the distribution, together with certain related transactions, were otherwise to qualify as a tax-free transaction under Sections 355(a) and 368(a)</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(1)(D) of the Code, the distribution may result in taxable gain to XPO (but not its shareholders) under Section 355(e) of the Code if the distribution, together with certain related transactions, were deemed to be part of a plan (or series of related transactions) pursuant to which one or more persons acquire, directly or indirectly, shares representing a 50% or greater interest (by vote or value) in XPO or GXO. For this purpose, any acquisitions of XPO or GXO shares within the period beginning two years before, and ending two years after, the distribution are presumed to be part of such a plan, although XPO or GXO may be able to rebut that presumption (including by qualifying for one or more safe harbors under applicable Treasury Regulations).</w:t>
      </w:r>
    </w:p>
    <w:p>
      <w:pPr>
        <w:spacing w:after="0" w:line="1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connection with the distribution, GXO and XPO will enter into a tax matters agreement that, among other things, will allocate between GXO and XPO the responsibility for tax liabilities incurred by them as a result of the failure of the distribution, together with certain related transactions, to qualify for tax-free treatment. For a discussion of the tax matters agreement, see “Certain Relationships and Related Person Transactions—Tax Matters Agreement.”</w:t>
      </w:r>
    </w:p>
    <w:p>
      <w:pPr>
        <w:spacing w:after="0" w:line="129" w:lineRule="exact"/>
        <w:rPr>
          <w:sz w:val="20"/>
          <w:szCs w:val="20"/>
          <w:color w:val="auto"/>
        </w:rPr>
      </w:pPr>
    </w:p>
    <w:p>
      <w:pPr>
        <w:ind w:right="100" w:firstLine="324"/>
        <w:spacing w:after="0" w:line="220" w:lineRule="exact"/>
        <w:rPr>
          <w:sz w:val="20"/>
          <w:szCs w:val="20"/>
          <w:color w:val="auto"/>
        </w:rPr>
      </w:pPr>
      <w:r>
        <w:rPr>
          <w:rFonts w:ascii="Arial" w:cs="Arial" w:eastAsia="Arial" w:hAnsi="Arial"/>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XPO COMMON STOCK SHOULD CONSULT THEIR OWN TAX ADVISORS AS TO THE PARTICULAR TAX CONSEQUENCES TO THEM OF THE DISTRIBUTION, INCLUDING THE APPLICATION AND EFFECT OF U.S. FEDERAL, STATE, LOCAL,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i w:val="1"/>
          <w:iCs w:val="1"/>
          <w:color w:val="auto"/>
        </w:rPr>
        <w:t>The material agreements described below are filed as exhibits to the registration statement on Form 10 of which this information statement is a part. The summaries set forth below of each such agreement are qualified in their entirety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July 2021, GXO Logistics, Inc. issued $800 million in aggregate principal amount of notes, consisting of $400 million in aggregate principal amount of notes due 2026 (the “2026 notes”) and $400 million in aggregate principal amount of notes due 2031 (the “2031 notes”, and together with the 2026 notes, the “notes”). The notes were issued pursuant to an indenture dated as of July 2, 2021 (the “Base Indenture”) as supplemented by the First Supplemental Indenture dated as of July 2, 2021 (the “Supplemental Indenture”, and the Base Indenture as amended or supplemented by the Supplemental Indenture, the “Indenture”), in each case between GXO Logistics, Inc. and Wells Fargo Bank, National Association, as trustee (the “Trustee”).</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notes were offered in the United States only to qualified institutional buyers in reliance on Rule 144A under the Securities Act of 1933, as amended (the “Securities Act”), and, outside the United States, only to non-U.S. investors pursuant to Regulation S under the Securities Act. The offering of the notes has not been registered under the Securities Act or any state securities laws and the notes may not be offered or sold in the United States absent an effective registration statement or an applicable exemption from registration requirements or in a transaction not subject to the registration requirements of the Securities Act or any state securities laws.</w:t>
      </w:r>
    </w:p>
    <w:p>
      <w:pPr>
        <w:spacing w:after="0" w:line="13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2026 notes will accrue interest at a rate of 1.65% per year, payable semi-annually in cash in arrears on January 15 and July 15 of each year, beginning on January 15, 2022. The 2026 notes will mature on July 15, 2026, unless earlier repurchased or redeemed, if applicable. The 2031 notes will accrue interest at a rate of 2.65% per year, payable semi-annually in cash in arrears on January 15 and July 15 of each year, beginning on January 15, 2022. The 2031 notes will mature on July 15, 2031, unless earlier repurchased or redeemed, if applicable.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GXO Logistics, Inc. may redeem some or all of the notes of each series at the applicable redemption price, as described in the Supplemental Indenture.</w:t>
      </w:r>
    </w:p>
    <w:p>
      <w:pPr>
        <w:spacing w:after="0" w:line="19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Indenture contains customary events of default with respect to the notes, including failure to make required payments, failure to comply with certain agreements or covenants and certain events of bankruptcy and insolvency.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net proceeds from the notes were placed in an escrow account to be released, subject to the satisfaction of certain terms and conditions, prior to the distribution. GXO Logistics, Inc. expects to use the net proceeds from the offering of the notes (i) to transfer all or a portion of the net proceeds of the notes and other cash and cash equivalents to XPO Logistics, Inc., which XPO Logistics, Inc. intends to use to repay existing indebtedness, (ii) to provide working capital to GXO and/or (iii) to pay fees, costs and expenses incurred in connection with the separation, distribution, such financing transactions and related transactions.</w:t>
      </w:r>
    </w:p>
    <w:p>
      <w:pPr>
        <w:spacing w:after="0" w:line="13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with the issuance of the notes, GXO Logistics, Inc. entered into a registration rights agreement, pursuant to which GXO Logistics, Inc. agreed, for the benefit of the holders of the notes, to use commercially reasonable efforts to (i) file a registration statement on an appropriate registration form with respect to a registered offer to exchange each series of notes for new notes with terms substantially identical in all material respects to such series of notes (except that the exchange notes will not contain terms with respect to transfer restrictions or any increase in annual interest rate) and (ii) cause the registration statement to be declared effective under the Securities Act within 360 days of the issue date of the notes.</w:t>
      </w:r>
    </w:p>
    <w:p>
      <w:pPr>
        <w:spacing w:after="0" w:line="12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foregoing description and the other information in this information statement regarding the notes is included in this information statement solely for informational purposes. Nothing in this information statement should be construed as an offer to sell, or the solicitation of an offer to buy, any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June 2021, GXO Logistics, Inc. entered a Revolving Credit Agreement with the lenders and other parties from time to time party thereto and Citibank, N.A., as administrative agent and an issuing lender (the “Revolving Credit Agreement”).</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Revolving Credit Agreement is a five-year unsecured, multicurrency revolving facility. Initially, the aggregate commitment of all lenders under the Revolving Credit Agreement will be equal to $800 million, of which $60 million will be available for the issuance of letters of credit. The initial availability of revolving loans and letters of credit under the Revolving Credit Agreement is subject to the satisfaction (or waiver) of certain conditions set forth therein, including the consummation of the distribution (such date of initial availability, the “Closing Date”).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following the Closing Date, GXO Logistics, Inc. may, subject to certain conditions set forth in the Revolving Credit Agreement, borrow, repay and reborrow revolving loans at any time prior to the fifth anniversary of the Closing Date. Revolving loans and letters of credit initially will be available, at the option of GXO Logistics, Inc., in U.S. dollars, Canadian dollars or Euros.</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Loans under the Revolving Credit Agreement will bear interest at a fluctuating rate per annum equal to (i) with respect to borrowings in Dollars, at GXO Logistics, Inc.’s option the alternate base rate or the reserve adjusted LIBOR rate, (ii) with respect to borrowings in Canadian Dollars, the reserve adjusted CDOR rate and (iii) with respect to borrowings in Euros, the reserve adjusted EURIBOR rate, in each case, plus an applicable margin calculated based on GXO Logistics, Inc.’s credit ratings.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Revolving Credit Agreement contains representations and warranties, affirmative and negative covenants and events of default customary for unsecured financings of this type, including negative covenants that, among other things, after the distribution, limit the ability of GXO Logistics, Inc. and its subsidiaries to incur liens, limit the ability of GXO Logistics, Inc. to make certain fundamental changes and limit the ability of certain of its subsidiaries to incur indebtedness, in each case subject to a number of important exceptions and qualifications. In addition, the Revolving Credit Agreement requires, after the distribution, GXO Logistics, Inc. to maintain a maximum consolidated leverage ratio.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March 31, 2021, pro forma for the separation and distribution, GXO Logistics, Inc. and its subsidiaries had finance lease liabilities of $163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Before the separation and distribution, all of the outstanding shares of GXO common stock will be owned beneficially and of record by XPO. Following the separation and distribution, GXO expects to have outstanding an aggregate of approximately 114,602,061 shares of common stock based upon approximately 114,602,061 shares of XPO common stock issued and outstanding on July 9, 2021, excluding treasury shares, assuming no exercise of XPO options and applying the distribution ratio.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following table shows all holders known to GXO that are expected to be beneficial owners of more than 5% of the outstanding shares of GXO common stock immediately following the completion of the distribution, based on information available as of July 9, 2021 and based upon the assumption that, for every share of XPO common stock held by such persons, they will receive one share of GXO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Name and Address of Beneficial Owner</w:t>
            </w:r>
          </w:p>
        </w:tc>
        <w:tc>
          <w:tcPr>
            <w:tcW w:w="19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Amount and Nature of</w:t>
            </w:r>
          </w:p>
        </w:tc>
        <w:tc>
          <w:tcPr>
            <w:tcW w:w="1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42"/>
        </w:trPr>
        <w:tc>
          <w:tcPr>
            <w:tcW w:w="7640" w:type="dxa"/>
            <w:vAlign w:val="bottom"/>
            <w:gridSpan w:val="2"/>
            <w:vMerge w:val="continue"/>
          </w:tcPr>
          <w:p>
            <w:pPr>
              <w:spacing w:after="0"/>
              <w:rPr>
                <w:sz w:val="12"/>
                <w:szCs w:val="12"/>
                <w:color w:val="auto"/>
              </w:rPr>
            </w:pPr>
          </w:p>
        </w:tc>
        <w:tc>
          <w:tcPr>
            <w:tcW w:w="1900" w:type="dxa"/>
            <w:vAlign w:val="bottom"/>
            <w:gridSpan w:val="2"/>
          </w:tcPr>
          <w:p>
            <w:pPr>
              <w:jc w:val="right"/>
              <w:ind w:right="282"/>
              <w:spacing w:after="0" w:line="143" w:lineRule="exact"/>
              <w:rPr>
                <w:sz w:val="20"/>
                <w:szCs w:val="20"/>
                <w:color w:val="auto"/>
              </w:rPr>
            </w:pPr>
            <w:r>
              <w:rPr>
                <w:rFonts w:ascii="Arial" w:cs="Arial" w:eastAsia="Arial" w:hAnsi="Arial"/>
                <w:sz w:val="14"/>
                <w:szCs w:val="14"/>
                <w:b w:val="1"/>
                <w:bCs w:val="1"/>
                <w:color w:val="auto"/>
              </w:rPr>
              <w:t>Beneficial Ownership</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15,133,201</w:t>
            </w:r>
          </w:p>
        </w:tc>
        <w:tc>
          <w:tcPr>
            <w:tcW w:w="480" w:type="dxa"/>
            <w:vAlign w:val="bottom"/>
            <w:vMerge w:val="restart"/>
          </w:tcPr>
          <w:p>
            <w:pPr>
              <w:jc w:val="right"/>
              <w:ind w:right="242"/>
              <w:spacing w:after="0"/>
              <w:rPr>
                <w:sz w:val="20"/>
                <w:szCs w:val="20"/>
                <w:color w:val="auto"/>
              </w:rPr>
            </w:pPr>
            <w:r>
              <w:rPr>
                <w:rFonts w:ascii="Arial" w:cs="Arial" w:eastAsia="Arial" w:hAnsi="Arial"/>
                <w:sz w:val="12"/>
                <w:szCs w:val="12"/>
                <w:color w:val="auto"/>
              </w:rPr>
              <w:t>(1)</w:t>
            </w: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8"/>
                <w:szCs w:val="18"/>
                <w:color w:val="auto"/>
              </w:rPr>
              <w:t>Jacobs Private Equity, LLC</w:t>
            </w: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1"/>
        </w:trPr>
        <w:tc>
          <w:tcPr>
            <w:tcW w:w="76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Orbis Investment Management Limited</w:t>
            </w:r>
            <w:r>
              <w:rPr>
                <w:rFonts w:ascii="Arial" w:cs="Arial" w:eastAsia="Arial" w:hAnsi="Arial"/>
                <w:sz w:val="23"/>
                <w:szCs w:val="23"/>
                <w:color w:val="auto"/>
                <w:vertAlign w:val="superscript"/>
              </w:rPr>
              <w:t>(2)</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13,980,053</w:t>
            </w:r>
          </w:p>
        </w:tc>
        <w:tc>
          <w:tcPr>
            <w:tcW w:w="480" w:type="dxa"/>
            <w:vAlign w:val="bottom"/>
          </w:tcPr>
          <w:p>
            <w:pPr>
              <w:spacing w:after="0"/>
              <w:rPr>
                <w:sz w:val="17"/>
                <w:szCs w:val="17"/>
                <w:color w:val="auto"/>
              </w:rPr>
            </w:pP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Orbis House, 25 Front Street</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Hamilton Bermuda HM11</w:t>
            </w: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BlackRock, Inc.</w:t>
            </w:r>
            <w:r>
              <w:rPr>
                <w:rFonts w:ascii="Arial" w:cs="Arial" w:eastAsia="Arial" w:hAnsi="Arial"/>
                <w:sz w:val="22"/>
                <w:szCs w:val="22"/>
                <w:color w:val="auto"/>
                <w:vertAlign w:val="superscript"/>
              </w:rPr>
              <w:t>(3)</w:t>
            </w:r>
          </w:p>
        </w:tc>
        <w:tc>
          <w:tcPr>
            <w:tcW w:w="14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8,327,934</w:t>
            </w: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89"/>
        </w:trPr>
        <w:tc>
          <w:tcPr>
            <w:tcW w:w="76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55 East 52nd Street</w:t>
            </w:r>
          </w:p>
        </w:tc>
        <w:tc>
          <w:tcPr>
            <w:tcW w:w="1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NY 10055</w:t>
            </w: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6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The Vanguard Group</w:t>
            </w:r>
            <w:r>
              <w:rPr>
                <w:rFonts w:ascii="Arial" w:cs="Arial" w:eastAsia="Arial" w:hAnsi="Arial"/>
                <w:sz w:val="21"/>
                <w:szCs w:val="21"/>
                <w:color w:val="auto"/>
                <w:vertAlign w:val="superscript"/>
              </w:rPr>
              <w:t>(4)</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8,095,381</w:t>
            </w:r>
          </w:p>
        </w:tc>
        <w:tc>
          <w:tcPr>
            <w:tcW w:w="48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100 Vanguard Blvd.</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Malvern, PA 19355</w:t>
            </w: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40" w:right="60" w:hanging="332"/>
        <w:spacing w:after="0" w:line="269"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Brad Jacobs has indirect beneficial ownership of the shares of XPO common stock beneficially owned by Jacobs Private Equity, LLC (“JPE”), as a result of being its managing member. In addition, Mr. Jacobs directly owns 387,416 shares of XPO common stock following the vesting of equity incentive awards and exercise of stock options. See footnote (1) in the table below.</w:t>
      </w:r>
    </w:p>
    <w:p>
      <w:pPr>
        <w:ind w:left="340" w:right="120" w:hanging="332"/>
        <w:spacing w:after="0" w:line="241"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Amendment No. 8 to the Schedule 13G filed on January 11, 2021 by Orbis Investment Management Limited (“OIML”), Orbis Investment Management (U.S.), L.P. (“OIMUS”) and Allan Gray Australia Pty Ltd (“AGAPL”), which reported that, as of December 31, 2020, OIML beneficially owned 13,853,375 shares of XPO common stock, OIMUS beneficially owned 119,113 shares of XPO common stock, and AGAPL beneficially owned 7,565 shares of XPO common stock. The group has sole voting and sole dispositive power over such shares of XPO common stock.</w:t>
      </w:r>
    </w:p>
    <w:p>
      <w:pPr>
        <w:spacing w:after="0" w:line="1" w:lineRule="exact"/>
        <w:rPr>
          <w:rFonts w:ascii="Arial" w:cs="Arial" w:eastAsia="Arial" w:hAnsi="Arial"/>
          <w:sz w:val="14"/>
          <w:szCs w:val="14"/>
          <w:color w:val="auto"/>
        </w:rPr>
      </w:pPr>
    </w:p>
    <w:p>
      <w:pPr>
        <w:ind w:left="340" w:right="360" w:hanging="332"/>
        <w:spacing w:after="0" w:line="260"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Amendment No. 2 to the Schedule 13G filed on February 1, 2021 by BlackRock, Inc., which reported that, as of December 31, 2020, BlackRock, Inc. beneficially owned 8,327,934 shares of our common stock, with sole voting power over 7,764,109 shares of XPO common stock and sole dispositive power over 8,327,934 shares of XPO common stock.</w:t>
      </w:r>
    </w:p>
    <w:p>
      <w:pPr>
        <w:ind w:left="340" w:right="160" w:hanging="332"/>
        <w:spacing w:after="0" w:line="248"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Amendment No. 6 to the Schedule 13G filed on February 10, 2021 by The Vanguard Group, which reported that, as of December 31, 2020, The Vanguard Group beneficially owned 8,095,381 shares of XPO common stock with shared voting power over 83,351 shares of XPO common stock, sole dispositive power over 7,889,423 shares of XPO common stock and shared dispositive power over 205,958 shares of XPO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following table shows the ownership or GXO common stock, deferred share units and deferred restricted share units expected to be beneficially owned by our directors, named executive officers, and our directors and current executive officers as a group immediately following the completion of the distribution, based 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as of July 9, 2021 and based on the assumption that, for every share of XPO common stock held by such persons, they will receive one share of GXO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Stock Beneficially</w:t>
            </w:r>
          </w:p>
        </w:tc>
        <w:tc>
          <w:tcPr>
            <w:tcW w:w="1700" w:type="dxa"/>
            <w:vAlign w:val="bottom"/>
          </w:tcPr>
          <w:p>
            <w:pPr>
              <w:jc w:val="right"/>
              <w:ind w:right="54"/>
              <w:spacing w:after="0"/>
              <w:rPr>
                <w:sz w:val="20"/>
                <w:szCs w:val="20"/>
                <w:color w:val="auto"/>
              </w:rPr>
            </w:pPr>
            <w:r>
              <w:rPr>
                <w:rFonts w:ascii="Arial" w:cs="Arial" w:eastAsia="Arial" w:hAnsi="Arial"/>
                <w:sz w:val="14"/>
                <w:szCs w:val="14"/>
                <w:b w:val="1"/>
                <w:bCs w:val="1"/>
                <w:color w:val="auto"/>
                <w:w w:val="97"/>
              </w:rPr>
              <w:t>Percentage of Common</w:t>
            </w:r>
          </w:p>
        </w:tc>
        <w:tc>
          <w:tcPr>
            <w:tcW w:w="0" w:type="dxa"/>
            <w:vAlign w:val="bottom"/>
          </w:tcPr>
          <w:p>
            <w:pPr>
              <w:spacing w:after="0"/>
              <w:rPr>
                <w:sz w:val="1"/>
                <w:szCs w:val="1"/>
                <w:color w:val="auto"/>
              </w:rPr>
            </w:pPr>
          </w:p>
        </w:tc>
      </w:tr>
      <w:tr>
        <w:trPr>
          <w:trHeight w:val="186"/>
        </w:trPr>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700" w:type="dxa"/>
            <w:vAlign w:val="bottom"/>
          </w:tcPr>
          <w:p>
            <w:pPr>
              <w:jc w:val="right"/>
              <w:ind w:right="194"/>
              <w:spacing w:after="0"/>
              <w:rPr>
                <w:sz w:val="20"/>
                <w:szCs w:val="20"/>
                <w:color w:val="auto"/>
              </w:rPr>
            </w:pPr>
            <w:r>
              <w:rPr>
                <w:rFonts w:ascii="Arial" w:cs="Arial" w:eastAsia="Arial" w:hAnsi="Arial"/>
                <w:sz w:val="14"/>
                <w:szCs w:val="14"/>
                <w:b w:val="1"/>
                <w:bCs w:val="1"/>
                <w:color w:val="auto"/>
              </w:rPr>
              <w:t>Stock Outstanding</w:t>
            </w:r>
          </w:p>
        </w:tc>
        <w:tc>
          <w:tcPr>
            <w:tcW w:w="0" w:type="dxa"/>
            <w:vAlign w:val="bottom"/>
          </w:tcPr>
          <w:p>
            <w:pPr>
              <w:spacing w:after="0"/>
              <w:rPr>
                <w:sz w:val="1"/>
                <w:szCs w:val="1"/>
                <w:color w:val="auto"/>
              </w:rPr>
            </w:pPr>
          </w:p>
        </w:tc>
      </w:tr>
      <w:tr>
        <w:trPr>
          <w:trHeight w:val="26"/>
        </w:trPr>
        <w:tc>
          <w:tcPr>
            <w:tcW w:w="7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Brad Jacobs</w:t>
            </w:r>
          </w:p>
        </w:tc>
        <w:tc>
          <w:tcPr>
            <w:tcW w:w="1560" w:type="dxa"/>
            <w:vAlign w:val="bottom"/>
          </w:tcPr>
          <w:p>
            <w:pPr>
              <w:jc w:val="right"/>
              <w:spacing w:after="0"/>
              <w:rPr>
                <w:sz w:val="20"/>
                <w:szCs w:val="20"/>
                <w:color w:val="auto"/>
              </w:rPr>
            </w:pPr>
            <w:r>
              <w:rPr>
                <w:rFonts w:ascii="Arial" w:cs="Arial" w:eastAsia="Arial" w:hAnsi="Arial"/>
                <w:sz w:val="18"/>
                <w:szCs w:val="18"/>
                <w:color w:val="auto"/>
              </w:rPr>
              <w:t>15,520,617</w:t>
            </w:r>
            <w:r>
              <w:rPr>
                <w:rFonts w:ascii="Arial" w:cs="Arial" w:eastAsia="Arial" w:hAnsi="Arial"/>
                <w:sz w:val="23"/>
                <w:szCs w:val="23"/>
                <w:color w:val="auto"/>
                <w:vertAlign w:val="superscript"/>
              </w:rPr>
              <w:t>(1)</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74"/>
        </w:trPr>
        <w:tc>
          <w:tcPr>
            <w:tcW w:w="788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Oren Shaffer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0"/>
        </w:trPr>
        <w:tc>
          <w:tcPr>
            <w:tcW w:w="7880" w:type="dxa"/>
            <w:vAlign w:val="bottom"/>
            <w:tcBorders>
              <w:bottom w:val="single" w:sz="8" w:color="CCEEFF"/>
            </w:tcBorders>
            <w:gridSpan w:val="2"/>
            <w:vMerge w:val="continue"/>
            <w:shd w:val="clear" w:color="auto" w:fill="CCEEFF"/>
          </w:tcPr>
          <w:p>
            <w:pPr>
              <w:spacing w:after="0"/>
              <w:rPr>
                <w:sz w:val="8"/>
                <w:szCs w:val="8"/>
                <w:color w:val="auto"/>
              </w:rPr>
            </w:pPr>
          </w:p>
        </w:tc>
        <w:tc>
          <w:tcPr>
            <w:tcW w:w="1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Marlene Colucci</w:t>
            </w:r>
          </w:p>
        </w:tc>
        <w:tc>
          <w:tcPr>
            <w:tcW w:w="1560" w:type="dxa"/>
            <w:vAlign w:val="bottom"/>
          </w:tcPr>
          <w:p>
            <w:pPr>
              <w:jc w:val="right"/>
              <w:spacing w:after="0"/>
              <w:rPr>
                <w:sz w:val="20"/>
                <w:szCs w:val="20"/>
                <w:color w:val="auto"/>
              </w:rPr>
            </w:pPr>
            <w:r>
              <w:rPr>
                <w:rFonts w:ascii="Arial" w:cs="Arial" w:eastAsia="Arial" w:hAnsi="Arial"/>
                <w:sz w:val="18"/>
                <w:szCs w:val="18"/>
                <w:color w:val="auto"/>
              </w:rPr>
              <w:t>2,637</w:t>
            </w:r>
            <w:r>
              <w:rPr>
                <w:rFonts w:ascii="Arial" w:cs="Arial" w:eastAsia="Arial" w:hAnsi="Arial"/>
                <w:sz w:val="23"/>
                <w:szCs w:val="23"/>
                <w:color w:val="auto"/>
                <w:vertAlign w:val="superscript"/>
              </w:rPr>
              <w:t>(3)</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Gena Ashe</w:t>
            </w:r>
          </w:p>
        </w:tc>
        <w:tc>
          <w:tcPr>
            <w:tcW w:w="156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vertAlign w:val="subscript"/>
              </w:rPr>
              <w:t>0</w:t>
            </w:r>
            <w:r>
              <w:rPr>
                <w:rFonts w:ascii="Arial" w:cs="Arial" w:eastAsia="Arial" w:hAnsi="Arial"/>
                <w:sz w:val="12"/>
                <w:szCs w:val="12"/>
                <w:color w:val="auto"/>
              </w:rPr>
              <w:t>(4)</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7880" w:type="dxa"/>
            <w:vAlign w:val="bottom"/>
            <w:gridSpan w:val="2"/>
            <w:vMerge w:val="continue"/>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Clare Chatfield</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Joli Gross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2"/>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Jason Papastavrou</w:t>
            </w:r>
          </w:p>
        </w:tc>
        <w:tc>
          <w:tcPr>
            <w:tcW w:w="1560" w:type="dxa"/>
            <w:vAlign w:val="bottom"/>
          </w:tcPr>
          <w:p>
            <w:pPr>
              <w:jc w:val="right"/>
              <w:spacing w:after="0"/>
              <w:rPr>
                <w:sz w:val="20"/>
                <w:szCs w:val="20"/>
                <w:color w:val="auto"/>
              </w:rPr>
            </w:pPr>
            <w:r>
              <w:rPr>
                <w:rFonts w:ascii="Arial" w:cs="Arial" w:eastAsia="Arial" w:hAnsi="Arial"/>
                <w:sz w:val="18"/>
                <w:szCs w:val="18"/>
                <w:color w:val="auto"/>
              </w:rPr>
              <w:t>180,208</w:t>
            </w:r>
            <w:r>
              <w:rPr>
                <w:rFonts w:ascii="Arial" w:cs="Arial" w:eastAsia="Arial" w:hAnsi="Arial"/>
                <w:sz w:val="23"/>
                <w:szCs w:val="23"/>
                <w:color w:val="auto"/>
                <w:vertAlign w:val="superscript"/>
              </w:rPr>
              <w:t>(5)</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NEOs: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Malcolm Wilson</w:t>
            </w:r>
            <w:r>
              <w:rPr>
                <w:rFonts w:ascii="Arial" w:cs="Arial" w:eastAsia="Arial" w:hAnsi="Arial"/>
                <w:sz w:val="9"/>
                <w:szCs w:val="9"/>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15,844</w:t>
            </w:r>
            <w:r>
              <w:rPr>
                <w:rFonts w:ascii="Arial" w:cs="Arial" w:eastAsia="Arial" w:hAnsi="Arial"/>
                <w:sz w:val="23"/>
                <w:szCs w:val="23"/>
                <w:color w:val="auto"/>
                <w:vertAlign w:val="superscript"/>
              </w:rPr>
              <w:t>(6)</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Baris Oran</w:t>
            </w:r>
          </w:p>
        </w:tc>
        <w:tc>
          <w:tcPr>
            <w:tcW w:w="1560" w:type="dxa"/>
            <w:vAlign w:val="bottom"/>
            <w:shd w:val="clear" w:color="auto" w:fill="CCEEFF"/>
          </w:tcPr>
          <w:p>
            <w:pPr>
              <w:jc w:val="right"/>
              <w:spacing w:after="0" w:line="351" w:lineRule="exact"/>
              <w:rPr>
                <w:sz w:val="20"/>
                <w:szCs w:val="20"/>
                <w:color w:val="auto"/>
              </w:rPr>
            </w:pPr>
            <w:r>
              <w:rPr>
                <w:rFonts w:ascii="Arial" w:cs="Arial" w:eastAsia="Arial" w:hAnsi="Arial"/>
                <w:sz w:val="35"/>
                <w:szCs w:val="35"/>
                <w:color w:val="auto"/>
                <w:vertAlign w:val="subscript"/>
              </w:rPr>
              <w:t>0</w:t>
            </w:r>
            <w:r>
              <w:rPr>
                <w:rFonts w:ascii="Arial" w:cs="Arial" w:eastAsia="Arial" w:hAnsi="Arial"/>
                <w:sz w:val="12"/>
                <w:szCs w:val="12"/>
                <w:color w:val="auto"/>
              </w:rPr>
              <w:t>(7)</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788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Karlis Kirsis</w:t>
            </w:r>
          </w:p>
        </w:tc>
        <w:tc>
          <w:tcPr>
            <w:tcW w:w="1560" w:type="dxa"/>
            <w:vAlign w:val="bottom"/>
          </w:tcPr>
          <w:p>
            <w:pPr>
              <w:jc w:val="right"/>
              <w:spacing w:after="0"/>
              <w:rPr>
                <w:sz w:val="20"/>
                <w:szCs w:val="20"/>
                <w:color w:val="auto"/>
              </w:rPr>
            </w:pPr>
            <w:r>
              <w:rPr>
                <w:rFonts w:ascii="Arial" w:cs="Arial" w:eastAsia="Arial" w:hAnsi="Arial"/>
                <w:sz w:val="18"/>
                <w:szCs w:val="18"/>
                <w:color w:val="auto"/>
              </w:rPr>
              <w:t>20,922</w:t>
            </w:r>
            <w:r>
              <w:rPr>
                <w:rFonts w:ascii="Arial" w:cs="Arial" w:eastAsia="Arial" w:hAnsi="Arial"/>
                <w:sz w:val="23"/>
                <w:szCs w:val="23"/>
                <w:color w:val="auto"/>
                <w:vertAlign w:val="superscript"/>
              </w:rPr>
              <w:t>(8)</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Maryclaire Hammond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r>
              <w:rPr>
                <w:rFonts w:ascii="Arial" w:cs="Arial" w:eastAsia="Arial" w:hAnsi="Arial"/>
                <w:sz w:val="23"/>
                <w:szCs w:val="23"/>
                <w:color w:val="auto"/>
                <w:vertAlign w:val="superscript"/>
              </w:rPr>
              <w:t>(9)</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0"/>
        </w:trPr>
        <w:tc>
          <w:tcPr>
            <w:tcW w:w="7880" w:type="dxa"/>
            <w:vAlign w:val="bottom"/>
            <w:tcBorders>
              <w:bottom w:val="single" w:sz="8" w:color="CCEEFF"/>
            </w:tcBorders>
            <w:gridSpan w:val="2"/>
            <w:vMerge w:val="continue"/>
            <w:shd w:val="clear" w:color="auto" w:fill="CCEEFF"/>
          </w:tcPr>
          <w:p>
            <w:pPr>
              <w:spacing w:after="0"/>
              <w:rPr>
                <w:sz w:val="8"/>
                <w:szCs w:val="8"/>
                <w:color w:val="auto"/>
              </w:rPr>
            </w:pPr>
          </w:p>
        </w:tc>
        <w:tc>
          <w:tcPr>
            <w:tcW w:w="1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Directors &amp; Officer As a Group</w:t>
            </w:r>
          </w:p>
        </w:tc>
        <w:tc>
          <w:tcPr>
            <w:tcW w:w="1560" w:type="dxa"/>
            <w:vAlign w:val="bottom"/>
          </w:tcPr>
          <w:p>
            <w:pPr>
              <w:jc w:val="right"/>
              <w:spacing w:after="0"/>
              <w:rPr>
                <w:sz w:val="20"/>
                <w:szCs w:val="20"/>
                <w:color w:val="auto"/>
              </w:rPr>
            </w:pPr>
            <w:r>
              <w:rPr>
                <w:rFonts w:ascii="Arial" w:cs="Arial" w:eastAsia="Arial" w:hAnsi="Arial"/>
                <w:sz w:val="18"/>
                <w:szCs w:val="18"/>
                <w:color w:val="auto"/>
              </w:rPr>
              <w:t>15,777,185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Director and Executive Officer</w:t>
      </w:r>
    </w:p>
    <w:p>
      <w:pPr>
        <w:spacing w:after="0" w:line="1" w:lineRule="exact"/>
        <w:rPr>
          <w:sz w:val="20"/>
          <w:szCs w:val="20"/>
          <w:color w:val="auto"/>
        </w:rPr>
      </w:pPr>
    </w:p>
    <w:p>
      <w:pPr>
        <w:ind w:left="340" w:right="120" w:hanging="332"/>
        <w:spacing w:after="0" w:line="241" w:lineRule="auto"/>
        <w:tabs>
          <w:tab w:leader="none" w:pos="332"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Jacobs has indirect beneficial ownership of the shares of XPO common stock (15,133,201) beneficially owned by JPE as a result of being its managing member. Also includes 387,416 shares of XPO common stock held directly by Mr. Jacobs following the vesting of equity incentive awards and exercise of stock options.</w:t>
      </w: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29,044 vested deferred and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3,996 vested deferred and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16,002 vested deferred and unvested RSUs that will be converted to GXO RSUs on August 2, 2021.</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180,208 shares of XPO common stock beneficially owned by Springer Wealth Management LLC, of which Dr. Papastavrou is the owner of 100% of the equity securities. Excludes 23,295 vested deferred and unvested RSUs that will be converted to GXO RSUs on August 2, 2021.</w:t>
      </w: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53,862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100,000 unvested stock options that will be converted to GXO stock options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13,683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9,114 unvested RSUs that will be converted to GXO RSUs on August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GXO’s certificate of incorporation and bylaws will be amended and restated prior to the distribution. The following briefly summarizes the material terms of our capital stock that will be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our capital stock as of the time of the distribution. The amended and restated certificate of incorporation and amended and restated bylaws, each in a form expected to be in effect at the time of the distribution, will be included as exhibits to GXO’s registration statement on Form 10, of which this information statement forms a part. We will include our amended and restated certificate of incorporation and amended and restated bylaws, as in effect at the time of the distribution, in a Current Report on Form 8-K filed with the SEC. The following also summarizes certain relevant provisions of the DGCL. Since the terms of the DGCL are more detailed than the general information provided below, you should read the actual provisions of the DGCL for complete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GXO’s authorized capital stock will consist of 300,000,000 shares of common stock, par value $0.01 per share, and 10,000,000 shares of preferred stock, par value $0.01 per share.</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Immediately following the distribution, we expect that approximately 114,602,061 shares of our common stock will be issued and outstanding, based on approximately 114,602,061 shares of XPO common stock issued and outstanding on July 9, 2021, and that no shares of our preferred stock will be issued and outstanding.</w:t>
      </w:r>
    </w:p>
    <w:p>
      <w:pPr>
        <w:spacing w:after="0" w:line="130" w:lineRule="exact"/>
        <w:rPr>
          <w:sz w:val="20"/>
          <w:szCs w:val="20"/>
          <w:color w:val="auto"/>
        </w:rPr>
      </w:pPr>
    </w:p>
    <w:p>
      <w:pPr>
        <w:ind w:right="4660" w:firstLine="324"/>
        <w:spacing w:after="0" w:line="438" w:lineRule="auto"/>
        <w:rPr>
          <w:sz w:val="20"/>
          <w:szCs w:val="20"/>
          <w:color w:val="auto"/>
        </w:rPr>
      </w:pPr>
      <w:r>
        <w:rPr>
          <w:rFonts w:ascii="Arial" w:cs="Arial" w:eastAsia="Arial" w:hAnsi="Arial"/>
          <w:sz w:val="18"/>
          <w:szCs w:val="18"/>
          <w:color w:val="auto"/>
        </w:rPr>
        <w:t xml:space="preserve">GXO’s common stock is expected to be listed on the NYSE under the symbol “GXO.” </w:t>
      </w:r>
      <w:r>
        <w:rPr>
          <w:rFonts w:ascii="Arial" w:cs="Arial" w:eastAsia="Arial" w:hAnsi="Arial"/>
          <w:sz w:val="18"/>
          <w:szCs w:val="18"/>
          <w:b w:val="1"/>
          <w:bCs w:val="1"/>
          <w:color w:val="auto"/>
        </w:rPr>
        <w:t>Common Stock</w:t>
      </w:r>
    </w:p>
    <w:p>
      <w:pPr>
        <w:spacing w:after="0" w:line="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Immediately following the distribution, we expect that approximately 114,602,061 shares of our common stock will be issued and outstanding, all of which will be fully paid and non-assessable.</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Common stockholders will be entitled to one vote for each share held on all matters submitted to a vote of stockholders. Except as otherwise required by law and except for director elections (see below), whenever any corporate action is to be taken, such action will be authorized by a majority of the votes cast at a meeting of stockholders by the stockholders entitled to vote thereon.</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Common stockholders will be entitled to share equally in the dividends, if any, that may be declared by GXO’s board of directors out of funds that are legally available to pay dividends, but only after payment of any dividends required to be paid on outstanding preferred stock, if any. Upon any voluntary or involuntary liquidation, dissolution or winding up of GXO, the common stockholders will be entitled to share ratably in all assets of GXO remaining after we pay all of our debts and other liabilities and any amounts we may owe to the holders of our preferred stock, if any.</w:t>
      </w:r>
    </w:p>
    <w:p>
      <w:pPr>
        <w:spacing w:after="0" w:line="11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Common stockholders will not have any preemptive, subscription, redemption or conversion rights. The rights, preferences and privileges of common stockholders will be subject to the rights of the stockholders of any series of preferred stock that we will or may designate and issue.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Delaware law and our amended and restated bylaws will permit us to issue uncertificated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Delaware law and our amended and restated certificate of incorporation, our board of directors will have the authority, without further action by the stockholders, to issue shares of preferred stock in one or more series, and to fix the rights, preferences and privileges (including voting rights, dividend rights,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redemption privileges and liquidation preferences) of each series, which may be greater than the rights of the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distribution, we expect no shares of our preferred stock to be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will institute strong corporate governance practices, as described below and elsewhere in this information statement. Responsible and appropriate corporate governance will ensure that our management always keeps stockholder interests in mind when crafting value-creating strategies at all levels of the organization.</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Single Class Capital Structure</w:t>
      </w:r>
      <w:r>
        <w:rPr>
          <w:rFonts w:ascii="Arial" w:cs="Arial" w:eastAsia="Arial" w:hAnsi="Arial"/>
          <w:sz w:val="18"/>
          <w:szCs w:val="18"/>
          <w:color w:val="auto"/>
        </w:rPr>
        <w:t>. We will have a single class share capital structure with all stockholders entitled to vote for director nominees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common stock entitled to one vote per share.</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Director Elections</w:t>
      </w:r>
      <w:r>
        <w:rPr>
          <w:rFonts w:ascii="Arial" w:cs="Arial" w:eastAsia="Arial" w:hAnsi="Arial"/>
          <w:sz w:val="18"/>
          <w:szCs w:val="18"/>
          <w:color w:val="auto"/>
        </w:rPr>
        <w:t>. The election of directors in an uncontested election will require the affirmative vote of a majority of the votes cast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voted “for” a director’s election exceeds fifty percent (50%) of the number of votes cast with respect to that director’s election) by holders of shares of our common stock at the meeting at which a quorum is present. If any incumbent director standing for re-election receives a greater number of votes “against” his or her election than votes “for” such election, our amended and restated bylaws will require that such person promptly tender his or her resignation to our board of directors. Once an election is determined to be a contested election, directors will be elected by a plurality of the votes cast at the meeting at which a quorum is present.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As discussed further below, upon completion of the separation, we will have a classified board until 2025.</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Majority Vote for Mergers and Other Business Combinations</w:t>
      </w:r>
      <w:r>
        <w:rPr>
          <w:rFonts w:ascii="Arial" w:cs="Arial" w:eastAsia="Arial" w:hAnsi="Arial"/>
          <w:sz w:val="18"/>
          <w:szCs w:val="18"/>
          <w:color w:val="auto"/>
        </w:rPr>
        <w:t>. Mergers and other business combinations involving GXO will generally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approved by a majority of our outstanding shares of common stock where such stockholder approval is required.</w:t>
      </w:r>
    </w:p>
    <w:p>
      <w:pPr>
        <w:spacing w:after="0" w:line="11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Other Expected Corporate Governance Features</w:t>
      </w:r>
      <w:r>
        <w:rPr>
          <w:rFonts w:ascii="Arial" w:cs="Arial" w:eastAsia="Arial" w:hAnsi="Arial"/>
          <w:sz w:val="18"/>
          <w:szCs w:val="18"/>
          <w:color w:val="auto"/>
        </w:rPr>
        <w:t>. Governance features related to our board of directors are set forth in the section of this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captioned “Directors.” In addition to the foregoing, it is expected that we will implement stock ownership guidelines for directors and senior executive officers, annual board performance evaluations, clawback and anti-hedging policies, prohibitions on option repricing in equity plans without stockholder approval, risk oversight procedures and other practices and protocols.</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Anti-Takeover Effects of Various Provisions of Delaware Law, our Amended and Restated Certificate of Incorporation, and our Amended and Restated Bylaws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Provisions of the DGCL, our amended and restated certificate of incorporation and our amended and restated bylaws could make it more difficult to acquire GXO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GXO to first negotiate with our board of directors. We believe that the benefits of increased protection of our potential ability to negotiate with the proponent of an unfriendly or unsolicited proposal to acquire or restructure GXO outweigh the disadvantages of discouraging takeover or acquisition proposals because, among other things, negotiation of these proposals could result in an improvement of their terms.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Section 203 of the DGCL, an anti-takeover statute, generally prohibits a publicly held Delaware corporation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 interested stockholder. An “interested stockholder” generally is a person who, together with affiliates and associates, owns (or within three years prior to the determination of interested stockholder status did own) 15 percent or more of a corporation’s voting stock. The existence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GXO will not “opt out” of, and will thus be subject to, Section 203 of the DGCL.</w:t>
      </w:r>
    </w:p>
    <w:p>
      <w:pPr>
        <w:spacing w:after="0" w:line="1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Upon completion of the separation, our board of directors will initially be divided into three classes, with Class I composed of two</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Class II composed of three directors and Class III composed of three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of stockholders, which we expect to hold in 2023, and the directors designated as Class III directors will have terms expiring at the following year’s annual meeting of stockholders, which we expect to hold in 2024. At the first annual meetings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Size of Board and Vacancies</w:t>
      </w:r>
      <w:r>
        <w:rPr>
          <w:rFonts w:ascii="Arial" w:cs="Arial" w:eastAsia="Arial" w:hAnsi="Arial"/>
          <w:sz w:val="16"/>
          <w:szCs w:val="16"/>
          <w:color w:val="auto"/>
        </w:rPr>
        <w:t>. Our amended and restated certificate of incorporation and bylaws will provide that the number of directors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be fixed exclusively by our board of directors. Our bylaws will also provide that the size of the board of directors will be not less than one nor more than twelve members. Any vacancies created in the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annual meeting of stockholders, and until his or her successor has been elected and qualified.</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Director Removal</w:t>
      </w:r>
      <w:r>
        <w:rPr>
          <w:rFonts w:ascii="Arial" w:cs="Arial" w:eastAsia="Arial" w:hAnsi="Arial"/>
          <w:sz w:val="16"/>
          <w:szCs w:val="16"/>
          <w:color w:val="auto"/>
        </w:rPr>
        <w:t>. Our amended and restated certificate of incorporation and/or bylaws will provide that (i) prior to the board being fully declassified,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above, stockholders will be permitted to remove a director only for cause; and (ii) after the board has been fully declassified, stockholders may remove the Company’s directors with or without cause. Removal will require the affirmative vote of at least a majority of the Company’s voting stock.</w:t>
      </w:r>
    </w:p>
    <w:p>
      <w:pPr>
        <w:spacing w:after="0" w:line="9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Stockholder Action by Written Consent</w:t>
      </w:r>
      <w:r>
        <w:rPr>
          <w:rFonts w:ascii="Arial" w:cs="Arial" w:eastAsia="Arial" w:hAnsi="Arial"/>
          <w:sz w:val="16"/>
          <w:szCs w:val="16"/>
          <w:color w:val="auto"/>
        </w:rPr>
        <w:t>. Our amended and restated certificate of incorporation will expressly eliminate the right of our stockholders to</w:t>
      </w:r>
      <w:r>
        <w:rPr>
          <w:rFonts w:ascii="Arial" w:cs="Arial" w:eastAsia="Arial" w:hAnsi="Arial"/>
          <w:sz w:val="16"/>
          <w:szCs w:val="16"/>
          <w:i w:val="1"/>
          <w:iCs w:val="1"/>
          <w:color w:val="auto"/>
        </w:rPr>
        <w:t xml:space="preserve"> </w:t>
      </w:r>
      <w:r>
        <w:rPr>
          <w:rFonts w:ascii="Arial" w:cs="Arial" w:eastAsia="Arial" w:hAnsi="Arial"/>
          <w:sz w:val="16"/>
          <w:szCs w:val="16"/>
          <w:color w:val="auto"/>
        </w:rPr>
        <w:t>act by written consent effective as of the distribution. Stockholder action must take place at the annual or at a special meeting of GXO stockholders.</w:t>
      </w:r>
    </w:p>
    <w:p>
      <w:pPr>
        <w:spacing w:after="0" w:line="7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Special Stockholder Meetings</w:t>
      </w:r>
      <w:r>
        <w:rPr>
          <w:rFonts w:ascii="Arial" w:cs="Arial" w:eastAsia="Arial" w:hAnsi="Arial"/>
          <w:sz w:val="18"/>
          <w:szCs w:val="18"/>
          <w:color w:val="auto"/>
        </w:rPr>
        <w:t>. Our amended and restated certificate of incorporation will provide that the Chairman of the board of directors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pursuant to a resolution adopted by a majority of the entire board of directors may call special meetings of our stockholders. Stockholders may not call special meetings of stockholders.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certificate of incorporation will mandate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stockholder nominations for the election of directors be given in accordance with the bylaws. Our amended and restated bylaws will establish advance notice procedures with respect to stockholder proposals and nomination of candidates for election as directors as well as other requirements for stockholders making the proposals or nominations. Additionally, the bylaws will require that candidates for election as director disclose their qualifications and make certain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stockholders are denied the right to cumulate votes in the election of directors unless a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Our amended and restated certificate of incorporation will not provide for cumulative voting.</w:t>
      </w:r>
    </w:p>
    <w:p>
      <w:pPr>
        <w:spacing w:after="0" w:line="7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amended and restated certificate of incorporation will authorize 10,000,000 shares of undesignated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our board of directors will be permitted, without the approval of holders of our common stock, to issue shares of our preferred stock with super voting, special approval, dividend or other rights or preferences on a discriminatory basis that could impede the success of any attempt to acquire GXO.</w:t>
      </w:r>
    </w:p>
    <w:p>
      <w:pPr>
        <w:spacing w:after="0" w:line="2" w:lineRule="exact"/>
        <w:rPr>
          <w:sz w:val="20"/>
          <w:szCs w:val="20"/>
          <w:color w:val="auto"/>
        </w:rPr>
      </w:pPr>
    </w:p>
    <w:p>
      <w:pPr>
        <w:ind w:right="380"/>
        <w:spacing w:after="0" w:line="429" w:lineRule="auto"/>
        <w:rPr>
          <w:sz w:val="20"/>
          <w:szCs w:val="20"/>
          <w:color w:val="auto"/>
        </w:rPr>
      </w:pPr>
      <w:r>
        <w:rPr>
          <w:rFonts w:ascii="Arial" w:cs="Arial" w:eastAsia="Arial" w:hAnsi="Arial"/>
          <w:sz w:val="18"/>
          <w:szCs w:val="18"/>
          <w:color w:val="auto"/>
        </w:rPr>
        <w:t xml:space="preserve">These and other provisions may have the effect of deferring, delaying or discouraging hostile takeovers or changes in control or management of GXO. </w:t>
      </w:r>
      <w:r>
        <w:rPr>
          <w:rFonts w:ascii="Arial" w:cs="Arial" w:eastAsia="Arial" w:hAnsi="Arial"/>
          <w:sz w:val="18"/>
          <w:szCs w:val="18"/>
          <w:b w:val="1"/>
          <w:bCs w:val="1"/>
          <w:color w:val="auto"/>
        </w:rPr>
        <w:t>Limitation of Liability and Indemnification of Officers and Directors</w:t>
      </w:r>
    </w:p>
    <w:p>
      <w:pPr>
        <w:spacing w:after="0" w:line="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certificate of incorporation and amended and restated bylaws will include provisions that indemnify, to the fullest extent allowable under the DGCL, the personal liability of directors or officers for monetary damages for actions taken as a director or officer of GXO, or for serving at our request as a director or officer or in another position at another corporation or enterprise, as the case may be. Our amended and restated certificate of incorporation and amended and restated bylaws will also provide that we must indemnify and advance expenses to our directors and officers, subject to our receipt of an undertaking from the indemnitee as may be required under the DGCL. We will also be expressly authorized to, and intend to, carry directors’ and officers’ insurance to protect GXO and our directors, officers, employees and agents from certain liabilities.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 of Common Stock</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Authorized but unissued shares of our common stock and preferred stock will be available for future issuance without approval by the holders of our common stock. We will be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GXO by means of a proxy contest, tender offer, merger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amended and restated certificate of incorporation will provide that unless our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list our shares of common stock on the NYSE under the symbol “GXO.”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February 16, 2021, GXO issued 100 shares of its common stock to XPO for total consideration of $10. Pursuant to Section 4(a)(2) of the Securities Act, we did not register the issuance of the issued shares under the Securities Act because such issuance did not constitute a public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distribution, the transfer agent and registrar for our common stock will be Computershare.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GXO and GXO common stock, please refer to the registration statement, including its exhibits and schedules. Statements made in this information statement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contained on or connected to</w:t>
      </w:r>
      <w:r>
        <w:rPr>
          <w:rFonts w:ascii="Arial" w:cs="Arial" w:eastAsia="Arial" w:hAnsi="Arial"/>
          <w:sz w:val="16"/>
          <w:szCs w:val="16"/>
          <w:color w:val="auto"/>
        </w:rPr>
        <w:t xml:space="preserve"> </w:t>
      </w:r>
      <w:r>
        <w:rPr>
          <w:rFonts w:ascii="Arial" w:cs="Arial" w:eastAsia="Arial" w:hAnsi="Arial"/>
          <w:sz w:val="16"/>
          <w:szCs w:val="16"/>
          <w:b w:val="1"/>
          <w:bCs w:val="1"/>
          <w:color w:val="auto"/>
        </w:rPr>
        <w:t>any website referenced in this information statement is not incorporated into this information statement or the registration statement of which this information statement forms a part, or in any other filings with, or any information furnished or submitted to, the SEC</w:t>
      </w:r>
      <w:r>
        <w:rPr>
          <w:rFonts w:ascii="Arial" w:cs="Arial" w:eastAsia="Arial" w:hAnsi="Arial"/>
          <w:sz w:val="16"/>
          <w:szCs w:val="16"/>
          <w:color w:val="auto"/>
        </w:rPr>
        <w:t>.</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a result of the distribution, GXO will become subject to the information and reporting requirements of the Exchange Act and, in accordance with the Exchange Act, will file periodic reports, proxy statements and other information with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 and audited and reported on, with an opinion expressed, by an independent registered public accounting firm.</w:t>
      </w:r>
    </w:p>
    <w:p>
      <w:pPr>
        <w:spacing w:after="0" w:line="18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10000" w:type="dxa"/>
            <w:vAlign w:val="bottom"/>
            <w:gridSpan w:val="12"/>
            <w:vMerge w:val="restart"/>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Report of Independent Registered Public Accounting Firm</w:t>
              </w:r>
            </w:hyperlink>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0" w:type="dxa"/>
            <w:vAlign w:val="bottom"/>
            <w:gridSpan w:val="12"/>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80"/>
              <w:spacing w:after="0" w:line="182" w:lineRule="exact"/>
              <w:rPr>
                <w:rFonts w:ascii="Arial" w:cs="Arial" w:eastAsia="Arial" w:hAnsi="Arial"/>
                <w:sz w:val="18"/>
                <w:szCs w:val="18"/>
                <w:color w:val="0000FF"/>
                <w:w w:val="96"/>
              </w:rPr>
            </w:pPr>
            <w:hyperlink w:anchor="page138">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140">
              <w:r>
                <w:rPr>
                  <w:rFonts w:ascii="Arial" w:cs="Arial" w:eastAsia="Arial" w:hAnsi="Arial"/>
                  <w:sz w:val="18"/>
                  <w:szCs w:val="18"/>
                  <w:color w:val="0000FF"/>
                  <w:w w:val="88"/>
                </w:rPr>
                <w:t>Combined Balance Sheets as of December 31, 2020 and 2019</w:t>
              </w:r>
            </w:hyperlink>
          </w:p>
        </w:tc>
        <w:tc>
          <w:tcPr>
            <w:tcW w:w="5540" w:type="dxa"/>
            <w:vAlign w:val="bottom"/>
            <w:gridSpan w:val="8"/>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40">
              <w:r>
                <w:rPr>
                  <w:rFonts w:ascii="Arial" w:cs="Arial" w:eastAsia="Arial" w:hAnsi="Arial"/>
                  <w:sz w:val="18"/>
                  <w:szCs w:val="18"/>
                  <w:color w:val="0000FF"/>
                  <w:w w:val="96"/>
                </w:rPr>
                <w:t>F-4</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Combined Statements of Operations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141">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42">
              <w:r>
                <w:rPr>
                  <w:rFonts w:ascii="Arial" w:cs="Arial" w:eastAsia="Arial" w:hAnsi="Arial"/>
                  <w:sz w:val="18"/>
                  <w:szCs w:val="18"/>
                  <w:color w:val="0000FF"/>
                  <w:w w:val="89"/>
                </w:rPr>
                <w:t>Combined Statements of Comprehensive Income (Loss) for the Years Ended December 31, 2020, 2019 and 2018</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42">
              <w:r>
                <w:rPr>
                  <w:rFonts w:ascii="Arial" w:cs="Arial" w:eastAsia="Arial" w:hAnsi="Arial"/>
                  <w:sz w:val="18"/>
                  <w:szCs w:val="18"/>
                  <w:color w:val="0000FF"/>
                  <w:w w:val="96"/>
                </w:rPr>
                <w:t>F-6</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0" w:type="dxa"/>
            <w:vAlign w:val="bottom"/>
            <w:gridSpan w:val="12"/>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Combined Statements of Cash Flows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143">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Combined Statements of Changes in Equity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144">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64"/>
        </w:trPr>
        <w:tc>
          <w:tcPr>
            <w:tcW w:w="2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45">
              <w:r>
                <w:rPr>
                  <w:rFonts w:ascii="Arial" w:cs="Arial" w:eastAsia="Arial" w:hAnsi="Arial"/>
                  <w:sz w:val="18"/>
                  <w:szCs w:val="18"/>
                  <w:color w:val="0000FF"/>
                  <w:w w:val="89"/>
                </w:rPr>
                <w:t>Notes to Combined Financial Statements</w:t>
              </w:r>
            </w:hyperlink>
          </w:p>
        </w:tc>
        <w:tc>
          <w:tcPr>
            <w:tcW w:w="4280" w:type="dxa"/>
            <w:vAlign w:val="bottom"/>
            <w:tcBorders>
              <w:top w:val="single" w:sz="8" w:color="0000FF"/>
            </w:tcBorders>
            <w:gridSpan w:val="6"/>
          </w:tcPr>
          <w:p>
            <w:pPr>
              <w:spacing w:after="0"/>
              <w:rPr>
                <w:sz w:val="22"/>
                <w:szCs w:val="22"/>
                <w:color w:val="auto"/>
              </w:rPr>
            </w:pPr>
          </w:p>
        </w:tc>
        <w:tc>
          <w:tcPr>
            <w:tcW w:w="27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hyperlink w:anchor="page145">
              <w:r>
                <w:rPr>
                  <w:rFonts w:ascii="Arial" w:cs="Arial" w:eastAsia="Arial" w:hAnsi="Arial"/>
                  <w:sz w:val="18"/>
                  <w:szCs w:val="18"/>
                  <w:color w:val="0000FF"/>
                  <w:w w:val="96"/>
                </w:rPr>
                <w:t>F-9</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9"/>
        </w:trPr>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6960" w:type="dxa"/>
            <w:vAlign w:val="bottom"/>
            <w:gridSpan w:val="6"/>
            <w:vMerge w:val="restart"/>
          </w:tcPr>
          <w:p>
            <w:pPr>
              <w:spacing w:after="0"/>
              <w:rPr>
                <w:rFonts w:ascii="Arial" w:cs="Arial" w:eastAsia="Arial" w:hAnsi="Arial"/>
                <w:sz w:val="18"/>
                <w:szCs w:val="18"/>
                <w:color w:val="0000FF"/>
                <w:w w:val="89"/>
              </w:rPr>
            </w:pPr>
            <w:hyperlink w:anchor="page166">
              <w:r>
                <w:rPr>
                  <w:rFonts w:ascii="Arial" w:cs="Arial" w:eastAsia="Arial" w:hAnsi="Arial"/>
                  <w:sz w:val="18"/>
                  <w:szCs w:val="18"/>
                  <w:color w:val="0000FF"/>
                  <w:w w:val="89"/>
                </w:rPr>
                <w:t>Condensed Combined Balance Sheets as of March 31, 2021 (unaudited) and December 31, 2020</w:t>
              </w:r>
            </w:hyperlink>
          </w:p>
        </w:tc>
        <w:tc>
          <w:tcPr>
            <w:tcW w:w="30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gridSpan w:val="6"/>
            <w:vMerge w:val="continue"/>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40"/>
              <w:spacing w:after="0" w:line="182" w:lineRule="exact"/>
              <w:rPr>
                <w:rFonts w:ascii="Arial" w:cs="Arial" w:eastAsia="Arial" w:hAnsi="Arial"/>
                <w:sz w:val="18"/>
                <w:szCs w:val="18"/>
                <w:color w:val="0000FF"/>
                <w:w w:val="80"/>
              </w:rPr>
            </w:pPr>
            <w:hyperlink w:anchor="page166">
              <w:r>
                <w:rPr>
                  <w:rFonts w:ascii="Arial" w:cs="Arial" w:eastAsia="Arial" w:hAnsi="Arial"/>
                  <w:sz w:val="18"/>
                  <w:szCs w:val="18"/>
                  <w:color w:val="0000FF"/>
                  <w:w w:val="80"/>
                </w:rPr>
                <w:t>F-30</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gridSpan w:val="8"/>
          </w:tcPr>
          <w:p>
            <w:pPr>
              <w:spacing w:after="0"/>
              <w:rPr>
                <w:rFonts w:ascii="Arial" w:cs="Arial" w:eastAsia="Arial" w:hAnsi="Arial"/>
                <w:sz w:val="18"/>
                <w:szCs w:val="18"/>
                <w:color w:val="0000FF"/>
                <w:w w:val="89"/>
              </w:rPr>
            </w:pPr>
            <w:hyperlink w:anchor="page167">
              <w:r>
                <w:rPr>
                  <w:rFonts w:ascii="Arial" w:cs="Arial" w:eastAsia="Arial" w:hAnsi="Arial"/>
                  <w:sz w:val="18"/>
                  <w:szCs w:val="18"/>
                  <w:color w:val="0000FF"/>
                  <w:w w:val="89"/>
                </w:rPr>
                <w:t>Unaudited Condensed Combined Statement of Operations for the Three Months Ended March 31, 2021 and 2020</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167">
              <w:r>
                <w:rPr>
                  <w:rFonts w:ascii="Arial" w:cs="Arial" w:eastAsia="Arial" w:hAnsi="Arial"/>
                  <w:sz w:val="18"/>
                  <w:szCs w:val="18"/>
                  <w:color w:val="0000FF"/>
                  <w:w w:val="80"/>
                </w:rPr>
                <w:t>F-31</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11"/>
          </w:tcPr>
          <w:p>
            <w:pPr>
              <w:spacing w:after="0"/>
              <w:rPr>
                <w:rFonts w:ascii="Arial" w:cs="Arial" w:eastAsia="Arial" w:hAnsi="Arial"/>
                <w:sz w:val="18"/>
                <w:szCs w:val="18"/>
                <w:color w:val="0000FF"/>
                <w:w w:val="90"/>
              </w:rPr>
            </w:pPr>
            <w:hyperlink w:anchor="page168">
              <w:r>
                <w:rPr>
                  <w:rFonts w:ascii="Arial" w:cs="Arial" w:eastAsia="Arial" w:hAnsi="Arial"/>
                  <w:sz w:val="18"/>
                  <w:szCs w:val="18"/>
                  <w:color w:val="0000FF"/>
                  <w:w w:val="90"/>
                </w:rPr>
                <w:t>Unaudited Condensed Combined Statements of Comprehensive Income (Loss) for the Three Months Ended March 31, 2021 and 2020</w:t>
              </w:r>
            </w:hyperlink>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168">
              <w:r>
                <w:rPr>
                  <w:rFonts w:ascii="Arial" w:cs="Arial" w:eastAsia="Arial" w:hAnsi="Arial"/>
                  <w:sz w:val="18"/>
                  <w:szCs w:val="18"/>
                  <w:color w:val="0000FF"/>
                  <w:w w:val="80"/>
                </w:rPr>
                <w:t>F-32</w:t>
              </w:r>
            </w:hyperlink>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45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00" w:type="dxa"/>
            <w:vAlign w:val="bottom"/>
            <w:gridSpan w:val="9"/>
          </w:tcPr>
          <w:p>
            <w:pPr>
              <w:spacing w:after="0"/>
              <w:rPr>
                <w:rFonts w:ascii="Arial" w:cs="Arial" w:eastAsia="Arial" w:hAnsi="Arial"/>
                <w:sz w:val="18"/>
                <w:szCs w:val="18"/>
                <w:color w:val="0000FF"/>
                <w:w w:val="89"/>
              </w:rPr>
            </w:pPr>
            <w:hyperlink w:anchor="page169">
              <w:r>
                <w:rPr>
                  <w:rFonts w:ascii="Arial" w:cs="Arial" w:eastAsia="Arial" w:hAnsi="Arial"/>
                  <w:sz w:val="18"/>
                  <w:szCs w:val="18"/>
                  <w:color w:val="0000FF"/>
                  <w:w w:val="89"/>
                </w:rPr>
                <w:t>Unaudited Condensed Combined Statements of Cash Flows for the Three Months Ended March 31, 2021 and 2020</w:t>
              </w:r>
            </w:hyperlink>
          </w:p>
        </w:tc>
        <w:tc>
          <w:tcPr>
            <w:tcW w:w="13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169">
              <w:r>
                <w:rPr>
                  <w:rFonts w:ascii="Arial" w:cs="Arial" w:eastAsia="Arial" w:hAnsi="Arial"/>
                  <w:sz w:val="18"/>
                  <w:szCs w:val="18"/>
                  <w:color w:val="0000FF"/>
                  <w:w w:val="80"/>
                </w:rPr>
                <w:t>F-33</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Unaudited Condensed Combined Statements of Changes in Equity for the Three Months Ended March 31, 2021 and 2020</w:t>
              </w:r>
            </w:hyperlink>
          </w:p>
        </w:tc>
        <w:tc>
          <w:tcPr>
            <w:tcW w:w="1220" w:type="dxa"/>
            <w:vAlign w:val="bottom"/>
            <w:gridSpan w:val="3"/>
          </w:tcPr>
          <w:p>
            <w:pPr>
              <w:jc w:val="center"/>
              <w:spacing w:after="0"/>
              <w:rPr>
                <w:rFonts w:ascii="Arial" w:cs="Arial" w:eastAsia="Arial" w:hAnsi="Arial"/>
                <w:sz w:val="18"/>
                <w:szCs w:val="18"/>
                <w:color w:val="0000FF"/>
                <w:w w:val="91"/>
              </w:rPr>
            </w:pPr>
            <w:hyperlink w:anchor="page170">
              <w:r>
                <w:rPr>
                  <w:rFonts w:ascii="Arial" w:cs="Arial" w:eastAsia="Arial" w:hAnsi="Arial"/>
                  <w:sz w:val="18"/>
                  <w:szCs w:val="18"/>
                  <w:color w:val="0000FF"/>
                  <w:w w:val="91"/>
                </w:rPr>
                <w:t>F-34</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00" w:type="dxa"/>
            <w:vAlign w:val="bottom"/>
            <w:gridSpan w:val="2"/>
          </w:tcPr>
          <w:p>
            <w:pPr>
              <w:spacing w:after="0"/>
              <w:rPr>
                <w:rFonts w:ascii="Arial" w:cs="Arial" w:eastAsia="Arial" w:hAnsi="Arial"/>
                <w:sz w:val="18"/>
                <w:szCs w:val="18"/>
                <w:color w:val="0000FF"/>
                <w:w w:val="89"/>
              </w:rPr>
            </w:pPr>
            <w:hyperlink w:anchor="page171">
              <w:r>
                <w:rPr>
                  <w:rFonts w:ascii="Arial" w:cs="Arial" w:eastAsia="Arial" w:hAnsi="Arial"/>
                  <w:sz w:val="18"/>
                  <w:szCs w:val="18"/>
                  <w:color w:val="0000FF"/>
                  <w:w w:val="89"/>
                </w:rPr>
                <w:t>Notes to Condensed Combined Financial Statements</w:t>
              </w:r>
            </w:hyperlink>
          </w:p>
        </w:tc>
        <w:tc>
          <w:tcPr>
            <w:tcW w:w="4980" w:type="dxa"/>
            <w:vAlign w:val="bottom"/>
            <w:gridSpan w:val="8"/>
          </w:tcPr>
          <w:p>
            <w:pPr>
              <w:spacing w:after="0"/>
              <w:rPr>
                <w:sz w:val="22"/>
                <w:szCs w:val="22"/>
                <w:color w:val="auto"/>
              </w:rPr>
            </w:pPr>
          </w:p>
        </w:tc>
        <w:tc>
          <w:tcPr>
            <w:tcW w:w="1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171">
              <w:r>
                <w:rPr>
                  <w:rFonts w:ascii="Arial" w:cs="Arial" w:eastAsia="Arial" w:hAnsi="Arial"/>
                  <w:sz w:val="18"/>
                  <w:szCs w:val="18"/>
                  <w:color w:val="0000FF"/>
                  <w:w w:val="80"/>
                </w:rPr>
                <w:t>F-35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38" w:name="page139"/>
    <w:bookmarkEnd w:id="13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Financial Statements</w:t>
      </w:r>
    </w:p>
    <w:p>
      <w:pPr>
        <w:spacing w:after="0" w:line="17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combined balance sheets of GXO Logistics, Inc. (the Company) as of December 31, 2020 and 2019, the related combined statements of operations, comprehensive income (loss), cash flow, and changes in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combined financial statements). In our opinion, the combined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As discussed in Note 7 to the combined financial statements, the Company changed its method of accounting for leases in 2019 due to the adoption of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its related amendments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Assessment of the carrying value of goodwill</w:t>
      </w:r>
    </w:p>
    <w:p>
      <w:pPr>
        <w:spacing w:after="0" w:line="171" w:lineRule="exact"/>
        <w:rPr>
          <w:sz w:val="20"/>
          <w:szCs w:val="20"/>
          <w:color w:val="auto"/>
        </w:rPr>
      </w:pPr>
    </w:p>
    <w:p>
      <w:pPr>
        <w:ind w:left="180" w:right="60"/>
        <w:spacing w:after="0" w:line="279" w:lineRule="auto"/>
        <w:rPr>
          <w:sz w:val="20"/>
          <w:szCs w:val="20"/>
          <w:color w:val="auto"/>
        </w:rPr>
      </w:pPr>
      <w:r>
        <w:rPr>
          <w:rFonts w:ascii="Arial" w:cs="Arial" w:eastAsia="Arial" w:hAnsi="Arial"/>
          <w:sz w:val="17"/>
          <w:szCs w:val="17"/>
          <w:color w:val="auto"/>
        </w:rPr>
        <w:t>As discussed in Notes 2 and 8 to the combined financial statements of the Company, the goodwill balance as of December 31, 2020 was $2,063 million. The Company performs goodwill impairment testing annually, or more frequently if events or circumstances indicate the carrying value of a reporting unit that includes goodwill might exceed the fair value of that reporting unit. In assessing the carrying value of goodwill, the Company uses a third-party specialist, who uses a combination of an income approach and a market approach to estimate fair value.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4"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color w:val="auto"/>
        </w:rPr>
        <w:t>income approach is based on the present value of estimated future cash flows, discounted at a risk-adjusted rate to estimate the fair value of the Company’s reporting units. The market approach is based on comparable market multiples for companies engaged in similar business, as well as recent transactions within the industry.</w:t>
      </w:r>
    </w:p>
    <w:p>
      <w:pPr>
        <w:spacing w:after="0" w:line="130" w:lineRule="exact"/>
        <w:rPr>
          <w:sz w:val="20"/>
          <w:szCs w:val="20"/>
          <w:color w:val="auto"/>
        </w:rPr>
      </w:pPr>
    </w:p>
    <w:p>
      <w:pPr>
        <w:jc w:val="both"/>
        <w:ind w:left="180" w:right="160"/>
        <w:spacing w:after="0" w:line="287" w:lineRule="auto"/>
        <w:rPr>
          <w:sz w:val="20"/>
          <w:szCs w:val="20"/>
          <w:color w:val="auto"/>
        </w:rPr>
      </w:pPr>
      <w:r>
        <w:rPr>
          <w:rFonts w:ascii="Arial" w:cs="Arial" w:eastAsia="Arial" w:hAnsi="Arial"/>
          <w:sz w:val="16"/>
          <w:szCs w:val="16"/>
          <w:color w:val="auto"/>
        </w:rPr>
        <w:t>We identified the assessment of the carrying value of goodwill for each of the Company’s two reporting units as a critical audit matter. Assessment of certain assumptions used to estimate fair value under the income approach, including the fair value model, long-term future growth rates, and the risk-adjusted discount rate, had estimation uncertainty which resulted in subjective auditor judgment and required specialized skills and knowledge.</w:t>
      </w:r>
    </w:p>
    <w:p>
      <w:pPr>
        <w:spacing w:after="0" w:line="2"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Additionally, assessment of the guideline public companies and transactions within the industry used to estimate fair value under the market approach required significant auditor judgment. Changes to these assumptions may have a significant effect on the Company’s assessment of the carrying value of the goodwill.</w:t>
      </w:r>
    </w:p>
    <w:p>
      <w:pPr>
        <w:spacing w:after="0" w:line="136" w:lineRule="exact"/>
        <w:rPr>
          <w:sz w:val="20"/>
          <w:szCs w:val="20"/>
          <w:color w:val="auto"/>
        </w:rPr>
      </w:pPr>
    </w:p>
    <w:p>
      <w:pPr>
        <w:ind w:left="180" w:right="40"/>
        <w:spacing w:after="0" w:line="272"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over the Company’s goodwill impairment assessment process. This included controls related to the determination of the fair value of the reporting units, including the Company’s estimate of long-term future growth rates, the assumptions used to develop the risk-adjusted discount rates, and the determination of the guideline public companies and transactions within the industry. We performed sensitivity analyses over the fair value model for long-term future growth rates to assess their impact on the Company’s determination of the fair value of each reporting unit. We compared the Company’s historical growth rate forecast to actual results to assess the Company’s ability to accurately forecast. We involved valuation professionals with specialized skill and knowledge, who assisted in:</w:t>
      </w:r>
    </w:p>
    <w:p>
      <w:pPr>
        <w:spacing w:after="0" w:line="123"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comparing the valuation methodologies used by the Company to valuation standards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comparing the Company’s risk-adjusted discount rates to risk-adjusted discount rate ranges that were independently developed using publicly available third-party market data for comparable entities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comparing the long-term growth rates to industry data, economic growth data, and long-term growth rates used by the Company in prior years’ valuation analyses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evaluating the guideline public companies and transactions used by the Company by reading the business descriptions, examining financial metrics of the comparable public companies and transactions within the industry, and considering market participant guidance and perspective.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1440" w:right="439" w:bottom="1440" w:gutter="0" w:footer="0" w:header="0"/>
        </w:sectPr>
      </w:pPr>
    </w:p>
    <w:bookmarkStart w:id="140" w:name="page141"/>
    <w:bookmarkEnd w:id="1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$18 and $20,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$922 and $685 in accumulated depreciation,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$373 and $302 in accumulated amortization, respectively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gain (loss), net of tax effect of $(3), $3 and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5"/>
        </w:trPr>
        <w:tc>
          <w:tcPr>
            <w:tcW w:w="63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gain (loss) on financial assets/liabilities designated as hedging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instruments, net of tax effect of $—, $— and $3</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Defined benefit plans adjustment, net of tax effect of $—, $— and $—</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collected on deferred purchase price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borrowings related to current trade securitization program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of noncontrolling interests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Net proceeds related to secured borrowing activity on prior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012"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7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combined financial statements are presented as if the GXO businesses had been combined for all periods presented. The assets and liabilities in the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2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320" w:top="1440" w:right="399" w:bottom="1440" w:gutter="0" w:footer="0" w:header="0"/>
        </w:sectPr>
      </w:pPr>
    </w:p>
    <w:bookmarkStart w:id="146" w:name="page147"/>
    <w:bookmarkEnd w:id="146"/>
    <w:p>
      <w:pPr>
        <w:spacing w:after="0" w:line="144"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transaction and integration costs, as well as restructuring costs and other adjustments, or headcount. The majority of these allocated costs are recorded in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not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combined financial statements include the accounts and business activities distributed across the legal entities of GXO. Significant intercompany balances and transactions among the operations of the GXO legal entities have been eliminated in the combined financial statements. All significant related party transactions between GXO and XPO have been included in these combined financial statements as components of XPO investment. The preparation of the combined financial statements in accordance with GAAP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 COVID-19 has had, and we expect will continue to have, significant effects on economic activity, on demand for our services, and on our results of operations in 2021.</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combined financial statements primarily relate to a minority interest in XPO Logistics Europe SA (“XPO Logistics Europe”), a business XPO acquired in 2015. As described in Note 3—Purchases of Noncontrolling Interest, XPO purchased portions of the noncontrolling interests in both 2020 and 2019. Following these acquisitions, the noncontrolling interest was approximately 3% and 5% of XPO Logistics Europe at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revenue by providing supply chain services for our customers, including warehousing and distribution, order fulfillment, reverse logistics, packaging and labeling, factory and aftermarket support and inventory management contracts ranging from a few months to a few years. Our performance obligations are satisfied over time as customers receive and consume the benefits of our services. The contracts generally contain a single performance obligation as the distinct services provided remain substantially the same over time and possess the same pattern of transfer. The transaction price is based on the amount specified in the contract with the customer and contains fixed and variable components. In general, the fixed component of a contract represents reimbursement for facility and equipment costs incurred to satisfy the performance obligation and is recognized on a straight-line basis over the term of the contract. The variable component is comprised of cost reimbursement determined based on the costs incurred, while per-unit pricing is determined based on units provided, and time and materials pricing is determined based on the hours of services provided. The variable component is recognized based on the level of activity.</w:t>
      </w:r>
    </w:p>
    <w:p>
      <w:pPr>
        <w:spacing w:after="0" w:line="12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setting up a customer warehouse, we incur incremental expenditures to fulfill the customer contract, such as designing the warehouse. These expenditures are capitalized to the extent they are recoverable from the expected margin in the contract and will help us satisfy future performance obligations. Conversely, costs which the company incurs as it delivers services and satisfies its performance obligations are expensed as incurred.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Treasury activities at XPO are generally centralized, while certain balances are managed locally, except as noted below. To the extent cash and cash equivalents are legally owned by GXO, they are reflected in the combined financial statements.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as discussed further below,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6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for additional information related to our receivables securitization secured borrowing program and these borrowings.</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Machinery, equipment and other</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 to 15 years</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6 years</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determine if an arrangement is a lease at inception. We recognize operating lease right-of-use assets and liabilities at the lease commencement date based on the estimated present value of the lease payments over the lease term. For most of our leases, the implicit rate cannot be readily determined and, as a result, we use the incremental borrowing rates of XPO based on the information available at commencement date to determine the present value of future lease payments. This rate is determined from a hypothetical yield curve that takes into consideration market yield levels of XPO’s relevant debt outstanding as well as the index that matches XPO’s credit rating, and then adjusts as if the borrowings were collateralized.</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Combined Balance Sheets. We account for lease and non-lease components within a contract as a single lease component for our real estate leases. For additional information on our leases, see Note 7—Leases.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evaluated segment reporting in accordance with Accounting Standards Codification (“ASC”) 280–Segment Reporting. We concluded that GXO is comprised of two operating segments based on the operating results regularly reviewed by the chief operating decision maker (“CODM”) to make decisions about resource allocation and the performance of the business. These two operating segments have been aggregated into a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measure goodwill as the excess of consideration transferred over the fair value of net assets acquired in business combinations that were pushed down to GXO. We allocate goodwill to our reporting units for the purpose of impairment testing. We evaluate goodwill for impairment annually, or more frequently if an event or circumstance indicates an impairment loss may have been incurred. We measure goodwill impairment, if any, as the amount by which a reporting unit’s carrying amount exceeds its fair value, not to exceed the carrying amount of goodwill. We have two reporting units.</w:t>
      </w:r>
    </w:p>
    <w:p>
      <w:pPr>
        <w:spacing w:after="0" w:line="10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with both of our reporting units having fair values in excess of their carrying values, resulting in no impairment of goodwill.</w:t>
      </w:r>
    </w:p>
    <w:p>
      <w:pPr>
        <w:spacing w:after="0" w:line="9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intangible assets subject to amortization consist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consistent with the risks associated with the recovery of the asset. We amortize intangible assets on a straight-line basis or on a basis consistent with the pattern in which the economic benefits are realized. The estimated useful life for customer relationships ranges from 5 to 15 years.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Other long-term assets include contract assets, primarily comprised of deferred contract-related costs, deposits, miscellaneous long-term receivable balances and other deferred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accrued expenses as of December 31, 2020 and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value-added tax and other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Contract liabilities represents our obligation to transfer services to a customer for which we have received consideration, or the amount is due, from the customer. Contract liabilities are included in other current liabilities on our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participate in a combination of self-insurance programs and purchased insurance that are managed by XPO to provide for the costs of medical, casualty, liability, vehicular, cargo and workers’ compensation claims. XPO periodically evaluates our level of insurance coverage and adjusts our insurance levels based on risk tolerance and premium expense.</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Less: AOCI</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Defined Benefit Plans</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Hedges</w:t>
            </w:r>
          </w:p>
        </w:tc>
        <w:tc>
          <w:tcPr>
            <w:tcW w:w="14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GXO</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periods presented in the Combined Financial Statements, the operations of the Company were included in the consolidated U.S. federal and certain state and local and foreign income tax returns filed by XPO, where applicable. Income tax expense and other income tax related information contained in the Combined Financial Statements are presented on a separate return basis as if the Company had filed its own tax returns. As a result, actual tax transactions included in the consolidated financial statements of XPO may not be included in the combined financial statements. Similarly, the tax treatment of certain items reflected in the combined financial statements may not be reflected in the consolidated financial statements and tax returns of XPO. Therefore, portions of items such as net operating losses (“NOLs”), credit carryforwards, other deferred taxes, and valuation allowances may exist in the combined financial statements that may or may not exist in XPO’s consolidated financial statements and vice versa. In addition, although deferred tax assets have been recognized for NOLs and tax credits in accordance with the separate return method, certain NOLs and credits will not carry over with the Company in connection with the Distribution. The income taxes of the Company as presented in the Combined Financial Statements may not be indicative of the income taxes that the Company will incur in the future. In jurisdictions where the Company has been included in tax returns filed by XPO, any income tax receivables or payables resulting from the related income tax provisions have been reflected in the Combined Balance Sheets within XPO investment.</w:t>
      </w:r>
    </w:p>
    <w:p>
      <w:pPr>
        <w:spacing w:after="0" w:line="1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adopted the separate return approach for the purpose of presenting the Combined Financial Statements, including the income tax provisions (benefits) and the related deferred tax assets and liabilities. The historic operations of the Company reflect a separate return approach for each jurisdiction in which the Company had a presence and XPO filed a tax return.</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account for income taxes using the asset and liability method on a legal entity and jurisdictional basis, under which we recognize the amount of taxes payable or refundable for the current year and deferred tax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(“GILTI”) tax as a period cost.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Combined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convert foreign currency transactions recognized on our Combined Statements of Operations to USD by applying the exchange rate prevailing on the date of the transaction. Gains and losses arising from foreign currency transactions and the effects of remeasuring monetary assets and liabilities are recorded in Other income in our Combined Statements of Operations and were not material for any of the periods presented.</w:t>
      </w:r>
    </w:p>
    <w:p>
      <w:pPr>
        <w:spacing w:after="0" w:line="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a loan designated as a net investment hedge to hedge our exposure to foreign exchange risk on our investments in foreign subsidiaries. Gains or losses on the hedging instrument relating to the effective portion of the hedge are recognized as OCI while any gains or losses relating to the ineffective portion are recognized in the Statements of Operations. On disposal of the foreign operation, the cumulative value of any such gains or losses recorded in equity is transferred to the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December 31, 2020 and 2019 due to their short-term nature and/or being receivable or payable on demand. The Level 1 cash equivalents include money market funds valued using quoted prices in active markets.</w:t>
      </w:r>
    </w:p>
    <w:p>
      <w:pPr>
        <w:spacing w:after="0" w:line="1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$54 million and $25 million, respectively, for the years ended December 31, 2020 and 2019. The cash equivalents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XPO’s compensation programs include grants of stock-based compensation awards to directors, officers and key employees under XPO’s share-based payment programs. These awards include stock options, restricted stock units, performance-based units, cash incentive awards and other equity-related awards. Our Combined Statements of Operations include all of the share-based payment expenses directly attributable to GXO, as well as an allocation of any related XPO Corporate costs. Our stock-based compensation expense is recorded in SG&amp;A on our Combined Statements of Operations and is not material for the years ending December 31, 2020, 2019 and 2018.</w:t>
      </w:r>
    </w:p>
    <w:p>
      <w:pPr>
        <w:spacing w:after="0" w:line="12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of XPO’s stock on the date of the grant. For grants of RSUs subject to market-based vesting conditions, the fair value is established using the Monte Carlo simulation lattice model.</w:t>
      </w:r>
    </w:p>
    <w:p>
      <w:pPr>
        <w:spacing w:after="0" w:line="9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Transactions between the Company and XPO and other subsidiaries,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Combined Balance Sheets as of December 31, 2020 and 2019. For those that have been or are expected to be forgiven, the amounts have been recorded as an adjustment of XPO Investment in the Combined Balance Sheets as of December 31, 2020 and 2019.</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The adoption did not have a material effect on our combined financial statements.</w:t>
      </w:r>
    </w:p>
    <w:p>
      <w:pPr>
        <w:spacing w:after="0" w:line="11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Combined Statements of Operations as the expense for fees of the associated hosting arrangements. We adopted this standard on January 1, 2020 on a prospective basis. The adoption did not have a material effect on our combined financial statements.</w:t>
      </w:r>
    </w:p>
    <w:p>
      <w:pPr>
        <w:spacing w:after="0" w:line="1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ASU 2016-02 is that a lessee should recognize on its Combined Balance Sheets the assets and liabilities that arise from leases, including operating leases. Under the new requirements, a lessee recognizes on the balance sheet the right-of-use asset representing the right to use the underlying asset and the lease liability representing the present value of future lease payments. We utilized a comprehensive approach to assess the impact of ASU 2016-02 on our financial statements and related disclosures. In particular, we completed a robust review of our lease portfolio and enhanced our internal controls, including those related to the identification, monitoring of, measurement and disclosure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lease portfolio. For additional information on our leases, see Note 7—Leases. We adopted ASU 2016-02 and its related amendments (Topic 842) on January 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combined financial statements.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Purchases of Noncontrolling Interest</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third quarter of 2020 and fourth quarter of 2019, we purchased shareholders’ noncontrolling interests in XPO Logistics Europe for €17 million (approximately $21 million) and €234 million (approximately $258 million), respectively. The portion of the purchased noncontrolling interest which is not attributable to GXO has been recorded as a transfer to the XPO investment account.</w:t>
      </w:r>
    </w:p>
    <w:p>
      <w:pPr>
        <w:spacing w:after="0" w:line="126"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bl>
    <w:p>
      <w:pPr>
        <w:spacing w:after="0" w:line="24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Our revenue by industry sector was approximately as follows: e-commerce/retail (39%, 37% and 37% for 2020, 2019 and 2018, respectively); food and beverage (13%, 15% and 15% for 2020, 2019 and 2018, respectively); consumer packaged goods (13%, 12% and 12% for 2020, 2019 and 2018, respectively); consumer technology (11% for 2020, 2019 and 2018, respectively); and other (24%, 25% and 25%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60" w:type="dxa"/>
            <w:vAlign w:val="bottom"/>
            <w:tcBorders>
              <w:top w:val="single" w:sz="8" w:color="auto"/>
            </w:tcBorders>
            <w:shd w:val="clear" w:color="auto" w:fill="CCEEFF"/>
          </w:tcPr>
          <w:p>
            <w:pPr>
              <w:jc w:val="center"/>
              <w:ind w:right="6910"/>
              <w:spacing w:after="0" w:line="202" w:lineRule="exact"/>
              <w:rPr>
                <w:sz w:val="20"/>
                <w:szCs w:val="20"/>
                <w:color w:val="auto"/>
              </w:rPr>
            </w:pPr>
            <w:r>
              <w:rPr>
                <w:rFonts w:ascii="Arial" w:cs="Arial" w:eastAsia="Arial" w:hAnsi="Arial"/>
                <w:sz w:val="18"/>
                <w:szCs w:val="18"/>
                <w:b w:val="1"/>
                <w:bCs w:val="1"/>
                <w:color w:val="auto"/>
                <w:w w:val="88"/>
              </w:rPr>
              <w:t>Balance as of December 31, 2018</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034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340" w:type="dxa"/>
            <w:vAlign w:val="bottom"/>
            <w:gridSpan w:val="3"/>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340" w:type="dxa"/>
            <w:vAlign w:val="bottom"/>
            <w:tcBorders>
              <w:bottom w:val="single" w:sz="8" w:color="CCEEFF"/>
            </w:tcBorders>
            <w:gridSpan w:val="3"/>
            <w:shd w:val="clear" w:color="auto" w:fill="CCEEFF"/>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9680" w:type="dxa"/>
            <w:vAlign w:val="bottom"/>
            <w:gridSpan w:val="2"/>
          </w:tcPr>
          <w:p>
            <w:pPr>
              <w:jc w:val="center"/>
              <w:ind w:right="7120"/>
              <w:spacing w:after="0"/>
              <w:rPr>
                <w:sz w:val="20"/>
                <w:szCs w:val="20"/>
                <w:color w:val="auto"/>
              </w:rPr>
            </w:pPr>
            <w:r>
              <w:rPr>
                <w:rFonts w:ascii="Arial" w:cs="Arial" w:eastAsia="Arial" w:hAnsi="Arial"/>
                <w:sz w:val="18"/>
                <w:szCs w:val="18"/>
                <w:b w:val="1"/>
                <w:bCs w:val="1"/>
                <w:color w:val="auto"/>
                <w:w w:val="88"/>
              </w:rPr>
              <w:t>Balance as of December 31, 2019</w:t>
            </w: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340" w:type="dxa"/>
            <w:vAlign w:val="bottom"/>
            <w:tcBorders>
              <w:bottom w:val="single" w:sz="8" w:color="CCEEFF"/>
            </w:tcBorders>
            <w:gridSpan w:val="3"/>
            <w:shd w:val="clear" w:color="auto" w:fill="CCEEFF"/>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10340" w:type="dxa"/>
            <w:vAlign w:val="bottom"/>
            <w:gridSpan w:val="3"/>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
            <w:shd w:val="clear" w:color="auto" w:fill="CCEEFF"/>
          </w:tcPr>
          <w:p>
            <w:pPr>
              <w:jc w:val="center"/>
              <w:ind w:right="7120"/>
              <w:spacing w:after="0" w:line="169" w:lineRule="exact"/>
              <w:rPr>
                <w:sz w:val="20"/>
                <w:szCs w:val="20"/>
                <w:color w:val="auto"/>
              </w:rPr>
            </w:pPr>
            <w:r>
              <w:rPr>
                <w:rFonts w:ascii="Arial" w:cs="Arial" w:eastAsia="Arial" w:hAnsi="Arial"/>
                <w:sz w:val="18"/>
                <w:szCs w:val="18"/>
                <w:b w:val="1"/>
                <w:bCs w:val="1"/>
                <w:color w:val="auto"/>
                <w:w w:val="88"/>
              </w:rPr>
              <w:t>Balance as of December 31, 2020</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9680" w:type="dxa"/>
            <w:vAlign w:val="bottom"/>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2020, the fixed consideration component of our remaining performance obligation was approximately $1.5 billion, and we expect to recognize approximately 75% of that amount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34"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w:t>
      </w:r>
    </w:p>
    <w:p>
      <w:pPr>
        <w:spacing w:after="0" w:line="46" w:lineRule="exact"/>
        <w:rPr>
          <w:sz w:val="20"/>
          <w:szCs w:val="20"/>
          <w:color w:val="auto"/>
        </w:rPr>
      </w:pPr>
    </w:p>
    <w:p>
      <w:pPr>
        <w:ind w:right="300" w:firstLine="8"/>
        <w:spacing w:after="0" w:line="260" w:lineRule="auto"/>
        <w:tabs>
          <w:tab w:leader="none" w:pos="2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These actions generally include severance and facility-related costs, including impairment of operating lease assets, and are intended to improve our efficiency and profitability.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2020 will be complete within twelve months. The majority of the cash outlays related to the charges incurred in 2019 were substantially complete by the end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gridSpan w:val="2"/>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200" w:type="dxa"/>
            <w:vAlign w:val="bottom"/>
          </w:tcPr>
          <w:p>
            <w:pPr>
              <w:spacing w:after="0"/>
              <w:rPr>
                <w:sz w:val="24"/>
                <w:szCs w:val="24"/>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The following table summarizes our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2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8"/>
        </w:trPr>
        <w:tc>
          <w:tcPr>
            <w:tcW w:w="8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Machinery, equipment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20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book value of capitalized internally-developed software included in property and equipment,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4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Depreciation of property and equipment and amortization of computer software was $262 million, $236 million and $190 million for the years ended December 31, 2020, 2019 and 2018, respectively. As of December 31, 2020 and 2019, we held long-lived tangible assets outside of the U.S. of $359 million and $336 million, respectively.</w:t>
      </w:r>
    </w:p>
    <w:p>
      <w:pPr>
        <w:spacing w:after="0" w:line="12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Topic 842, “Leases”</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January 1, 2019, we adopted Topic 842 prospectively through a cumulative-effect adjustment with no restatement of prior period financial statements. Beginning in 2019, net operating lease activity, including the reduction of the operating lease asset and the accretion of the operating lease liability, are reflected in Depreciation, amortization and net lease activity on our Combined Statements of Cash Flows. The adoption of Topic 842 did not have a material impact on our Combined Statements of Operations and our Combined Statements of 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Leases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 The components of our lease expense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leased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and finance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188"/>
        </w:trPr>
        <w:tc>
          <w:tcPr>
            <w:tcW w:w="7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1,458</w:t>
            </w:r>
          </w:p>
        </w:tc>
      </w:tr>
      <w:tr>
        <w:trPr>
          <w:trHeight w:val="162"/>
        </w:trPr>
        <w:tc>
          <w:tcPr>
            <w:tcW w:w="7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336</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1,460</w:t>
            </w:r>
          </w:p>
        </w:tc>
      </w:tr>
      <w:tr>
        <w:trPr>
          <w:trHeight w:val="20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128</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w:t>
            </w:r>
          </w:p>
        </w:tc>
      </w:tr>
      <w:tr>
        <w:trPr>
          <w:trHeight w:val="142"/>
        </w:trPr>
        <w:tc>
          <w:tcPr>
            <w:tcW w:w="7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w:t>
            </w:r>
          </w:p>
        </w:tc>
      </w:tr>
      <w:tr>
        <w:trPr>
          <w:trHeight w:val="21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years</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472"/>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92"/>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8"/>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Property and equipment acquired through capital leases was $38 million for the year ended December 31, 2018. Additionally, non-cash investing activities for the year ended December 31, 2019 included $39 million of property and equipment additions for build-to-suit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we had additional operating leases that have not yet commenced with future undiscounted lease payments of $143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operating leases will commence in 2021 through 2022 with initial lease terms of 2 years to 10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$566 million for the year ended December 31, 2018.</w:t>
      </w:r>
    </w:p>
    <w:p>
      <w:pPr>
        <w:spacing w:after="0" w:line="16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2018</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2019</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453"/>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w w:val="91"/>
              </w:rPr>
              <w:t>There are no cumulative goodwill impairments as of December 31, 2020.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4520" w:type="dxa"/>
            <w:vAlign w:val="bottom"/>
            <w:gridSpan w:val="2"/>
          </w:tcPr>
          <w:p>
            <w:pPr>
              <w:ind w:left="460"/>
              <w:spacing w:after="0"/>
              <w:rPr>
                <w:sz w:val="20"/>
                <w:szCs w:val="20"/>
                <w:color w:val="auto"/>
              </w:rPr>
            </w:pPr>
            <w:r>
              <w:rPr>
                <w:rFonts w:ascii="Arial" w:cs="Arial" w:eastAsia="Arial" w:hAnsi="Arial"/>
                <w:sz w:val="18"/>
                <w:szCs w:val="18"/>
                <w:b w:val="1"/>
                <w:bCs w:val="1"/>
                <w:color w:val="auto"/>
              </w:rPr>
              <w:t>Intangible Assets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rPr>
              <w:t>The following table summarizes our identifiable intangible assets: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24"/>
                <w:szCs w:val="24"/>
                <w:color w:val="auto"/>
              </w:rPr>
            </w:pPr>
          </w:p>
        </w:tc>
        <w:tc>
          <w:tcPr>
            <w:tcW w:w="264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6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impairment of our identified intangible assets in 2020,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and thereafter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4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Actual amounts of amortization expense may differ from forecasted amounts due to changes in foreign currency exchange rates, additional intangible asset acquisitions, future impairment of intangible assets, accelerated amortization of intangible assets and other events.</w:t>
      </w:r>
    </w:p>
    <w:p>
      <w:pPr>
        <w:spacing w:after="0" w:line="9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Intangible asset amortization expense was $61 million, $65 million and $71 million for the years ended December 31, 2020, 2019 and 2018,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58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Debt</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5820" w:type="dxa"/>
            <w:vAlign w:val="bottom"/>
            <w:gridSpan w:val="2"/>
          </w:tcPr>
          <w:p>
            <w:pPr>
              <w:ind w:left="60"/>
              <w:spacing w:after="0"/>
              <w:rPr>
                <w:sz w:val="20"/>
                <w:szCs w:val="20"/>
                <w:color w:val="auto"/>
              </w:rPr>
            </w:pPr>
            <w:r>
              <w:rPr>
                <w:rFonts w:ascii="Arial" w:cs="Arial" w:eastAsia="Arial" w:hAnsi="Arial"/>
                <w:sz w:val="18"/>
                <w:szCs w:val="18"/>
                <w:color w:val="auto"/>
              </w:rPr>
              <w:t>The following table summarizes our debt:</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Pr>
          <w:p>
            <w:pPr>
              <w:spacing w:after="0"/>
              <w:rPr>
                <w:sz w:val="24"/>
                <w:szCs w:val="24"/>
                <w:color w:val="auto"/>
              </w:rPr>
            </w:pPr>
          </w:p>
        </w:tc>
        <w:tc>
          <w:tcPr>
            <w:tcW w:w="21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61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5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Borrowings related to current trade securitization program</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610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1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6"/>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discussed in Note 2—Basis of Presentation and Significant Accounting Policies, XPO Logistics Europe participates in a trade receivables securitization program.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is combined by GXO based on our control of the entity’s activities. The program will expire in July 2022 and contains financial covenants customary for this type of arrangement, including maintaining a defined average days sales outstanding ratio. In 2019, XPO Logistics Europe terminated a prior trade receivables securitization program and paid off the notes associated with that program, which had been included in our debt balances.</w:t>
      </w:r>
    </w:p>
    <w:p>
      <w:pPr>
        <w:spacing w:after="0" w:line="14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current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These borrowings amounted to €21 million ($26 million) as of December 31, 2020.</w:t>
      </w:r>
    </w:p>
    <w:p>
      <w:pPr>
        <w:spacing w:after="0" w:line="13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maximum amount of net cash proceeds available at any one time under the current program, inclusive of any unsecured borrowings, is €400 million (approximately $489 million as of December 31, 2020). As of December 31, 2020, €75 million (approximately $92 million) was available under the program, subject to having sufficient receivables available to sell to the Purchasers. The weighted average interest rate was 0.62% as of December 31, 2020. Charges for commitment fees, which are based on a percentage of available amounts, and charges for administrative fees were not material to our results of operations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December 31, 2020 and 2019, the Company had an outstanding loan payable to XPO of $186 million and $230 million, respectively. The notes are guaranteed by an XPO affiliate.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8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€20 million (approximately $24 million as of December 31, 2020) entered in 2013 bearing interest at a variable rate of twelve-month Euribor plus 1% and maturing in October 2026;</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£82 million (approximately $111 million as of December 31, 2020) entered in 2016 bearing interest at a variable rate of twelve-month Libor plus 1% and maturing in October 2026;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22 PLN million entered in 2018 bearing interest at a fixed rate of 5.625% and maturing in April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2019, the outstanding amounts related to these loans payable to XPO were $135 million and $136 million, respectively.</w:t>
      </w:r>
    </w:p>
    <w:p>
      <w:pPr>
        <w:spacing w:after="0" w:line="19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$165 million and $189 million at December 31, 2020 and 2019, respectively.</w:t>
      </w:r>
    </w:p>
    <w:p>
      <w:pPr>
        <w:spacing w:after="0" w:line="126"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XPO sponsors both funded and unfunded defined benefit pension plans in which GXO’s U.S. subsidiaries are one of a number of companies that participate.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XPO also sponsors a defined benefit pension plan for some of our employees in the United Kingdom. Both the U.S. plans and the U.K. plan do not allow for new plan participants or additional benefit accruals. XPO also maintains defined benefit pension plans for some of our foreign subsidiaries that are immaterial for disclosure purposes.</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U.S. plans and the U.K. plan are accounted for as multi-employer benefits plans in these combined financial statements, and the Combined Balance Sheets do not reflect any assets or liabilities related to these plans. Required funding has been made by XPO. Net periodic benefit income related to these plans is not material for the years ended December 31, 2020, 2019 and 2018.</w:t>
      </w:r>
    </w:p>
    <w:p>
      <w:pPr>
        <w:spacing w:after="0" w:line="130"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Certain current and former employees of European subsidiaries of GXO participate in a defined benefit plan sponsored by a related-party. Historical contributions to the plan sponsor to cover administrative expenses have been immaterial. These combined financial statements do not reflect any pension income or expense from this plan as historically there have been no distributions to or contributions by our European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additionally sponsors qualified defined contribution plans, in which GXO is one of a number of companies that participate. Contributions for employees of GXO for the years ended December 31, 2020, 2019, and 2018 were $14 million, $14 million, and $12 million, respectively. The majority of the expense is recorded in Direct operating expense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Medical Plan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XPO also sponsors a postretirement medical plan that provides health benefits to certain employees who are at least 55 years of age with at least 10 years of service (the “Postretirement Plan”). The Postretirement Plan does not provide employer-subsidized retiree medical benefits for employees hired on or after January 1, 1993. Our costs related to this plan were not material for the years ended December 31, 2020, 2019 and 2018.</w:t>
      </w:r>
    </w:p>
    <w:p>
      <w:pPr>
        <w:spacing w:after="0" w:line="91"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tax provisions have been prepared on a separate return basis as if GXO was a separate group of companies under common ownership. The operations have been combined as if GXO was filing on a combined basis for U.S. federal, U.S. state and non-U.S. income tax purposes, where allowable by law. GXO is subject to regulation under a wide variety of U.S. federal, U.S. state and non-U.S. tax laws, regulations and policies. Additionally, our European subsidiaries are subject to regulation under a wide variety of European tax laws, regulations and policies. Changes to these laws or regulations may affect our tax liability, return on investments and business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taxes related to our U.S. and foreign operations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360" w:type="dxa"/>
            <w:vAlign w:val="bottom"/>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66"/>
        </w:trPr>
        <w:tc>
          <w:tcPr>
            <w:tcW w:w="6320" w:type="dxa"/>
            <w:vAlign w:val="bottom"/>
            <w:gridSpan w:val="2"/>
          </w:tcPr>
          <w:p>
            <w:pPr>
              <w:ind w:left="340"/>
              <w:spacing w:after="0"/>
              <w:rPr>
                <w:sz w:val="20"/>
                <w:szCs w:val="20"/>
                <w:color w:val="auto"/>
              </w:rPr>
            </w:pPr>
            <w:r>
              <w:rPr>
                <w:rFonts w:ascii="Arial" w:cs="Arial" w:eastAsia="Arial" w:hAnsi="Arial"/>
                <w:sz w:val="18"/>
                <w:szCs w:val="18"/>
                <w:color w:val="auto"/>
              </w:rPr>
              <w:t>The income tax provision (benefit) is comprised of the following:</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1"/>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income tax provision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expense reconciliations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State taxes, net of U.S. federal benefit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rate differential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Foreign operations</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Contribution- and margin-based taxes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Valuation allowances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Changes in uncertain tax positions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238" w:lineRule="exact"/>
        <w:rPr>
          <w:sz w:val="20"/>
          <w:szCs w:val="20"/>
          <w:color w:val="auto"/>
        </w:rPr>
      </w:pPr>
    </w:p>
    <w:p>
      <w:pPr>
        <w:ind w:left="660" w:right="200" w:hanging="328"/>
        <w:spacing w:after="0" w:line="273" w:lineRule="auto"/>
        <w:tabs>
          <w:tab w:leader="none" w:pos="658" w:val="left"/>
        </w:tabs>
        <w:numPr>
          <w:ilvl w:val="0"/>
          <w:numId w:val="94"/>
        </w:numPr>
        <w:rPr>
          <w:rFonts w:ascii="Arial" w:cs="Arial" w:eastAsia="Arial" w:hAnsi="Arial"/>
          <w:sz w:val="13"/>
          <w:szCs w:val="13"/>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7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Total deferred tax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asset and deferred tax liability above are reflected on our Combined Balance Sheets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a result of the Tax Cuts and Jobs Act, the Company has decided to apply a partial indefinite reversal assertion to pre-2018 earnings and profits that have been invested back into the foreign businesses. The Company has also decided not to apply an indefinite reversal assertion on all 2018 and future years’ earnings and profits.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loss and tax credit carryforwards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Expiration Date</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8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2033 - 2037</w:t>
            </w:r>
            <w:r>
              <w:rPr>
                <w:rFonts w:ascii="Arial" w:cs="Arial" w:eastAsia="Arial" w:hAnsi="Arial"/>
                <w:sz w:val="23"/>
                <w:szCs w:val="23"/>
                <w:color w:val="auto"/>
                <w:w w:val="87"/>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(including those of minority owned subsidiaries)</w:t>
            </w: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gridSpan w:val="2"/>
            <w:vMerge w:val="continue"/>
            <w:shd w:val="clear" w:color="auto" w:fill="CCEEFF"/>
          </w:tcPr>
          <w:p>
            <w:pPr>
              <w:spacing w:after="0"/>
              <w:rPr>
                <w:sz w:val="19"/>
                <w:szCs w:val="19"/>
                <w:color w:val="auto"/>
              </w:rPr>
            </w:pP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2037</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 tax credit carryforward</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gridSpan w:val="2"/>
            <w:vMerge w:val="continue"/>
          </w:tcPr>
          <w:p>
            <w:pPr>
              <w:spacing w:after="0"/>
              <w:rPr>
                <w:sz w:val="19"/>
                <w:szCs w:val="19"/>
                <w:color w:val="auto"/>
              </w:rPr>
            </w:pP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income</w:t>
            </w: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Some credits and losses have unlimited carryforward periods.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established valuation allowances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allowances have been provided on these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and activity related to our valuation allowances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Reductions</w:t>
            </w: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Ending Balance</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63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vMerge w:val="restart"/>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tax rate as of the end of the year</w:t>
            </w: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40"/>
          </w:cols>
          <w:pgMar w:left="320" w:top="1440" w:right="339" w:bottom="1440" w:gutter="0" w:footer="0" w:header="0"/>
          <w:type w:val="continuous"/>
        </w:sectPr>
      </w:pPr>
    </w:p>
    <w:bookmarkStart w:id="164" w:name="page165"/>
    <w:bookmarkEnd w:id="164"/>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could reflect a reduction to unrecognized tax benefits of $3 million over the next 12 months due to the statute of limitations lapsing on positions or because tax positions are sustained on audit.</w:t>
      </w:r>
    </w:p>
    <w:p>
      <w:pPr>
        <w:spacing w:after="0" w:line="11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2020, we have no tax years under examination by the IRS. We have various U.S. state and local examinations and non-U.S. examinations in process. The U.S. federal tax returns after 2008, state and local returns after 2012, and non-U.S. returns after 2009 are open under relevant statutes of limitations and are subject to audit.</w:t>
      </w:r>
    </w:p>
    <w:p>
      <w:pPr>
        <w:spacing w:after="0" w:line="9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126"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between the Company and XPO, and other non-GXO subsidiaries, are deemed related-party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corporate-related costs for purposes of preparing these combined financial statements.</w:t>
      </w:r>
    </w:p>
    <w:p>
      <w:pPr>
        <w:spacing w:after="0" w:line="13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Costs of $223 million, $166 million and $129 million for the years ended December 31, 2020, 2019 and 2018, respectively, have been reflected in SG&amp;A and Other income in our Combined Statements of Operations for our allocated share of XPO’s corporate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years ended December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$105 million and $65 million as of December 31, 2020 and 2019, respectively. These receivables were originated by XPO and are classified as financial assets within other current assets on the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Assets and liabilities on the Combined Balance Sheets include the following related-party amounts that are expected to be cash settled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bl>
    <w:p>
      <w:pPr>
        <w:spacing w:after="0" w:line="224" w:lineRule="exact"/>
        <w:rPr>
          <w:sz w:val="20"/>
          <w:szCs w:val="20"/>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97"/>
        </w:numPr>
        <w:rPr>
          <w:rFonts w:ascii="Arial" w:cs="Arial" w:eastAsia="Arial" w:hAnsi="Arial"/>
          <w:sz w:val="13"/>
          <w:szCs w:val="13"/>
          <w:color w:val="auto"/>
        </w:rPr>
      </w:pPr>
      <w:r>
        <w:rPr>
          <w:rFonts w:ascii="Arial" w:cs="Arial" w:eastAsia="Arial" w:hAnsi="Arial"/>
          <w:sz w:val="14"/>
          <w:szCs w:val="14"/>
          <w:color w:val="auto"/>
        </w:rPr>
        <w:t>Represents loans due to XPO. See Note 10 for further information.</w:t>
      </w:r>
    </w:p>
    <w:p>
      <w:pPr>
        <w:spacing w:after="0" w:line="151" w:lineRule="exact"/>
        <w:rPr>
          <w:rFonts w:ascii="Arial" w:cs="Arial" w:eastAsia="Arial" w:hAnsi="Arial"/>
          <w:sz w:val="13"/>
          <w:szCs w:val="13"/>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January 2021, XPO Logistics Europe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$12 and $18,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$962 and $922 in accumulated depreciation,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$382 and $373 in accumulated amortization, respectively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09"/>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loss, net of tax effect of $3 and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802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Unrealized loss on financial assets/liabilities designated as hedging instruments, net of tax effect of $(1)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GXO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(borrowings) related to trade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Condensed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Condensed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Condensed Combined Financial Statements are presented as if the GXO businesses had been combined for all periods presented. The assets and liabilities in the Condensed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1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Condensed Combined Balance Sheets include certain assets and liabilities directly attributable to GXO, and the Condensed Combined Statements of Operations include allocations of XPO costs and expenses, as described below.</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Condensed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320" w:top="1440" w:right="399" w:bottom="1440" w:gutter="0" w:footer="0" w:header="0"/>
        </w:sectPr>
      </w:pPr>
    </w:p>
    <w:bookmarkStart w:id="172" w:name="page173"/>
    <w:bookmarkEnd w:id="172"/>
    <w:p>
      <w:pPr>
        <w:spacing w:after="0" w:line="14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transaction and integration costs, as well as restructuring costs and other adjustments, or headcount. The majority of these allocated costs are recorded in SG&amp;A and Depreciation and amortization expense in the Condensed Combined Statements of Operations. We believe the assumptions regarding allocations of XPO corporate expenses are reasonable. Nevertheless, the Condensed Combined Financial Statements may not reflect the combined results of operations, financial position and cash flows had the Company been a standalone entity during the periods presented.</w:t>
      </w:r>
    </w:p>
    <w:p>
      <w:pPr>
        <w:spacing w:after="0" w:line="1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Condensed Combined Financial Statements, and are considered to be effectively settled at the time the transaction is recorded. The total net effect of the cash settlement of these transactions is reflected in the Condensed Combined Statements of Cash Flows as a financing activity and in the Condensed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Condensed Combined Financial Statements include the accounts and business activities distributed across the legal entities of GXO. Significant intercompany balances and transactions among the operations of the GXO legal entities have been eliminated in the Condensed Combined Financial Statements. All significant related party transactions between GXO and XPO have been included in these Condensed Combined Financial Statements as components of XPO investment. The Condensed Combined Financial Statements reflect all adjustments that are of a normal recurring nature and are necessary for a fair presentation of financial condition, operating results and cash flows for the interim periods presented. Operating results for the three months ended March 31, 2021 and 2020 are not necessarily indicative of the results that may be expected for the year ending December 31, 2021 and 2020, respectively, particularly in light of the outbreak of a strain of coronavirus, COVID-19, in the first quarter of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Condensed Combined Balance Sheets, and the related cash flows have been reflected within Purchase and sale of affiliate trade receivables, net, within investing activities in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7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March 31, 2021 and December 31, 2020 due to their short-term nature and/or being receivable or payable on demand. The Level 1 cash equivalents include money market funds valued using quoted prices in active markets.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$45 million and $54 million as of March 31, 2021 and December 31, 2020, respectively. The cash equivalents are classified as Level 1 within the fair value hierarchy.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Condensed Combined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January 2021, we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 We have recorded preliminary estimates for the fair value of acquired assets and liabilities assumed, including approximately $300 million of operating lease assets and operating lease liabilities. Pro forma results of operations for this acquisition have not been presented as it is not material to the condensed combined results of operations.</w:t>
      </w:r>
    </w:p>
    <w:p>
      <w:pPr>
        <w:spacing w:after="0" w:line="118"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bl>
    <w:p>
      <w:pPr>
        <w:spacing w:after="0" w:line="2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revenue by industry sector was approximately as follows: e-commerce/retail (37% and 36% for the three months ended March 31, 2021 and 2020, respectively); food and beverage (18% and 15% for the three months ended March 31, 2021 and 2020, respectively); consumer packaged goods (12% for both the three months ended March 31, 2021 and 2020); consumer technology (10% and 11% for the three months ended March 31, 2021 and 2020, respectively); and other (23%, and 26% for the three months ended March 31, 2021 and 2020,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Unearned revenue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0"/>
        </w:trPr>
        <w:tc>
          <w:tcPr>
            <w:tcW w:w="9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$82 million related to the Kuehne + Nagel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2021, the fixed consideration component of our remaining performance obligation was approximately $2.0 billion, and we expect to recognize approximately 65% of that amount over the next three years and the remainder thereafter. The remaining performance obligation at March 31, 2021 includes contracts related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240"/>
          </w:cols>
          <w:pgMar w:left="320" w:top="1440" w:right="339" w:bottom="1440" w:gutter="0" w:footer="0" w:header="0"/>
          <w:type w:val="continuous"/>
        </w:sectPr>
      </w:pPr>
    </w:p>
    <w:bookmarkStart w:id="175" w:name="page176"/>
    <w:bookmarkEnd w:id="17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Kuehne + Nagel acquisition. We estimate remaining performance obligations at a point in time and actual amounts may differ from these estimates due to changes in foreign currency exchange rates and contract revisions or terminations.</w:t>
      </w:r>
    </w:p>
    <w:p>
      <w:pPr>
        <w:spacing w:after="0" w:line="11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operating lease assets, and are intended to improve our efficiency and profitability.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9"/>
        </w:trPr>
        <w:tc>
          <w:tcPr>
            <w:tcW w:w="9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the three months ended March 31, 2021 will be complete within twelve months.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2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453"/>
        </w:trPr>
        <w:tc>
          <w:tcPr>
            <w:tcW w:w="240" w:type="dxa"/>
            <w:vAlign w:val="bottom"/>
          </w:tcPr>
          <w:p>
            <w:pPr>
              <w:spacing w:after="0"/>
              <w:rPr>
                <w:sz w:val="24"/>
                <w:szCs w:val="24"/>
                <w:color w:val="auto"/>
              </w:rPr>
            </w:pPr>
          </w:p>
        </w:tc>
        <w:tc>
          <w:tcPr>
            <w:tcW w:w="7160" w:type="dxa"/>
            <w:vAlign w:val="bottom"/>
            <w:gridSpan w:val="9"/>
          </w:tcPr>
          <w:p>
            <w:pPr>
              <w:ind w:left="10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29"/>
        </w:trPr>
        <w:tc>
          <w:tcPr>
            <w:tcW w:w="4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24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Borrowings related to Securitization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 a defined average days sales outstanding ratio. For additional information on the securitization program, see Note 2—Basis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March 31, 2021 and December 31, 2020, the Company had an outstanding loan payable to XPO of $174 million and $186 million, respectively. The notes are guaranteed by an XPO affiliate.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28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 million (approximately $23 million as of March 31, 2021) entered into in 2013, bearing interest at a variable rate of twelve-month Euribor plus 1% and maturing in October 2026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£82 million (approximately $112 million as of March 31, 2021) entered into in 2016, bearing interest at a variable rate of twelve-month Libor plus 1% and maturing in October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amounts related to these loans payable to XPO was $135 million as of both March 31, 2021 and December 31, 2020.</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$148 million and $165 million at March 31, 2021 and December 31, 2020, respectively.</w:t>
      </w:r>
    </w:p>
    <w:p>
      <w:pPr>
        <w:spacing w:after="0" w:line="12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140"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Transactions between the Company and XPO, and other non-GXO subsidiaries of XPO,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Condensed Combined Balance Sheets as of March 31, 2021 and December 31, 2020. For those that have been or are expected to be forgiven, the amounts have been recorded as an adjustment of XPO Investment in the Condensed Combined Balance Sheets as of March 31, 2021 and December 31, 2020.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such costs for purposes of preparing these combined financial statements.</w:t>
      </w:r>
    </w:p>
    <w:p>
      <w:pPr>
        <w:spacing w:after="0" w:line="13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Costs of $69 million and $59 million for the three months ended March 31, 2021 and 2020, respectively, have been reflected in SG&amp;A in our Condensed Combined Statements of Operations for our allocated share of XPO’s corporate overhead.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months ended March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4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$85 million and $105 million as of March 31, 2021 and December 31, 2020, respectively. These receivables were originated by XPO and are classified as financial assets within other current assets on the Condensed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and liabilities on the Condensed Combined Balance Sheets include the following related-party amounts that are expected to be cash settled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9"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loans due to XPO. See Note 6 for further information.</w:t>
      </w:r>
    </w:p>
    <w:p>
      <w:pPr>
        <w:spacing w:after="0" w:line="151"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April 2021, the Company announced a buy-out offer to be followed by a squeeze-out for the remaining 3% of XPO Logistics Europe that it does not already own, at a price of €315 per share for 341,887 shares. It is expected that the total cash consideration to be paid in connection with this offer will be approximately €108 million (approximately $128 million). The offer will be subject to review by the Supervisory Board of XPO Logistics Europe, as well as other regulatory bodies. In anticipation of the buy-out, XPO contributed $122 million of cash to GXO during the first quarter of 2021. This contribution is reflected as an increase to Net transfers from XPO on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1"/>
    </w:lvl>
  </w:abstractNum>
  <w:abstractNum w:abstractNumId="2">
    <w:nsid w:val="1CF10FD8"/>
    <w:multiLevelType w:val="hybridMultilevel"/>
    <w:lvl w:ilvl="0">
      <w:lvlJc w:val="left"/>
      <w:lvlText w:val="(%1)"/>
      <w:numFmt w:val="lowerRoman"/>
      <w:start w:val="1"/>
    </w:lvl>
  </w:abstractNum>
  <w:abstractNum w:abstractNumId="3">
    <w:nsid w:val="180115BE"/>
    <w:multiLevelType w:val="hybridMultilevel"/>
    <w:lvl w:ilvl="0">
      <w:lvlJc w:val="left"/>
      <w:lvlText w:val="(%1)"/>
      <w:numFmt w:val="lowerLetter"/>
      <w:start w:val="2"/>
    </w:lvl>
  </w:abstractNum>
  <w:abstractNum w:abstractNumId="4">
    <w:nsid w:val="235BA861"/>
    <w:multiLevelType w:val="hybridMultilevel"/>
    <w:lvl w:ilvl="0">
      <w:lvlJc w:val="left"/>
      <w:lvlText w:val="(%1)"/>
      <w:numFmt w:val="lowerLetter"/>
      <w:start w:val="1"/>
    </w:lvl>
  </w:abstractNum>
  <w:abstractNum w:abstractNumId="5">
    <w:nsid w:val="47398C89"/>
    <w:multiLevelType w:val="hybridMultilevel"/>
    <w:lvl w:ilvl="0">
      <w:lvlJc w:val="left"/>
      <w:lvlText w:val="(%1)"/>
      <w:numFmt w:val="upperLetter"/>
      <w:start w:val="1"/>
    </w:lvl>
    <w:lvl w:ilvl="1">
      <w:lvlJc w:val="left"/>
      <w:lvlText w:val="(%2)"/>
      <w:numFmt w:val="lowerLetter"/>
      <w:start w:val="1"/>
    </w:lvl>
  </w:abstractNum>
  <w:abstractNum w:abstractNumId="6">
    <w:nsid w:val="354FE9F9"/>
    <w:multiLevelType w:val="hybridMultilevel"/>
    <w:lvl w:ilvl="0">
      <w:lvlJc w:val="left"/>
      <w:lvlText w:val="(%1)"/>
      <w:numFmt w:val="lowerLetter"/>
      <w:start w:val="2"/>
    </w:lvl>
  </w:abstractNum>
  <w:abstractNum w:abstractNumId="7">
    <w:nsid w:val="15B5AF5C"/>
    <w:multiLevelType w:val="hybridMultilevel"/>
    <w:lvl w:ilvl="0">
      <w:lvlJc w:val="left"/>
      <w:lvlText w:val="(%1)"/>
      <w:numFmt w:val="lowerLetter"/>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1)"/>
      <w:numFmt w:val="lowerLetter"/>
      <w:start w:val="1"/>
    </w:lvl>
  </w:abstractNum>
  <w:abstractNum w:abstractNumId="44">
    <w:nsid w:val="A0382C5"/>
    <w:multiLevelType w:val="hybridMultilevel"/>
    <w:lvl w:ilvl="0">
      <w:lvlJc w:val="left"/>
      <w:lvlText w:val="(%1)"/>
      <w:numFmt w:val="lowerLetter"/>
      <w:start w:val="3"/>
    </w:lvl>
  </w:abstractNum>
  <w:abstractNum w:abstractNumId="45">
    <w:nsid w:val="8F2B15E"/>
    <w:multiLevelType w:val="hybridMultilevel"/>
    <w:lvl w:ilvl="0">
      <w:lvlJc w:val="left"/>
      <w:lvlText w:val="(%1)"/>
      <w:numFmt w:val="lowerLetter"/>
      <w:start w:val="4"/>
    </w:lvl>
  </w:abstractNum>
  <w:abstractNum w:abstractNumId="46">
    <w:nsid w:val="1A32234B"/>
    <w:multiLevelType w:val="hybridMultilevel"/>
    <w:lvl w:ilvl="0">
      <w:lvlJc w:val="left"/>
      <w:lvlText w:val="(%1)"/>
      <w:numFmt w:val="lowerLetter"/>
      <w:start w:val="8"/>
    </w:lvl>
  </w:abstractNum>
  <w:abstractNum w:abstractNumId="47">
    <w:nsid w:val="3B0FD379"/>
    <w:multiLevelType w:val="hybridMultilevel"/>
    <w:lvl w:ilvl="0">
      <w:lvlJc w:val="left"/>
      <w:lvlText w:val="(%1)"/>
      <w:numFmt w:val="lowerLetter"/>
      <w:start w:val="13"/>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lvl w:ilvl="1">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lowerRoman"/>
      <w:start w:val="5"/>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lvl w:ilvl="1">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decimal"/>
      <w:start w:val="2"/>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1."/>
      <w:numFmt w:val="decimal"/>
      <w:start w:val="3"/>
    </w:lvl>
  </w:abstractNum>
  <w:abstractNum w:abstractNumId="85">
    <w:nsid w:val="6AA78F7F"/>
    <w:multiLevelType w:val="hybridMultilevel"/>
    <w:lvl w:ilvl="0">
      <w:lvlJc w:val="left"/>
      <w:lvlText w:val="%1."/>
      <w:numFmt w:val="decimal"/>
      <w:start w:val="4"/>
    </w:lvl>
  </w:abstractNum>
  <w:abstractNum w:abstractNumId="86">
    <w:nsid w:val="7672BD23"/>
    <w:multiLevelType w:val="hybridMultilevel"/>
    <w:lvl w:ilvl="0">
      <w:lvlJc w:val="left"/>
      <w:lvlText w:val="%1."/>
      <w:numFmt w:val="decimal"/>
      <w:start w:val="5"/>
    </w:lvl>
  </w:abstractNum>
  <w:abstractNum w:abstractNumId="87">
    <w:nsid w:val="6FC75AF8"/>
    <w:multiLevelType w:val="hybridMultilevel"/>
    <w:lvl w:ilvl="0">
      <w:lvlJc w:val="left"/>
      <w:lvlText w:val="%1."/>
      <w:numFmt w:val="decimal"/>
      <w:start w:val="19"/>
    </w:lvl>
  </w:abstractNum>
  <w:abstractNum w:abstractNumId="88">
    <w:nsid w:val="6A5F7029"/>
    <w:multiLevelType w:val="hybridMultilevel"/>
    <w:lvl w:ilvl="0">
      <w:lvlJc w:val="left"/>
      <w:lvlText w:val="%1."/>
      <w:numFmt w:val="decimal"/>
      <w:start w:val="7"/>
    </w:lvl>
  </w:abstractNum>
  <w:abstractNum w:abstractNumId="89">
    <w:nsid w:val="7D5E18F8"/>
    <w:multiLevelType w:val="hybridMultilevel"/>
    <w:lvl w:ilvl="0">
      <w:lvlJc w:val="left"/>
      <w:lvlText w:val="%1."/>
      <w:numFmt w:val="decimal"/>
      <w:start w:val="8"/>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decimal"/>
      <w:start w:val="11"/>
    </w:lvl>
  </w:abstractNum>
  <w:abstractNum w:abstractNumId="92">
    <w:nsid w:val="7DE67713"/>
    <w:multiLevelType w:val="hybridMultilevel"/>
    <w:lvl w:ilvl="0">
      <w:lvlJc w:val="left"/>
      <w:lvlText w:val="%1."/>
      <w:numFmt w:val="decimal"/>
      <w:start w:val="12"/>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13"/>
    </w:lvl>
  </w:abstractNum>
  <w:abstractNum w:abstractNumId="95">
    <w:nsid w:val="14FCE74E"/>
    <w:multiLevelType w:val="hybridMultilevel"/>
    <w:lvl w:ilvl="0">
      <w:lvlJc w:val="left"/>
      <w:lvlText w:val="%1."/>
      <w:numFmt w:val="decimal"/>
      <w:start w:val="14"/>
    </w:lvl>
  </w:abstractNum>
  <w:abstractNum w:abstractNumId="96">
    <w:nsid w:val="6A3DD3E8"/>
    <w:multiLevelType w:val="hybridMultilevel"/>
    <w:lvl w:ilvl="0">
      <w:lvlJc w:val="left"/>
      <w:lvlText w:val="%1"/>
      <w:numFmt w:val="decimal"/>
      <w:start w:val="1"/>
    </w:lvl>
    <w:lvl w:ilvl="1">
      <w:lvlJc w:val="left"/>
      <w:lvlText w:val="(%2)"/>
      <w:numFmt w:val="decimal"/>
      <w:start w:val="1"/>
    </w:lvl>
  </w:abstractNum>
  <w:abstractNum w:abstractNumId="97">
    <w:nsid w:val="71C91298"/>
    <w:multiLevelType w:val="hybridMultilevel"/>
    <w:lvl w:ilvl="0">
      <w:lvlJc w:val="left"/>
      <w:lvlText w:val="%1."/>
      <w:numFmt w:val="decimal"/>
      <w:start w:val="15"/>
    </w:lvl>
    <w:lvl w:ilvl="1">
      <w:lvlJc w:val="left"/>
      <w:lvlText w:val="%2"/>
      <w:numFmt w:val="decimal"/>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2"/>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1."/>
      <w:numFmt w:val="decimal"/>
      <w:start w:val="3"/>
    </w:lvl>
  </w:abstractNum>
  <w:abstractNum w:abstractNumId="102">
    <w:nsid w:val="1D545C4D"/>
    <w:multiLevelType w:val="hybridMultilevel"/>
    <w:lvl w:ilvl="0">
      <w:lvlJc w:val="left"/>
      <w:lvlText w:val="%1."/>
      <w:numFmt w:val="decimal"/>
      <w:start w:val="4"/>
    </w:lvl>
  </w:abstractNum>
  <w:abstractNum w:abstractNumId="103">
    <w:nsid w:val="59ADEA3D"/>
    <w:multiLevelType w:val="hybridMultilevel"/>
    <w:lvl w:ilvl="0">
      <w:lvlJc w:val="left"/>
      <w:lvlText w:val="(%1)"/>
      <w:numFmt w:val="decimal"/>
      <w:start w:val="1"/>
    </w:lvl>
  </w:abstractNum>
  <w:abstractNum w:abstractNumId="104">
    <w:nsid w:val="288F1A34"/>
    <w:multiLevelType w:val="hybridMultilevel"/>
    <w:lvl w:ilvl="0">
      <w:lvlJc w:val="left"/>
      <w:lvlText w:val="%1."/>
      <w:numFmt w:val="decimal"/>
      <w:start w:val="5"/>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1."/>
      <w:numFmt w:val="decimal"/>
      <w:start w:val="7"/>
    </w:lvl>
  </w:abstractNum>
  <w:abstractNum w:abstractNumId="107">
    <w:nsid w:val="97E1B4E"/>
    <w:multiLevelType w:val="hybridMultilevel"/>
    <w:lvl w:ilvl="0">
      <w:lvlJc w:val="left"/>
      <w:lvlText w:val="%1."/>
      <w:numFmt w:val="decimal"/>
      <w:start w:val="8"/>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3"/>
    </w:lvl>
  </w:abstractNum>
  <w:abstractNum w:abstractNumId="110">
    <w:nsid w:val="53584BC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1" Type="http://schemas.openxmlformats.org/officeDocument/2006/relationships/image" Target="media/image7.png"/><Relationship Id="rId42" Type="http://schemas.openxmlformats.org/officeDocument/2006/relationships/image" Target="media/image8.jpeg"/><Relationship Id="rId43" Type="http://schemas.openxmlformats.org/officeDocument/2006/relationships/image" Target="media/image9.png"/><Relationship Id="rId44"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2.png"/><Relationship Id="rId47"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jpeg"/><Relationship Id="rId65" Type="http://schemas.openxmlformats.org/officeDocument/2006/relationships/image" Target="media/image31.jpeg"/><Relationship Id="rId66" Type="http://schemas.openxmlformats.org/officeDocument/2006/relationships/image" Target="media/image32.jpeg"/><Relationship Id="rId67" Type="http://schemas.openxmlformats.org/officeDocument/2006/relationships/image" Target="media/image33.png"/><Relationship Id="rId68" Type="http://schemas.openxmlformats.org/officeDocument/2006/relationships/image" Target="media/image34.png"/><Relationship Id="rId14" Type="http://schemas.openxmlformats.org/officeDocument/2006/relationships/hyperlink" Target="https://www.sec.gov/Archives/edgar/data/1852244/000162828021013885/exhibit21-form10a2.htm" TargetMode="External"/><Relationship Id="rId15" Type="http://schemas.openxmlformats.org/officeDocument/2006/relationships/hyperlink" Target="https://www.sec.gov/Archives/edgar/data/1852244/000162828021013885/exhibit22-form10a2.htm" TargetMode="External"/><Relationship Id="rId16" Type="http://schemas.openxmlformats.org/officeDocument/2006/relationships/hyperlink" Target="https://www.sec.gov/Archives/edgar/data/1852244/000162828021013885/exhibit23-form10a2.htm" TargetMode="External"/><Relationship Id="rId17" Type="http://schemas.openxmlformats.org/officeDocument/2006/relationships/hyperlink" Target="https://www.sec.gov/Archives/edgar/data/1852244/000162828021013885/exhibit24-form10a2.htm" TargetMode="External"/><Relationship Id="rId18" Type="http://schemas.openxmlformats.org/officeDocument/2006/relationships/hyperlink" Target="https://www.sec.gov/Archives/edgar/data/1852244/000162828021013885/exhibit25-form10a2.htm" TargetMode="External"/><Relationship Id="rId19" Type="http://schemas.openxmlformats.org/officeDocument/2006/relationships/hyperlink" Target="https://www.sec.gov/Archives/edgar/data/1852244/000162828021013885/exhibit31-form10a2.htm" TargetMode="External"/><Relationship Id="rId20" Type="http://schemas.openxmlformats.org/officeDocument/2006/relationships/hyperlink" Target="https://www.sec.gov/Archives/edgar/data/1852244/000162828021013619/exhibit32-form10a.htm" TargetMode="External"/><Relationship Id="rId21" Type="http://schemas.openxmlformats.org/officeDocument/2006/relationships/hyperlink" Target="https://www.sec.gov/Archives/edgar/data/1852244/000162828021013619/exhibit41-form10a.htm" TargetMode="External"/><Relationship Id="rId22" Type="http://schemas.openxmlformats.org/officeDocument/2006/relationships/hyperlink" Target="https://www.sec.gov/Archives/edgar/data/1852244/000162828021013619/exhibit42-form10a.htm" TargetMode="External"/><Relationship Id="rId23" Type="http://schemas.openxmlformats.org/officeDocument/2006/relationships/hyperlink" Target="https://www.sec.gov/Archives/edgar/data/1852244/000162828021013619/exhibit43-form10a.htm" TargetMode="External"/><Relationship Id="rId24" Type="http://schemas.openxmlformats.org/officeDocument/2006/relationships/hyperlink" Target="https://www.sec.gov/Archives/edgar/data/1852244/000162828021011851/exhibit101-form10.htm" TargetMode="External"/><Relationship Id="rId25" Type="http://schemas.openxmlformats.org/officeDocument/2006/relationships/hyperlink" Target="https://www.sec.gov/Archives/edgar/data/1852244/000162828021013619/exhibit102-form10a.htm" TargetMode="External"/><Relationship Id="rId26" Type="http://schemas.openxmlformats.org/officeDocument/2006/relationships/hyperlink" Target="https://www.sec.gov/Archives/edgar/data/1852244/000162828021013619/exhibit103-form10a.htm" TargetMode="External"/><Relationship Id="rId27" Type="http://schemas.openxmlformats.org/officeDocument/2006/relationships/hyperlink" Target="https://www.sec.gov/Archives/edgar/data/1852244/000162828021011851/exhibit104-form10.htm" TargetMode="External"/><Relationship Id="rId28" Type="http://schemas.openxmlformats.org/officeDocument/2006/relationships/hyperlink" Target="https://www.sec.gov/Archives/edgar/data/1852244/000162828021011851/exhibit105-form10.htm" TargetMode="External"/><Relationship Id="rId29" Type="http://schemas.openxmlformats.org/officeDocument/2006/relationships/hyperlink" Target="https://www.sec.gov/Archives/edgar/data/1852244/000162828021011851/exhibit106-form10.htm" TargetMode="External"/><Relationship Id="rId30" Type="http://schemas.openxmlformats.org/officeDocument/2006/relationships/hyperlink" Target="https://www.sec.gov/Archives/edgar/data/1852244/000162828021011851/exhibit107-form10.htm" TargetMode="External"/><Relationship Id="rId31" Type="http://schemas.openxmlformats.org/officeDocument/2006/relationships/hyperlink" Target="https://www.sec.gov/Archives/edgar/data/1852244/000162828021011851/exhibit108-form10.htm" TargetMode="External"/><Relationship Id="rId32" Type="http://schemas.openxmlformats.org/officeDocument/2006/relationships/hyperlink" Target="https://www.sec.gov/Archives/edgar/data/1852244/000162828021011851/exhibit109-form10.htm" TargetMode="External"/><Relationship Id="rId33" Type="http://schemas.openxmlformats.org/officeDocument/2006/relationships/hyperlink" Target="https://www.sec.gov/Archives/edgar/data/1852244/000162828021011851/exhibit1010-form10.htm" TargetMode="External"/><Relationship Id="rId34" Type="http://schemas.openxmlformats.org/officeDocument/2006/relationships/hyperlink" Target="https://www.sec.gov/Archives/edgar/data/1852244/000162828021011851/exhibit1011-form10.htm" TargetMode="External"/><Relationship Id="rId35" Type="http://schemas.openxmlformats.org/officeDocument/2006/relationships/hyperlink" Target="https://www.sec.gov/Archives/edgar/data/1852244/000162828021013619/exhibit1012-form10.htm" TargetMode="External"/><Relationship Id="rId36" Type="http://schemas.openxmlformats.org/officeDocument/2006/relationships/hyperlink" Target="https://www.sec.gov/Archives/edgar/data/1852244/000162828021013619/exhibit1013-form10a.htm" TargetMode="External"/><Relationship Id="rId37" Type="http://schemas.openxmlformats.org/officeDocument/2006/relationships/hyperlink" Target="https://www.sec.gov/Archives/edgar/data/1852244/000162828021013885/exhibit1014-form10a2.htm" TargetMode="External"/><Relationship Id="rId38" Type="http://schemas.openxmlformats.org/officeDocument/2006/relationships/hyperlink" Target="https://www.sec.gov/Archives/edgar/data/1852244/000162828021013885/exhibit1015-form10a2.htm" TargetMode="External"/><Relationship Id="rId39" Type="http://schemas.openxmlformats.org/officeDocument/2006/relationships/hyperlink" Target="https://www.sec.gov/Archives/edgar/data/1852244/000162828021013885/exhibit1016-form10a2.htm" TargetMode="External"/><Relationship Id="rId40" Type="http://schemas.openxmlformats.org/officeDocument/2006/relationships/hyperlink" Target="https://www.sec.gov/Archives/edgar/data/1852244/000162828021013885/exhibit211-form10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2021-07-19T09:37:14Z</dcterms:created>
  <dcterms:modified xsi:type="dcterms:W3CDTF">2021-07-19T09:37:14Z</dcterms:modified>
</cp:coreProperties>
</file>