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7, 2021.</w:t>
      </w:r>
    </w:p>
    <w:p>
      <w:pPr>
        <w:spacing w:after="0" w:line="17" w:lineRule="exact"/>
        <w:rPr>
          <w:sz w:val="24"/>
          <w:szCs w:val="24"/>
          <w:color w:val="auto"/>
        </w:rPr>
      </w:pPr>
    </w:p>
    <w:p>
      <w:pPr>
        <w:ind w:left="9820"/>
        <w:spacing w:after="0"/>
        <w:rPr>
          <w:sz w:val="20"/>
          <w:szCs w:val="20"/>
          <w:color w:val="auto"/>
        </w:rPr>
      </w:pPr>
      <w:r>
        <w:rPr>
          <w:rFonts w:ascii="Arial" w:cs="Arial" w:eastAsia="Arial" w:hAnsi="Arial"/>
          <w:sz w:val="14"/>
          <w:szCs w:val="14"/>
          <w:b w:val="1"/>
          <w:bCs w:val="1"/>
          <w:color w:val="auto"/>
        </w:rPr>
        <w:t>File No. 001-40470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177165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08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540" w:type="dxa"/>
        <w:tblCellMar>
          <w:top w:w="0" w:type="dxa"/>
          <w:left w:w="0" w:type="dxa"/>
          <w:bottom w:w="0" w:type="dxa"/>
          <w:right w:w="0" w:type="dxa"/>
        </w:tblCellMar>
      </w:tblPr>
      <w:tr>
        <w:trPr>
          <w:trHeight w:val="443"/>
        </w:trPr>
        <w:tc>
          <w:tcPr>
            <w:tcW w:w="6040" w:type="dxa"/>
            <w:vAlign w:val="bottom"/>
            <w:gridSpan w:val="3"/>
          </w:tcPr>
          <w:p>
            <w:pPr>
              <w:jc w:val="center"/>
              <w:ind w:left="2026"/>
              <w:spacing w:after="0"/>
              <w:rPr>
                <w:sz w:val="20"/>
                <w:szCs w:val="20"/>
                <w:color w:val="auto"/>
              </w:rPr>
            </w:pPr>
            <w:r>
              <w:rPr>
                <w:rFonts w:ascii="Arial" w:cs="Arial" w:eastAsia="Arial" w:hAnsi="Arial"/>
                <w:sz w:val="36"/>
                <w:szCs w:val="36"/>
                <w:b w:val="1"/>
                <w:bCs w:val="1"/>
                <w:color w:val="auto"/>
                <w:w w:val="92"/>
              </w:rPr>
              <w:t>GXO Logistics,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204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215"/>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(State or other jurisdiction of</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4"/>
              </w:rPr>
              <w:t>incorporation or organization)</w:t>
            </w:r>
          </w:p>
        </w:tc>
        <w:tc>
          <w:tcPr>
            <w:tcW w:w="1580" w:type="dxa"/>
            <w:vAlign w:val="bottom"/>
          </w:tcPr>
          <w:p>
            <w:pPr>
              <w:jc w:val="center"/>
              <w:ind w:left="35"/>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235"/>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Two American Lane</w:t>
            </w:r>
          </w:p>
        </w:tc>
        <w:tc>
          <w:tcPr>
            <w:tcW w:w="158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233"/>
        </w:trPr>
        <w:tc>
          <w:tcPr>
            <w:tcW w:w="604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3"/>
              </w:rPr>
              <w:t>Greenwich, CT</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(Address of principal executive offices)</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r>
        <w:trPr>
          <w:trHeight w:val="469"/>
        </w:trPr>
        <w:tc>
          <w:tcPr>
            <w:tcW w:w="5280" w:type="dxa"/>
            <w:vAlign w:val="bottom"/>
            <w:gridSpan w:val="2"/>
          </w:tcPr>
          <w:p>
            <w:pPr>
              <w:jc w:val="center"/>
              <w:ind w:left="2806"/>
              <w:spacing w:after="0"/>
              <w:rPr>
                <w:sz w:val="20"/>
                <w:szCs w:val="20"/>
                <w:color w:val="auto"/>
              </w:rPr>
            </w:pPr>
            <w:r>
              <w:rPr>
                <w:rFonts w:ascii="Arial" w:cs="Arial" w:eastAsia="Arial" w:hAnsi="Arial"/>
                <w:sz w:val="18"/>
                <w:szCs w:val="18"/>
                <w:color w:val="auto"/>
                <w:w w:val="90"/>
              </w:rPr>
              <w:t>203-489-1598</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left="2026"/>
              <w:spacing w:after="0"/>
              <w:rPr>
                <w:sz w:val="20"/>
                <w:szCs w:val="20"/>
                <w:color w:val="auto"/>
              </w:rPr>
            </w:pPr>
            <w:r>
              <w:rPr>
                <w:rFonts w:ascii="Arial" w:cs="Arial" w:eastAsia="Arial" w:hAnsi="Arial"/>
                <w:sz w:val="16"/>
                <w:szCs w:val="16"/>
                <w:color w:val="auto"/>
                <w:w w:val="91"/>
              </w:rPr>
              <w:t>(Registrant’s telephone number, including area code)</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13"/>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7"/>
              </w:rPr>
              <w:t>to be so Registered</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88"/>
              </w:rPr>
              <w:t>Each Class is to be Registered</w:t>
            </w:r>
          </w:p>
        </w:tc>
      </w:tr>
      <w:tr>
        <w:trPr>
          <w:trHeight w:val="231"/>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68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440" w:gutter="0" w:footer="0" w:header="0"/>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REQUIRED IN REGISTRATION STATEMENT CROSS-REFERENCE SHEET BETWEEN INFORMATION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ITEMS OF FORM 10</w:t>
      </w:r>
    </w:p>
    <w:p>
      <w:pPr>
        <w:spacing w:after="0" w:line="15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“Business,” “Management’s Discussion and Analysis of Financial Condition and Results of Operations,” “Certain Relationships and Related Party Transactions” and “Where You Can Find More Information.” Those sections are incorporated herein by reference.</w:t>
      </w:r>
    </w:p>
    <w:p>
      <w:pPr>
        <w:spacing w:after="0" w:line="12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Information,” and “Management’s Discussion and Analysis of Financial Condition and Results of Operations,” and “Index to Financial Statements” and the financial statements referenced therein. Those sections are incorporated herein by reference.</w:t>
      </w:r>
    </w:p>
    <w:p>
      <w:pPr>
        <w:spacing w:after="0" w:line="1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“Director Compensation.”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175"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“The Separation and Distribution,” “Dividend Policy,” “Capitalization,” and “Description of Capital Stock.” Those sections are incorporated herein by reference.</w:t>
      </w:r>
    </w:p>
    <w:p>
      <w:pPr>
        <w:spacing w:after="0" w:line="8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Material Indebtedness” and “Description of Capital Stock—Sale of Unregistered Securities.” Those sections are incorporated herein by reference.</w:t>
      </w:r>
    </w:p>
    <w:p>
      <w:pPr>
        <w:spacing w:after="0" w:line="112"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17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 and Distribution” “Dividend Policy,” and “Description of Capital Stock.”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500" w:type="dxa"/>
            <w:vAlign w:val="bottom"/>
            <w:gridSpan w:val="21"/>
          </w:tcPr>
          <w:p>
            <w:pPr>
              <w:ind w:left="104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80" w:type="dxa"/>
            <w:vAlign w:val="bottom"/>
            <w:tcBorders>
              <w:top w:val="single" w:sz="8" w:color="auto"/>
            </w:tcBorders>
            <w:gridSpan w:val="25"/>
          </w:tcPr>
          <w:p>
            <w:pPr>
              <w:spacing w:after="0"/>
              <w:rPr>
                <w:sz w:val="20"/>
                <w:szCs w:val="20"/>
                <w:color w:val="auto"/>
              </w:rPr>
            </w:pPr>
            <w:r>
              <w:rPr>
                <w:rFonts w:ascii="Arial" w:cs="Arial" w:eastAsia="Arial" w:hAnsi="Arial"/>
                <w:sz w:val="18"/>
                <w:szCs w:val="18"/>
                <w:color w:val="auto"/>
              </w:rPr>
              <w:t>Form of Separation and Distribution Agreement by and between XPO Logistics, Inc. and GXO Logistics, Inc.**</w:t>
            </w: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auto"/>
              </w:rPr>
              <w:t>Form of Transition Services Agreement by and between XPO Logistics, Inc. and GXO Logistics, Inc.**</w:t>
            </w: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auto"/>
              </w:rPr>
              <w:t>Form of Tax Matters Agreement by and between XPO Logistics, Inc. and GXO Logistics, Inc.**</w:t>
            </w: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auto"/>
              </w:rPr>
              <w:t>Form of Employee Matters Agreement by and between XPO Logistics, Inc. and GXO Logistics, Inc.**</w:t>
            </w: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auto"/>
              </w:rPr>
              <w:t>Form of Intellectual Property License Agreement by and between XPO Logistics, Inc. and GXO Logistics, Inc.**</w:t>
            </w:r>
          </w:p>
        </w:tc>
      </w:tr>
      <w:tr>
        <w:trPr>
          <w:trHeight w:val="190"/>
        </w:trPr>
        <w:tc>
          <w:tcPr>
            <w:tcW w:w="1440" w:type="dxa"/>
            <w:vAlign w:val="bottom"/>
          </w:tcPr>
          <w:p>
            <w:pPr>
              <w:ind w:left="20"/>
              <w:spacing w:after="0" w:line="190"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20" w:type="dxa"/>
            <w:vAlign w:val="bottom"/>
            <w:tcBorders>
              <w:bottom w:val="single" w:sz="8" w:color="0000FF"/>
            </w:tcBorders>
            <w:gridSpan w:val="9"/>
          </w:tcPr>
          <w:p>
            <w:pPr>
              <w:spacing w:after="0" w:line="190" w:lineRule="exact"/>
              <w:rPr>
                <w:rFonts w:ascii="Arial" w:cs="Arial" w:eastAsia="Arial" w:hAnsi="Arial"/>
                <w:sz w:val="18"/>
                <w:szCs w:val="18"/>
                <w:color w:val="0000FF"/>
                <w:w w:val="92"/>
              </w:rPr>
            </w:pPr>
            <w:hyperlink w:anchor="page6">
              <w:r>
                <w:rPr>
                  <w:rFonts w:ascii="Arial" w:cs="Arial" w:eastAsia="Arial" w:hAnsi="Arial"/>
                  <w:sz w:val="18"/>
                  <w:szCs w:val="18"/>
                  <w:color w:val="0000FF"/>
                  <w:w w:val="92"/>
                </w:rPr>
                <w:t>Form of Amended and Restated Certificate of Incorporation of GXO Logistics, Inc.</w:t>
              </w:r>
            </w:hyperlink>
          </w:p>
        </w:tc>
        <w:tc>
          <w:tcPr>
            <w:tcW w:w="3660" w:type="dxa"/>
            <w:vAlign w:val="bottom"/>
            <w:gridSpan w:val="16"/>
          </w:tcPr>
          <w:p>
            <w:pPr>
              <w:spacing w:after="0"/>
              <w:rPr>
                <w:sz w:val="16"/>
                <w:szCs w:val="16"/>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Form of Amended and Restated Bylaws of GXO Logistics, Inc.</w:t>
              </w:r>
            </w:hyperlink>
          </w:p>
        </w:tc>
        <w:tc>
          <w:tcPr>
            <w:tcW w:w="5100" w:type="dxa"/>
            <w:vAlign w:val="bottom"/>
            <w:gridSpan w:val="18"/>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Indenture, dated as of July 2, 2021, among GXO Logistics, Inc. and Wells Fargo Bank, National Association, as Trustee</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First Supplemental Indenture, dated as of July 2, 2021, among GXO Logistics, Inc. and Wells Fargo Bank, National Association, as</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96">
              <w:r>
                <w:rPr>
                  <w:rFonts w:ascii="Arial" w:cs="Arial" w:eastAsia="Arial" w:hAnsi="Arial"/>
                  <w:sz w:val="18"/>
                  <w:szCs w:val="18"/>
                  <w:color w:val="0000FF"/>
                </w:rPr>
                <w:t>Trustee</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w w:val="97"/>
              </w:rPr>
            </w:pPr>
            <w:hyperlink w:anchor="page152">
              <w:r>
                <w:rPr>
                  <w:rFonts w:ascii="Arial" w:cs="Arial" w:eastAsia="Arial" w:hAnsi="Arial"/>
                  <w:sz w:val="18"/>
                  <w:szCs w:val="18"/>
                  <w:color w:val="0000FF"/>
                  <w:w w:val="97"/>
                </w:rPr>
                <w:t>Registration Rights Agreement, dated July 2, 2021, by and among GXO Logistics, Inc. Barclays Capital Inc., Citigroup Global</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52">
              <w:r>
                <w:rPr>
                  <w:rFonts w:ascii="Arial" w:cs="Arial" w:eastAsia="Arial" w:hAnsi="Arial"/>
                  <w:sz w:val="18"/>
                  <w:szCs w:val="18"/>
                  <w:color w:val="0000FF"/>
                </w:rPr>
                <w:t>Markets Inc., Credit Agricole Securities (USA) Inc. and Goldman Sachs &amp; Co. LLC</w:t>
              </w:r>
            </w:hyperlink>
          </w:p>
        </w:tc>
        <w:tc>
          <w:tcPr>
            <w:tcW w:w="4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10"/>
          </w:tcPr>
          <w:p>
            <w:pPr>
              <w:spacing w:after="0"/>
              <w:rPr>
                <w:rFonts w:ascii="Arial" w:cs="Arial" w:eastAsia="Arial" w:hAnsi="Arial"/>
                <w:sz w:val="18"/>
                <w:szCs w:val="18"/>
                <w:color w:val="0000FF"/>
              </w:rPr>
            </w:pPr>
            <w:hyperlink r:id="rId14">
              <w:r>
                <w:rPr>
                  <w:rFonts w:ascii="Arial" w:cs="Arial" w:eastAsia="Arial" w:hAnsi="Arial"/>
                  <w:sz w:val="18"/>
                  <w:szCs w:val="18"/>
                  <w:color w:val="0000FF"/>
                </w:rPr>
                <w:t>Form of GXO Logistics, Inc. 2021 Omnibus Incentive Plan</w:t>
              </w:r>
            </w:hyperlink>
            <w:r>
              <w:rPr>
                <w:rFonts w:ascii="Arial" w:cs="Arial" w:eastAsia="Arial" w:hAnsi="Arial"/>
                <w:sz w:val="18"/>
                <w:szCs w:val="18"/>
                <w:color w:val="000000"/>
              </w:rPr>
              <w:t>*</w:t>
            </w:r>
          </w:p>
        </w:tc>
        <w:tc>
          <w:tcPr>
            <w:tcW w:w="3620" w:type="dxa"/>
            <w:vAlign w:val="bottom"/>
            <w:gridSpan w:val="15"/>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w:anchor="page175">
              <w:r>
                <w:rPr>
                  <w:rFonts w:ascii="Arial" w:cs="Arial" w:eastAsia="Arial" w:hAnsi="Arial"/>
                  <w:sz w:val="18"/>
                  <w:szCs w:val="18"/>
                  <w:color w:val="0000FF"/>
                </w:rPr>
                <w:t xml:space="preserve">Form of Option Award Agreement under the XPO Logistics, Inc. </w:t>
              </w:r>
            </w:hyperlink>
            <w:r>
              <w:rPr>
                <w:rFonts w:ascii="Arial" w:cs="Arial" w:eastAsia="Arial" w:hAnsi="Arial"/>
                <w:sz w:val="18"/>
                <w:szCs w:val="18"/>
                <w:color w:val="0000FF"/>
              </w:rPr>
              <w:t xml:space="preserve">2016 </w:t>
            </w:r>
            <w:hyperlink w:anchor="page175">
              <w:r>
                <w:rPr>
                  <w:rFonts w:ascii="Arial" w:cs="Arial" w:eastAsia="Arial" w:hAnsi="Arial"/>
                  <w:sz w:val="18"/>
                  <w:szCs w:val="18"/>
                  <w:color w:val="0000FF"/>
                </w:rPr>
                <w:t>Omnibus Incentive Compensation Plan</w:t>
              </w:r>
            </w:hyperlink>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tcBorders>
              <w:top w:val="single" w:sz="8" w:color="0000FF"/>
            </w:tcBorders>
            <w:gridSpan w:val="17"/>
          </w:tcPr>
          <w:p>
            <w:pPr>
              <w:spacing w:after="0"/>
              <w:rPr>
                <w:rFonts w:ascii="Arial" w:cs="Arial" w:eastAsia="Arial" w:hAnsi="Arial"/>
                <w:sz w:val="18"/>
                <w:szCs w:val="18"/>
                <w:color w:val="0000FF"/>
              </w:rPr>
            </w:pPr>
            <w:hyperlink w:anchor="page185">
              <w:r>
                <w:rPr>
                  <w:rFonts w:ascii="Arial" w:cs="Arial" w:eastAsia="Arial" w:hAnsi="Arial"/>
                  <w:sz w:val="18"/>
                  <w:szCs w:val="18"/>
                  <w:color w:val="0000FF"/>
                </w:rPr>
                <w:t>Form of GXO Logistics Inc. Severance Plan</w:t>
              </w:r>
            </w:hyperlink>
          </w:p>
        </w:tc>
        <w:tc>
          <w:tcPr>
            <w:tcW w:w="1740" w:type="dxa"/>
            <w:vAlign w:val="bottom"/>
            <w:gridSpan w:val="8"/>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r:id="rId15">
              <w:r>
                <w:rPr>
                  <w:rFonts w:ascii="Arial" w:cs="Arial" w:eastAsia="Arial" w:hAnsi="Arial"/>
                  <w:sz w:val="18"/>
                  <w:szCs w:val="18"/>
                  <w:color w:val="0000FF"/>
                </w:rPr>
                <w:t>Form of GXO Logistics Inc. Cash Long-Term Incentive Plan</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Award Agreement under the XPO Logistics, Inc. Cash Long-Term Incentive Plan between XPO Logistics, Inc. and Malcolm Wilson,</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dated as of January 15, 2020</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Award Agreement under the XPO Logistics, Inc. Cash Long-Term Incentive Plan between XPO Logistics, Inc. and Maryclaire</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Hammond dated as of January 15, 2020</w:t>
              </w:r>
              <w:r>
                <w:rPr>
                  <w:rFonts w:ascii="Arial" w:cs="Arial" w:eastAsia="Arial" w:hAnsi="Arial"/>
                  <w:sz w:val="18"/>
                  <w:szCs w:val="18"/>
                  <w:color w:val="000000"/>
                </w:rPr>
                <w:t>*</w:t>
              </w:r>
            </w:hyperlink>
          </w:p>
        </w:tc>
        <w:tc>
          <w:tcPr>
            <w:tcW w:w="5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r:id="rId18">
              <w:r>
                <w:rPr>
                  <w:rFonts w:ascii="Arial" w:cs="Arial" w:eastAsia="Arial" w:hAnsi="Arial"/>
                  <w:sz w:val="18"/>
                  <w:szCs w:val="18"/>
                  <w:color w:val="0000FF"/>
                </w:rPr>
                <w:t>Offer Letter between XPO Logistics Europe and Malcolm Wilson,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r:id="rId19">
              <w:r>
                <w:rPr>
                  <w:rFonts w:ascii="Arial" w:cs="Arial" w:eastAsia="Arial" w:hAnsi="Arial"/>
                  <w:sz w:val="18"/>
                  <w:szCs w:val="18"/>
                  <w:color w:val="0000FF"/>
                </w:rPr>
                <w:t>Service Agreement between XPO Supply Chain UK Limited and Malcolm Wilson, dated as of May 14, 2021</w:t>
              </w:r>
            </w:hyperlink>
            <w:r>
              <w:rPr>
                <w:rFonts w:ascii="Arial" w:cs="Arial" w:eastAsia="Arial" w:hAnsi="Arial"/>
                <w:sz w:val="18"/>
                <w:szCs w:val="18"/>
                <w:color w:val="000000"/>
              </w:rPr>
              <w:t>*</w:t>
            </w: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top w:val="single" w:sz="8" w:color="0000FF"/>
            </w:tcBorders>
            <w:gridSpan w:val="16"/>
          </w:tcPr>
          <w:p>
            <w:pPr>
              <w:spacing w:after="0"/>
              <w:rPr>
                <w:rFonts w:ascii="Arial" w:cs="Arial" w:eastAsia="Arial" w:hAnsi="Arial"/>
                <w:sz w:val="18"/>
                <w:szCs w:val="18"/>
                <w:color w:val="0000FF"/>
              </w:rPr>
            </w:pPr>
            <w:hyperlink r:id="rId20">
              <w:r>
                <w:rPr>
                  <w:rFonts w:ascii="Arial" w:cs="Arial" w:eastAsia="Arial" w:hAnsi="Arial"/>
                  <w:sz w:val="18"/>
                  <w:szCs w:val="18"/>
                  <w:color w:val="0000FF"/>
                </w:rPr>
                <w:t>Offer Letter between XPO Logistics, Inc. and Baris Oran, dated as of April 20, 2021</w:t>
              </w:r>
            </w:hyperlink>
            <w:r>
              <w:rPr>
                <w:rFonts w:ascii="Arial" w:cs="Arial" w:eastAsia="Arial" w:hAnsi="Arial"/>
                <w:sz w:val="18"/>
                <w:szCs w:val="18"/>
                <w:color w:val="000000"/>
              </w:rPr>
              <w:t>*</w:t>
            </w:r>
          </w:p>
        </w:tc>
        <w:tc>
          <w:tcPr>
            <w:tcW w:w="1840" w:type="dxa"/>
            <w:vAlign w:val="bottom"/>
            <w:gridSpan w:val="9"/>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r:id="rId21">
              <w:r>
                <w:rPr>
                  <w:rFonts w:ascii="Arial" w:cs="Arial" w:eastAsia="Arial" w:hAnsi="Arial"/>
                  <w:sz w:val="18"/>
                  <w:szCs w:val="18"/>
                  <w:color w:val="0000FF"/>
                </w:rPr>
                <w:t>Offer Letter between XPO Logistics Europe and Maryclaire Hammond,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rPr>
            </w:pPr>
            <w:hyperlink r:id="rId22">
              <w:r>
                <w:rPr>
                  <w:rFonts w:ascii="Arial" w:cs="Arial" w:eastAsia="Arial" w:hAnsi="Arial"/>
                  <w:sz w:val="18"/>
                  <w:szCs w:val="18"/>
                  <w:color w:val="0000FF"/>
                </w:rPr>
                <w:t>Service Agreement between XPO Supply Chain UK Limited and Maryclaire Hammond, dated as of May 14, 2021</w:t>
              </w:r>
            </w:hyperlink>
            <w:r>
              <w:rPr>
                <w:rFonts w:ascii="Arial" w:cs="Arial" w:eastAsia="Arial" w:hAnsi="Arial"/>
                <w:sz w:val="18"/>
                <w:szCs w:val="18"/>
                <w:color w:val="000000"/>
              </w:rPr>
              <w:t>*</w:t>
            </w:r>
          </w:p>
        </w:tc>
      </w:tr>
      <w:tr>
        <w:trPr>
          <w:trHeight w:val="223"/>
        </w:trPr>
        <w:tc>
          <w:tcPr>
            <w:tcW w:w="14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w:anchor="page200">
              <w:r>
                <w:rPr>
                  <w:rFonts w:ascii="Arial" w:cs="Arial" w:eastAsia="Arial" w:hAnsi="Arial"/>
                  <w:sz w:val="18"/>
                  <w:szCs w:val="18"/>
                  <w:color w:val="0000FF"/>
                  <w:w w:val="90"/>
                </w:rPr>
                <w:t>Pension Top Up Letter between XPO Logistics Europe and Maryclaire Hammond, dated as of May 11, 2021</w:t>
              </w:r>
            </w:hyperlink>
          </w:p>
        </w:tc>
        <w:tc>
          <w:tcPr>
            <w:tcW w:w="440" w:type="dxa"/>
            <w:vAlign w:val="bottom"/>
            <w:tcBorders>
              <w:top w:val="single" w:sz="8" w:color="0000FF"/>
            </w:tcBorders>
            <w:gridSpan w:val="3"/>
          </w:tcPr>
          <w:p>
            <w:pPr>
              <w:spacing w:after="0"/>
              <w:rPr>
                <w:sz w:val="19"/>
                <w:szCs w:val="19"/>
                <w:color w:val="auto"/>
              </w:rPr>
            </w:pPr>
          </w:p>
        </w:tc>
        <w:tc>
          <w:tcPr>
            <w:tcW w:w="1440" w:type="dxa"/>
            <w:vAlign w:val="bottom"/>
            <w:gridSpan w:val="7"/>
          </w:tcPr>
          <w:p>
            <w:pPr>
              <w:spacing w:after="0"/>
              <w:rPr>
                <w:sz w:val="19"/>
                <w:szCs w:val="19"/>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25"/>
          </w:tcPr>
          <w:p>
            <w:pPr>
              <w:spacing w:after="0"/>
              <w:rPr>
                <w:rFonts w:ascii="Arial" w:cs="Arial" w:eastAsia="Arial" w:hAnsi="Arial"/>
                <w:sz w:val="18"/>
                <w:szCs w:val="18"/>
                <w:color w:val="0000FF"/>
                <w:w w:val="90"/>
              </w:rPr>
            </w:pPr>
            <w:hyperlink w:anchor="page201">
              <w:r>
                <w:rPr>
                  <w:rFonts w:ascii="Arial" w:cs="Arial" w:eastAsia="Arial" w:hAnsi="Arial"/>
                  <w:sz w:val="18"/>
                  <w:szCs w:val="18"/>
                  <w:color w:val="0000FF"/>
                  <w:w w:val="90"/>
                </w:rPr>
                <w:t>Credit Agreement, dated as of June 23, 2021, by and among GXO Logistics, Inc., the lenders and other parties from time to time party</w:t>
              </w:r>
            </w:hyperlink>
          </w:p>
        </w:tc>
      </w:tr>
      <w:tr>
        <w:trPr>
          <w:trHeight w:val="169"/>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w:anchor="page201">
              <w:r>
                <w:rPr>
                  <w:rFonts w:ascii="Arial" w:cs="Arial" w:eastAsia="Arial" w:hAnsi="Arial"/>
                  <w:sz w:val="18"/>
                  <w:szCs w:val="18"/>
                  <w:color w:val="0000FF"/>
                  <w:w w:val="91"/>
                </w:rPr>
                <w:t>thereto, and Citibank, N.A., as Administrative Agent and an Issuing Lender</w:t>
              </w:r>
            </w:hyperlink>
          </w:p>
        </w:tc>
        <w:tc>
          <w:tcPr>
            <w:tcW w:w="42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4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80" w:type="dxa"/>
            <w:vAlign w:val="bottom"/>
            <w:gridSpan w:val="25"/>
          </w:tcPr>
          <w:p>
            <w:pPr>
              <w:spacing w:after="0"/>
              <w:rPr>
                <w:sz w:val="20"/>
                <w:szCs w:val="20"/>
                <w:color w:val="auto"/>
              </w:rPr>
            </w:pPr>
            <w:r>
              <w:rPr>
                <w:rFonts w:ascii="Arial" w:cs="Arial" w:eastAsia="Arial" w:hAnsi="Arial"/>
                <w:sz w:val="18"/>
                <w:szCs w:val="18"/>
                <w:color w:val="auto"/>
              </w:rPr>
              <w:t>List of Subsidiaries**</w:t>
            </w:r>
          </w:p>
        </w:tc>
      </w:tr>
      <w:tr>
        <w:trPr>
          <w:trHeight w:val="190"/>
        </w:trPr>
        <w:tc>
          <w:tcPr>
            <w:tcW w:w="1440" w:type="dxa"/>
            <w:vAlign w:val="bottom"/>
          </w:tcPr>
          <w:p>
            <w:pPr>
              <w:ind w:left="20"/>
              <w:spacing w:after="0" w:line="190"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25"/>
          </w:tcPr>
          <w:p>
            <w:pPr>
              <w:spacing w:after="0" w:line="190" w:lineRule="exact"/>
              <w:rPr>
                <w:rFonts w:ascii="Arial" w:cs="Arial" w:eastAsia="Arial" w:hAnsi="Arial"/>
                <w:sz w:val="18"/>
                <w:szCs w:val="18"/>
                <w:color w:val="0000FF"/>
              </w:rPr>
            </w:pPr>
            <w:hyperlink w:anchor="page347">
              <w:r>
                <w:rPr>
                  <w:rFonts w:ascii="Arial" w:cs="Arial" w:eastAsia="Arial" w:hAnsi="Arial"/>
                  <w:sz w:val="18"/>
                  <w:szCs w:val="18"/>
                  <w:color w:val="0000FF"/>
                </w:rPr>
                <w:t>Information Statement of GXO Logistics, Inc., preliminary and subject to completion, dated July 7, 2021</w:t>
              </w:r>
            </w:hyperlink>
          </w:p>
        </w:tc>
      </w:tr>
      <w:tr>
        <w:trPr>
          <w:trHeight w:val="176"/>
        </w:trPr>
        <w:tc>
          <w:tcPr>
            <w:tcW w:w="144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1"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GXO LOGISTICS, INC.</w:t>
      </w:r>
    </w:p>
    <w:p>
      <w:pPr>
        <w:spacing w:after="0" w:line="29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Baris Oran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Baris Oran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7, 2021</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322580</wp:posOffset>
            </wp:positionV>
            <wp:extent cx="4568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348615</wp:posOffset>
            </wp:positionV>
            <wp:extent cx="4568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GXO LOGISTICS, INC., a corporation organized and existing under the laws of the State of Delaware, pursuant to Sections 242 and 245 of the General Corporation Law of the State of Delaware, as it may be amended and supplemented (the “</w:t>
      </w:r>
      <w:r>
        <w:rPr>
          <w:rFonts w:ascii="Arial" w:cs="Arial" w:eastAsia="Arial" w:hAnsi="Arial"/>
          <w:sz w:val="20"/>
          <w:szCs w:val="20"/>
          <w:u w:val="single" w:color="auto"/>
          <w:color w:val="auto"/>
        </w:rPr>
        <w:t>DGCL</w:t>
      </w:r>
      <w:r>
        <w:rPr>
          <w:rFonts w:ascii="Arial" w:cs="Arial" w:eastAsia="Arial" w:hAnsi="Arial"/>
          <w:sz w:val="20"/>
          <w:szCs w:val="20"/>
          <w:color w:val="auto"/>
        </w:rPr>
        <w:t>”), hereby certifies as follows:</w:t>
      </w:r>
    </w:p>
    <w:p>
      <w:pPr>
        <w:spacing w:after="0" w:line="13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name of this corporation is: GXO Logistics, Inc.</w:t>
      </w:r>
    </w:p>
    <w:p>
      <w:pPr>
        <w:spacing w:after="0" w:line="161"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original Certificate of Incorporation was filed with the Secretary of the State of Delaware on February 16, 2021 under the name “XPO Holdings, Inc.” A Certificate of Amendment to the original Certificate of Incorporation and a Restated Certificate of Incorporation was filed with the Secretary of State of the State of Delaware on March 17, 2021 (the Restated Certificate of Incorporation, as amended,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was duly adopted in accordance with the provisions of Sections 242 and 245 of the DGCL and by the written consent of its sole stockholder in accordance with Section 228 of the DGCL, and is to become effective as of 11:59 PM, Eastern Time, on [•], 2021.</w:t>
      </w:r>
    </w:p>
    <w:p>
      <w:pPr>
        <w:spacing w:after="0" w:line="13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amends and restates the Certificate of Incorporation to read in its entirety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 OF CORPORATION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name of the corporation is GXO Logistics, Inc. (the “</w:t>
      </w:r>
      <w:r>
        <w:rPr>
          <w:rFonts w:ascii="Arial" w:cs="Arial" w:eastAsia="Arial" w:hAnsi="Arial"/>
          <w:sz w:val="20"/>
          <w:szCs w:val="20"/>
          <w:u w:val="single" w:color="auto"/>
          <w:color w:val="auto"/>
        </w:rPr>
        <w:t>Corporation</w:t>
      </w:r>
      <w:r>
        <w:rPr>
          <w:rFonts w:ascii="Arial" w:cs="Arial" w:eastAsia="Arial" w:hAnsi="Arial"/>
          <w:sz w:val="20"/>
          <w:szCs w:val="20"/>
          <w:color w:val="auto"/>
        </w:rPr>
        <w:t>”).</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OFFICE; REGISTERED AGENT</w:t>
      </w:r>
    </w:p>
    <w:p>
      <w:pPr>
        <w:spacing w:after="0" w:line="14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The address of the Corporation’s registered office in the State of Delaware is 9 E. Loockerman Street, Suite 311 in the City of Dover, County of Kent, State of Delaware, 19901. The name of the Corporation’s registered agent at such address is Registered Agent Solutions, Inc. The Corporation may have such other offices, either within or without the State of Delaware,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designate or as the business of the Corporation may from time to time require.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The nature of the business of the Corporation and its purpose is to engage in any lawful act or activity for which corporations may be organized and incorporated under the DGCL.</w:t>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Section 1. Authorized Stock. The total number of authorized shares of capital stock of the Corporation shall be Three Hundred and Ten Million (310,000,000) shares, which shall be divided into two classes as follows: (a) Three Hundred Million (300,000,000) shares of common stock par value $0.01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and (b) Ten Million (10,000,000) shares of preferred stock par value $0.01 per share (the “</w:t>
      </w:r>
      <w:r>
        <w:rPr>
          <w:rFonts w:ascii="Arial" w:cs="Arial" w:eastAsia="Arial" w:hAnsi="Arial"/>
          <w:sz w:val="20"/>
          <w:szCs w:val="20"/>
          <w:u w:val="single" w:color="auto"/>
          <w:color w:val="auto"/>
        </w:rPr>
        <w:t>Preferred Stock</w:t>
      </w:r>
      <w:r>
        <w:rPr>
          <w:rFonts w:ascii="Arial" w:cs="Arial" w:eastAsia="Arial" w:hAnsi="Arial"/>
          <w:sz w:val="20"/>
          <w:szCs w:val="20"/>
          <w:color w:val="auto"/>
        </w:rPr>
        <w:t>”).</w:t>
      </w:r>
    </w:p>
    <w:p>
      <w:pPr>
        <w:spacing w:after="0" w:line="137"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76" w:lineRule="auto"/>
        <w:tabs>
          <w:tab w:leader="none" w:pos="1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as otherwise provided by law, by this Amended and Restated Certificate of Incorporation, or by the resolution or resolutions adopted by the Board of Directors designating the rights, powers and preferences of any series of Preferred Stock, the holders of outstanding shares of Common Stock shall have the right to vote on all matters, including the election of directors, to the exclusion of all other stockholders, and holders of Preferred Stock shall not be entitled to receive notice of any meeting of stockholders at which they are not entitled to vote (except where otherwise provided in the certificate of designations governing such series). Each holder of record of Common Stock shall be entitled to one vote for each share of Common Stock standing in the name of the stockholder on the books of the Corporation.</w:t>
      </w:r>
    </w:p>
    <w:p>
      <w:pPr>
        <w:spacing w:after="0" w:line="110" w:lineRule="exact"/>
        <w:rPr>
          <w:rFonts w:ascii="Arial" w:cs="Arial" w:eastAsia="Arial" w:hAnsi="Arial"/>
          <w:sz w:val="18"/>
          <w:szCs w:val="18"/>
          <w:color w:val="auto"/>
        </w:rPr>
      </w:pPr>
    </w:p>
    <w:p>
      <w:pPr>
        <w:jc w:val="both"/>
        <w:ind w:firstLine="1304"/>
        <w:spacing w:after="0" w:line="263" w:lineRule="auto"/>
        <w:tabs>
          <w:tab w:leader="none" w:pos="1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Subject to any rights granted to holders of shares of any class or series of Preferred Stock then outstanding, the holders of shares of Common Stock shall be entitled to receive such dividends and other distributions in cash, property, stock or otherwise as may be declared thereon by the Board of Directors at any time and from time to time out of assets or funds of the Corporation legally available therefor and shall share equally on a per share basis in such dividends and distributions.</w:t>
      </w:r>
    </w:p>
    <w:p>
      <w:pPr>
        <w:spacing w:after="0" w:line="122" w:lineRule="exact"/>
        <w:rPr>
          <w:rFonts w:ascii="Arial" w:cs="Arial" w:eastAsia="Arial" w:hAnsi="Arial"/>
          <w:sz w:val="19"/>
          <w:szCs w:val="19"/>
          <w:color w:val="auto"/>
        </w:rPr>
      </w:pPr>
    </w:p>
    <w:p>
      <w:pPr>
        <w:jc w:val="both"/>
        <w:ind w:firstLine="1304"/>
        <w:spacing w:after="0" w:line="282" w:lineRule="auto"/>
        <w:tabs>
          <w:tab w:leader="none" w:pos="172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any rights granted to holders of shares of any class or series of Preferred Stock then outstanding, the holders of shares of Common Stock shall be entitled to receive all of the remaining assets of the Corporation available for distribution to its stockholders, ratably in proportion to the number of shares of Common Stock held by them.</w:t>
      </w:r>
    </w:p>
    <w:p>
      <w:pPr>
        <w:spacing w:after="0" w:line="10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Shares of Preferred Stock may be authorized and issued in one or more series. The Board of Directors (or any committee to which it may duly delegate the authority granted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is hereby empowered, by resolution or resolutions, to authorize the issuance from time to time of shares of Preferred Stock in one or more series, for such consideration and for such corporate purposes as the Board of Directors (or such committee thereof) may from time to time determine, and by filing a certificate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authority of the Board with respect to each series of Preferred Stock shall include, but not be limited to, determination of the following:</w:t>
      </w:r>
    </w:p>
    <w:p>
      <w:pPr>
        <w:spacing w:after="0" w:line="185" w:lineRule="exact"/>
        <w:rPr>
          <w:sz w:val="20"/>
          <w:szCs w:val="20"/>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designation of the series, which may be by distinguishing number, letter or title;</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number of shares of the series, which number the Board of Directors may thereafter (except where otherwise provided in the certificate of designations governing such series) increase or decrease (but not below the number of shares thereof then outstanding);</w:t>
      </w:r>
    </w:p>
    <w:p>
      <w:pPr>
        <w:spacing w:after="0" w:line="131" w:lineRule="exact"/>
        <w:rPr>
          <w:rFonts w:ascii="Arial" w:cs="Arial" w:eastAsia="Arial" w:hAnsi="Arial"/>
          <w:sz w:val="20"/>
          <w:szCs w:val="20"/>
          <w:color w:val="auto"/>
        </w:rPr>
      </w:pPr>
    </w:p>
    <w:p>
      <w:pPr>
        <w:ind w:firstLine="1304"/>
        <w:spacing w:after="0" w:line="260" w:lineRule="auto"/>
        <w:tabs>
          <w:tab w:leader="none" w:pos="1934"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respect of dividends, and whether such dividends, if any, shall be cumulative or noncumulative;</w:t>
      </w:r>
    </w:p>
    <w:p>
      <w:pPr>
        <w:spacing w:after="0" w:line="122" w:lineRule="exact"/>
        <w:rPr>
          <w:rFonts w:ascii="Arial" w:cs="Arial" w:eastAsia="Arial" w:hAnsi="Arial"/>
          <w:sz w:val="20"/>
          <w:szCs w:val="20"/>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dates at which dividends, if any, shall be payable;</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terms and amount of any sinking fund provided for purchase or redemption of shares of the series;</w:t>
      </w:r>
    </w:p>
    <w:p>
      <w:pPr>
        <w:spacing w:after="0" w:line="161" w:lineRule="exact"/>
        <w:rPr>
          <w:rFonts w:ascii="Arial" w:cs="Arial" w:eastAsia="Arial" w:hAnsi="Arial"/>
          <w:sz w:val="20"/>
          <w:szCs w:val="20"/>
          <w:color w:val="auto"/>
        </w:rPr>
      </w:pPr>
    </w:p>
    <w:p>
      <w:pPr>
        <w:ind w:right="20" w:firstLine="1304"/>
        <w:spacing w:after="0" w:line="260" w:lineRule="auto"/>
        <w:tabs>
          <w:tab w:leader="none" w:pos="1932"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the Corporation;</w:t>
      </w:r>
    </w:p>
    <w:p>
      <w:pPr>
        <w:spacing w:after="0" w:line="122" w:lineRule="exact"/>
        <w:rPr>
          <w:rFonts w:ascii="Arial" w:cs="Arial" w:eastAsia="Arial" w:hAnsi="Arial"/>
          <w:sz w:val="20"/>
          <w:szCs w:val="20"/>
          <w:color w:val="auto"/>
        </w:rPr>
      </w:pPr>
    </w:p>
    <w:p>
      <w:pPr>
        <w:jc w:val="both"/>
        <w:ind w:firstLine="1304"/>
        <w:spacing w:after="0" w:line="282" w:lineRule="auto"/>
        <w:tabs>
          <w:tab w:leader="none" w:pos="1932"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07" w:lineRule="exact"/>
        <w:rPr>
          <w:rFonts w:ascii="Arial" w:cs="Arial" w:eastAsia="Arial" w:hAnsi="Arial"/>
          <w:sz w:val="18"/>
          <w:szCs w:val="18"/>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restrictions on the issuance of shares of the same series or of any other class or series;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voting rights, if any, of the holders of shares of the series.</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term of existence of the Corporation shall be perpetual.</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 of Directors</w:t>
      </w:r>
      <w:r>
        <w:rPr>
          <w:rFonts w:ascii="Arial" w:cs="Arial" w:eastAsia="Arial" w:hAnsi="Arial"/>
          <w:sz w:val="20"/>
          <w:szCs w:val="20"/>
          <w:color w:val="auto"/>
        </w:rPr>
        <w:t>. Subject to any rights of the holders of any class or series of Preferred Stock to elect additional directors under specified circumstances, the number of directors which shall constitute the Board of Directors shall be fixed from time to time in accordance with the Amended and Restated Bylaws of the Corporation (as amended, restated or otherwise modified from time to time, the “</w:t>
      </w:r>
      <w:r>
        <w:rPr>
          <w:rFonts w:ascii="Arial" w:cs="Arial" w:eastAsia="Arial" w:hAnsi="Arial"/>
          <w:sz w:val="20"/>
          <w:szCs w:val="20"/>
          <w:u w:val="single" w:color="auto"/>
          <w:color w:val="auto"/>
        </w:rPr>
        <w:t>Bylaws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8" w:name="page9"/>
    <w:bookmarkEnd w:id="8"/>
    <w:p>
      <w:pPr>
        <w:jc w:val="both"/>
        <w:ind w:firstLine="129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Classification; Election of Directors</w:t>
      </w:r>
      <w:r>
        <w:rPr>
          <w:rFonts w:ascii="Arial" w:cs="Arial" w:eastAsia="Arial" w:hAnsi="Arial"/>
          <w:sz w:val="18"/>
          <w:szCs w:val="18"/>
          <w:color w:val="auto"/>
        </w:rPr>
        <w:t>. The directors of the Corporation shall be divided, with respect to the time for which they severally hold office, into three classes designated Class I, Class II and Class III. The initial assignment of directors to each such class shall be made by the Board of Directors. Each class shall consist, as nearly as possible, of one-third of the total number of such directors. Class I directors shall initially serve for a term expiring at the 2022 annual meeting of stockholders, Class II directors shall initially serve for a term expiring at the 2023 annual meeting of stockholders, and Class III directors shall initially serve for a term expiring at the 2024 annual meeting of stockholders. Directors of each class shall hold office until the annual meeting at which his or her term expires and until his or her successor shall be elected and qualified, or his or her death, resignation, retirement, disqualification or removal from office. At the 2022 annual meeting of stockholders, the directors whose terms expire at that meeting will be elected for a three-year term expiring at the 2025 annual meeting of stockholders and until their respective successors shall have been duly elected and qualified or until their earlier resignation or removal; at the 2023 and 2024 annual meetings of stockholders, the directors whose terms expire at such meetings shall be elected to hold office for a one-year term expiring, respectively, at the 2024 and 2025 annual meetings of stockholders and until their respective successors shall have been duly elected and qualified or until their earlier resignation or removal (for the avoidance of doubt, at the 2024 annual meeting the Class II directors shall be elected to hold office for a one-year term expiring at the 2025 annual meeting of stockholders); and at the 2025 annual meeting of stockholders and each annual meeting of stockholders thereafter, all directors shall be elected to hold office for a one-year term expiring at the next annual meeting of stockholders and until their respective successors shall have been duly elected and qualified or until their earlier resignation or removal. Pursuant to such procedures, effective as of the conclusion of the 2025 annual meeting of stockholders (the “</w:t>
      </w:r>
      <w:r>
        <w:rPr>
          <w:rFonts w:ascii="Arial" w:cs="Arial" w:eastAsia="Arial" w:hAnsi="Arial"/>
          <w:sz w:val="18"/>
          <w:szCs w:val="18"/>
          <w:u w:val="single" w:color="auto"/>
          <w:color w:val="auto"/>
        </w:rPr>
        <w:t>Declassification Time</w:t>
      </w:r>
      <w:r>
        <w:rPr>
          <w:rFonts w:ascii="Arial" w:cs="Arial" w:eastAsia="Arial" w:hAnsi="Arial"/>
          <w:sz w:val="18"/>
          <w:szCs w:val="18"/>
          <w:color w:val="auto"/>
        </w:rPr>
        <w:t>”), the Board will no longer be classified under Section 141(d) of the DGCL and directors shall no longer be divided into three classes. Prior to the Declassification Time, if the number of directors is changed, any newly created directorships or decrease in directorships shall be so apportioned among the classes as to make all classes as nearly equal in number as practicable, but in no case will a decrease in the number of directors shorten the term of any incumbent director. Unless and except to the extent that the Bylaws shall so require, the election of directors of the Corporation need not be by written ballot. Advance notice of stockholder nominations for the election of directors shall be given in the manner and to the extent provided in the Bylaws.</w:t>
      </w:r>
    </w:p>
    <w:p>
      <w:pPr>
        <w:spacing w:after="0" w:line="12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the sole remaining director and directors so chosen shall hold office until such director’s successor has been duly elected and qualified or until his or her earlier death, resignation or removal as hereinafter provided. No decrease in the number of authorized directors constituting the total number of directors that the Corporation would have if there were no vacancies shall shorten the term of any incumbent director.</w:t>
      </w:r>
    </w:p>
    <w:p>
      <w:pPr>
        <w:spacing w:after="0" w:line="11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Removal of Directors</w:t>
      </w:r>
      <w:r>
        <w:rPr>
          <w:rFonts w:ascii="Arial" w:cs="Arial" w:eastAsia="Arial" w:hAnsi="Arial"/>
          <w:sz w:val="19"/>
          <w:szCs w:val="19"/>
          <w:color w:val="auto"/>
        </w:rPr>
        <w:t>. Prior to the Declassification Time, any director, or the entire Board of Directors, may be removed from office at any time but only for cause and only by the affirmative vote of the holders of a majority of the outstanding shares of capital stock of the Corporation entitled to vote generally for the election of directors (the “</w:t>
      </w:r>
      <w:r>
        <w:rPr>
          <w:rFonts w:ascii="Arial" w:cs="Arial" w:eastAsia="Arial" w:hAnsi="Arial"/>
          <w:sz w:val="19"/>
          <w:szCs w:val="19"/>
          <w:u w:val="single" w:color="auto"/>
          <w:color w:val="auto"/>
        </w:rPr>
        <w:t>Voting Stock</w:t>
      </w:r>
      <w:r>
        <w:rPr>
          <w:rFonts w:ascii="Arial" w:cs="Arial" w:eastAsia="Arial" w:hAnsi="Arial"/>
          <w:sz w:val="19"/>
          <w:szCs w:val="19"/>
          <w:color w:val="auto"/>
        </w:rPr>
        <w:t>”) at a meeting called for that purpose. From and after the Declassification Time, any director may be removed from office at any time with or without cause, but only by the affirmative vote of the holders of a majority of the Voting Stock at a meeting called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9" w:name="page10"/>
    <w:bookmarkEnd w:id="9"/>
    <w:p>
      <w:pPr>
        <w:jc w:val="both"/>
        <w:ind w:firstLine="1296"/>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Rights of Holders of Preferred Stock</w:t>
      </w:r>
      <w:r>
        <w:rPr>
          <w:rFonts w:ascii="Arial" w:cs="Arial" w:eastAsia="Arial" w:hAnsi="Arial"/>
          <w:sz w:val="18"/>
          <w:szCs w:val="18"/>
          <w:color w:val="auto"/>
        </w:rPr>
        <w:t xml:space="preserve">. Notwithstanding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10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No Cumulative Voting</w:t>
      </w:r>
      <w:r>
        <w:rPr>
          <w:rFonts w:ascii="Arial" w:cs="Arial" w:eastAsia="Arial" w:hAnsi="Arial"/>
          <w:sz w:val="20"/>
          <w:szCs w:val="20"/>
          <w:color w:val="auto"/>
        </w:rPr>
        <w:t>. Except as may otherwise be set forth in the resolution or resolutions of the Board of Directors providing the issuance of a series of Preferred Stock, and then only with respect to such series of Preferred Stock, cumulative voting in the election of directors is specifically denied.</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Stockholder Nomination of Director Candidates</w:t>
      </w:r>
      <w:r>
        <w:rPr>
          <w:rFonts w:ascii="Arial" w:cs="Arial" w:eastAsia="Arial" w:hAnsi="Arial"/>
          <w:sz w:val="20"/>
          <w:szCs w:val="20"/>
          <w:color w:val="auto"/>
        </w:rPr>
        <w:t>. Advance notice of stockholder nominations for the election of directors and of any stockholder proposals to be considered at an annual stockholder meeting shall be given in the manner provided in the Bylaws.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ACTION</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Special meetings of the stockholders may only be called only by or at the direction of (1) the Chairman of the Board of Directors, or (2) the Board of Directors pursuant to a resolution adopted by a majority of the total number of directors which the Corporation would have if there were no vacancies, and any power of stockholders to call a special meeting is specifically denied. At any special meeting of stockholders, only such business shall be conducted or considered as shall have been properly brought before the meeting pursuant to the Corporation’s notice of meeting.</w:t>
      </w:r>
    </w:p>
    <w:p>
      <w:pPr>
        <w:spacing w:after="0" w:line="1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Stockholder Action by Written Consent</w:t>
      </w:r>
      <w:r>
        <w:rPr>
          <w:rFonts w:ascii="Arial" w:cs="Arial" w:eastAsia="Arial" w:hAnsi="Arial"/>
          <w:sz w:val="20"/>
          <w:szCs w:val="20"/>
          <w:color w:val="auto"/>
        </w:rPr>
        <w:t>. Any action required or permitted to be taken by the stockholders of the Corporation must be effected at an annual or special meeting of stockholders of the Corporation and may not be effected by any consent in writing by such stockholders.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LIABILITY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To the fullest extent permitted by the DGCL, as the same exists or may hereafter be amended, a director of the Corporation shall not be personally liable either to the Corporation or to any of its stockholders for monetary damages arising from a breach of fiduciary duty owed to the Corporation or its stockholders. Any amendment,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 General</w:t>
      </w:r>
      <w:r>
        <w:rPr>
          <w:rFonts w:ascii="Arial" w:cs="Arial" w:eastAsia="Arial" w:hAnsi="Arial"/>
          <w:sz w:val="18"/>
          <w:szCs w:val="18"/>
          <w:color w:val="auto"/>
        </w:rPr>
        <w:t>. Each person who was or is a party or is otherwise threatened to be made a party to any threatened, pending or completed action, suit or proceeding, whether civil, criminal, administrative or investigative (hereinafter,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of whom he or she is the legal representative is or was, at any time during which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8"/>
          <w:szCs w:val="18"/>
          <w:color w:val="auto"/>
        </w:rPr>
        <w:t>IX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serving as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be (and shall be deemed to have a contractual right to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ERISA excise taxes or penalties and amounts paid or to be paid in settlement) actually and reasonably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or officer of the Corporation or ceased serving at the request of the Corporation as a director, officer, trustee, employee or agent of another corporation or of a partnership, joint venture, trust or other enterprise, including service with respect to employee benefit plans maintained or sponsored by the Corporation, and shall inure to the benefit of his or her heirs, executors and administrators; provided that, except as provided in Section 3 of this Article IX, the Corporation shall indemnify any such person seeking indemnification in connection with a Proceeding (or part thereof) initiated by such person only if such Proceeding (or part thereof) was authorized by the Board of Directors.</w:t>
      </w:r>
    </w:p>
    <w:p>
      <w:pPr>
        <w:spacing w:after="0" w:line="126" w:lineRule="exact"/>
        <w:rPr>
          <w:sz w:val="20"/>
          <w:szCs w:val="20"/>
          <w:color w:val="auto"/>
        </w:rPr>
      </w:pPr>
    </w:p>
    <w:p>
      <w:pPr>
        <w:ind w:right="20" w:firstLine="1296"/>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Advance of Expenses</w:t>
      </w:r>
      <w:r>
        <w:rPr>
          <w:rFonts w:ascii="Arial" w:cs="Arial" w:eastAsia="Arial" w:hAnsi="Arial"/>
          <w:sz w:val="18"/>
          <w:szCs w:val="18"/>
          <w:color w:val="auto"/>
        </w:rPr>
        <w:t xml:space="preserve">.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8"/>
          <w:szCs w:val="18"/>
          <w:u w:val="single" w:color="auto"/>
          <w:color w:val="auto"/>
        </w:rPr>
        <w:t>Undertaking</w:t>
      </w:r>
      <w:r>
        <w:rPr>
          <w:rFonts w:ascii="Arial" w:cs="Arial" w:eastAsia="Arial" w:hAnsi="Arial"/>
          <w:sz w:val="18"/>
          <w:szCs w:val="18"/>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8"/>
          <w:szCs w:val="18"/>
          <w:u w:val="single" w:color="auto"/>
          <w:color w:val="auto"/>
        </w:rPr>
        <w:t>final disposition</w:t>
      </w:r>
      <w:r>
        <w:rPr>
          <w:rFonts w:ascii="Arial" w:cs="Arial" w:eastAsia="Arial" w:hAnsi="Arial"/>
          <w:sz w:val="18"/>
          <w:szCs w:val="18"/>
          <w:color w:val="auto"/>
        </w:rPr>
        <w:t>”) that such director or officer is not entitled to be indemnified for such expenses under this Article IX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1" w:name="page12"/>
    <w:bookmarkEnd w:id="11"/>
    <w:p>
      <w:pPr>
        <w:jc w:val="both"/>
        <w:ind w:firstLine="1296"/>
        <w:spacing w:after="0" w:line="25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Right of Claimant to Bring Suit</w:t>
      </w:r>
      <w:r>
        <w:rPr>
          <w:rFonts w:ascii="Arial" w:cs="Arial" w:eastAsia="Arial" w:hAnsi="Arial"/>
          <w:sz w:val="19"/>
          <w:szCs w:val="19"/>
          <w:color w:val="auto"/>
        </w:rPr>
        <w:t>. If a claim for indemnification under this Article IX is not paid in full by the Corporation within thirty (30) days after a written claim has been received by the Corporation, or if a request for advancement of expenses under Section 2 of this Article IX is not paid in full by the Corporation within twenty (20) days after a statement pursuant to Section 2 of this Article IX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 failure of the Corporation (including its Disinterested Directors (as defined in the Bylaws of the Corporation), Independent Counsel (as defined in the Bylaws of the Corporation)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3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Contract Rights; Amendment and Repeal; Non-Exclusivity of Rights</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57" w:lineRule="auto"/>
        <w:tabs>
          <w:tab w:leader="none" w:pos="1759" w:val="left"/>
        </w:tabs>
        <w:numPr>
          <w:ilvl w:val="0"/>
          <w:numId w:val="6"/>
        </w:numPr>
        <w:rPr>
          <w:rFonts w:ascii="Arial" w:cs="Arial" w:eastAsia="Arial" w:hAnsi="Arial"/>
          <w:sz w:val="19"/>
          <w:szCs w:val="19"/>
          <w:color w:val="auto"/>
        </w:rPr>
      </w:pPr>
      <w:r>
        <w:rPr>
          <w:rFonts w:ascii="Arial" w:cs="Arial" w:eastAsia="Arial" w:hAnsi="Arial"/>
          <w:sz w:val="19"/>
          <w:szCs w:val="19"/>
          <w:color w:val="auto"/>
        </w:rPr>
        <w:t>All of the rights conferred in this Article IX,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IX that in any way diminishes or adversely affects any such rights shall be prospective only and shall not in any way diminish or adversely affect any such rights with respect to such person;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68" w:val="left"/>
        </w:tabs>
        <w:numPr>
          <w:ilvl w:val="0"/>
          <w:numId w:val="6"/>
        </w:numPr>
        <w:rPr>
          <w:rFonts w:ascii="Arial" w:cs="Arial" w:eastAsia="Arial" w:hAnsi="Arial"/>
          <w:sz w:val="20"/>
          <w:szCs w:val="20"/>
          <w:color w:val="auto"/>
        </w:rPr>
      </w:pPr>
      <w:r>
        <w:rPr>
          <w:rFonts w:ascii="Arial" w:cs="Arial" w:eastAsia="Arial" w:hAnsi="Arial"/>
          <w:sz w:val="20"/>
          <w:szCs w:val="20"/>
          <w:color w:val="auto"/>
        </w:rPr>
        <w:t>All of the rights conferred in this Article IX, as to indemnification, advancement of expenses and otherwise: (i) shall not be exclusive of any other rights to which any person seeking indemnification or advancement of expenses may be entitled or hereafter acquire under any statute, provision of the Certificate of Incorporation,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w:t>
      </w:r>
    </w:p>
    <w:p>
      <w:pPr>
        <w:spacing w:after="0" w:line="14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6"/>
          <w:szCs w:val="16"/>
          <w:u w:val="single" w:color="auto"/>
          <w:color w:val="auto"/>
        </w:rPr>
        <w:t>Insurance; Other Indemnification and Advancement of Expenses</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46" w:lineRule="auto"/>
        <w:tabs>
          <w:tab w:leader="none" w:pos="1787"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2" w:name="page13"/>
    <w:bookmarkEnd w:id="12"/>
    <w:p>
      <w:pPr>
        <w:jc w:val="both"/>
        <w:ind w:firstLine="1304"/>
        <w:spacing w:after="0" w:line="246" w:lineRule="auto"/>
        <w:tabs>
          <w:tab w:leader="none" w:pos="1804"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Corporation may, to the extent authorized from time to time by the Board of Directors or the Chairman of the Board of Directors, grant rights to indemnification and rights to advancement of expenses incurred in connection with any Proceeding in advance of its final disposition, to any current or former officer, employee or agent of the Corporation to the fullest extent permitted by applicable law.</w:t>
      </w:r>
    </w:p>
    <w:p>
      <w:pPr>
        <w:spacing w:after="0" w:line="13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of this Article IX containing any such provision held to be invalid, illegal or unenforceable, that is not itself held to be invalid, illegal or unenforceable) shall not in any way be affected or impaired thereby; and (2) to the fullest extent possible, the provisions of this Article IX (including, without limitation, each such portion of any paragraph of this Article IX containing any such provision held to be invalid, illegal or unenforceable) shall be construed so as to give effect to the intent manifested by the provision held invalid, illegal or unenforceable.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BYLAWS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In furtherance and not in limitation of the powers conferred by law, the Board of Directors is expressly authorized and empowered to adopt, amend, alter, change or repeal the Bylaws by a majority vote at any regular or special meeting of the Board of Directors or by written consent, subject to the power of the stockholders of the Corporation to alter or repeal any Bylaws made by the 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The Corporation reserves the right at any time to amend, alter, change or repeal any provision contained in this Amended and Restated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FORUM</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Unless the Corporation consents in writing to the selection of an alternative forum, the sole and exclusive forum for: (a) any derivative action or proceeding brought on behalf of the Corporation; (b)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(c) any action asserting a claim against the Corporation or any current or former director or officer or other employee of the Corporation arising pursuant to any provision of the DGCL or this Certificate of Incorporation or the Bylaws (as either may be amended from time to time); (d) any action asserting a claim related to or involving the Corporation that is governed by the internal affairs doctrine; or (e) any action asserting an “internal corporate claim” as that term is defined in Section 115 of the DGCL shall be a state court located within the State of Delaware (or, if no state court located within the State of Delaware has jurisdiction, the federal court for the District of Delaware). Unless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3" w:name="page14"/>
    <w:bookmarkEnd w:id="13"/>
    <w:p>
      <w:pPr>
        <w:spacing w:after="0" w:line="260" w:lineRule="auto"/>
        <w:rPr>
          <w:sz w:val="20"/>
          <w:szCs w:val="20"/>
          <w:color w:val="auto"/>
        </w:rPr>
      </w:pPr>
      <w:r>
        <w:rPr>
          <w:rFonts w:ascii="Arial" w:cs="Arial" w:eastAsia="Arial" w:hAnsi="Arial"/>
          <w:sz w:val="20"/>
          <w:szCs w:val="20"/>
          <w:color w:val="auto"/>
        </w:rPr>
        <w:t>consents in writing to the selection of an alternative forum, the federal district courts of the United States shall be the exclusive forum for the resolution of any complaint asserting a cause of action arising under the Securities Act of 1933, as amended.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 *</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appears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14" w:name="page15"/>
    <w:bookmarkEnd w:id="14"/>
    <w:p>
      <w:pPr>
        <w:ind w:firstLine="648"/>
        <w:spacing w:after="0" w:line="260" w:lineRule="auto"/>
        <w:rPr>
          <w:sz w:val="20"/>
          <w:szCs w:val="20"/>
          <w:color w:val="auto"/>
        </w:rPr>
      </w:pPr>
      <w:r>
        <w:rPr>
          <w:rFonts w:ascii="Arial" w:cs="Arial" w:eastAsia="Arial" w:hAnsi="Arial"/>
          <w:sz w:val="20"/>
          <w:szCs w:val="20"/>
          <w:color w:val="auto"/>
        </w:rPr>
        <w:t>IN WITNESS WHEREOF, the undersigned has duly executed this Amended and Restated Certificate of Incorporation, this [•] day of [•], 2021.</w:t>
      </w:r>
    </w:p>
    <w:p>
      <w:pPr>
        <w:spacing w:after="0" w:line="171"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GXO LOGISTICS, INC.</w:t>
      </w:r>
    </w:p>
    <w:p>
      <w:pPr>
        <w:spacing w:after="0" w:line="33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27305</wp:posOffset>
            </wp:positionV>
            <wp:extent cx="241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Amended and Restated Certificate of Incorporation</w:t>
      </w:r>
      <w:r>
        <w:rPr>
          <w:rFonts w:ascii="Arial" w:cs="Arial" w:eastAsia="Arial" w:hAnsi="Arial"/>
          <w:sz w:val="20"/>
          <w:szCs w:val="20"/>
          <w:color w:val="auto"/>
        </w:rPr>
        <w:t>]</w:t>
      </w:r>
    </w:p>
    <w:p>
      <w:pPr>
        <w:sectPr>
          <w:pgSz w:w="11900" w:h="16838" w:orient="portrait"/>
          <w:cols w:equalWidth="0" w:num="1">
            <w:col w:w="11220"/>
          </w:cols>
          <w:pgMar w:left="320" w:top="1419" w:right="3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_____,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Incorporated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181610</wp:posOffset>
            </wp:positionV>
            <wp:extent cx="4568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207645</wp:posOffset>
            </wp:positionV>
            <wp:extent cx="45688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 AND RECORDS</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Delaware Office</w:t>
      </w:r>
      <w:r>
        <w:rPr>
          <w:rFonts w:ascii="Arial" w:cs="Arial" w:eastAsia="Arial" w:hAnsi="Arial"/>
          <w:sz w:val="18"/>
          <w:szCs w:val="18"/>
          <w:color w:val="auto"/>
        </w:rPr>
        <w:t>. The registered office of GXO Logistics,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located at 9 E. Loockerman Street, Suite 311, Dover, Delaware 19901, County of Kent, and Registered Agent Solutions, Inc. shall be the registered agent of the Corporation in charge thereof. The registered office and registered agent may be changed by the Corporation from time to time.</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Other Offices</w:t>
      </w:r>
      <w:r>
        <w:rPr>
          <w:rFonts w:ascii="Arial" w:cs="Arial" w:eastAsia="Arial" w:hAnsi="Arial"/>
          <w:sz w:val="20"/>
          <w:szCs w:val="20"/>
          <w:color w:val="auto"/>
        </w:rPr>
        <w:t>. The Corporation may have such other offices, either inside or outside the State of Delaware, as the Board of Directors of the Corporation (the “</w:t>
      </w:r>
      <w:r>
        <w:rPr>
          <w:rFonts w:ascii="Arial" w:cs="Arial" w:eastAsia="Arial" w:hAnsi="Arial"/>
          <w:sz w:val="20"/>
          <w:szCs w:val="20"/>
          <w:u w:val="single" w:color="auto"/>
          <w:color w:val="auto"/>
        </w:rPr>
        <w:t>Board of Directors</w:t>
      </w:r>
      <w:r>
        <w:rPr>
          <w:rFonts w:ascii="Arial" w:cs="Arial" w:eastAsia="Arial" w:hAnsi="Arial"/>
          <w:sz w:val="20"/>
          <w:szCs w:val="20"/>
          <w:color w:val="auto"/>
        </w:rPr>
        <w:t>” or the “</w:t>
      </w:r>
      <w:r>
        <w:rPr>
          <w:rFonts w:ascii="Arial" w:cs="Arial" w:eastAsia="Arial" w:hAnsi="Arial"/>
          <w:sz w:val="20"/>
          <w:szCs w:val="20"/>
          <w:u w:val="single" w:color="auto"/>
          <w:color w:val="auto"/>
        </w:rPr>
        <w:t>Board</w:t>
      </w:r>
      <w:r>
        <w:rPr>
          <w:rFonts w:ascii="Arial" w:cs="Arial" w:eastAsia="Arial" w:hAnsi="Arial"/>
          <w:sz w:val="20"/>
          <w:szCs w:val="20"/>
          <w:color w:val="auto"/>
        </w:rPr>
        <w:t>”) may from time to time designate or as the business of the Corporation may require.</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Books and Records</w:t>
      </w:r>
      <w:r>
        <w:rPr>
          <w:rFonts w:ascii="Arial" w:cs="Arial" w:eastAsia="Arial" w:hAnsi="Arial"/>
          <w:sz w:val="18"/>
          <w:szCs w:val="18"/>
          <w:color w:val="auto"/>
        </w:rPr>
        <w:t>. Except to the extent otherwise required by law, the books and records of the Corporation may be kept inside or outside the State of Delaware at such place or places as may from time to time be designated by the Board of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Annual Meeting</w:t>
      </w:r>
      <w:r>
        <w:rPr>
          <w:rFonts w:ascii="Arial" w:cs="Arial" w:eastAsia="Arial" w:hAnsi="Arial"/>
          <w:sz w:val="20"/>
          <w:szCs w:val="20"/>
          <w:color w:val="auto"/>
        </w:rPr>
        <w:t>. The annual meeting of the stockholders of the Corporation shall be held on such date and at such time and in such manner as may be fixed by resolution of the Board of Directors.</w:t>
      </w:r>
    </w:p>
    <w:p>
      <w:pPr>
        <w:spacing w:after="0" w:line="17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Special Meeting</w:t>
      </w:r>
      <w:r>
        <w:rPr>
          <w:rFonts w:ascii="Arial" w:cs="Arial" w:eastAsia="Arial" w:hAnsi="Arial"/>
          <w:sz w:val="19"/>
          <w:szCs w:val="19"/>
          <w:color w:val="auto"/>
        </w:rPr>
        <w:t>. Special meetings of the stockholders may only be called by or at the direction of (1) the Chairman of the Board of Directors, or (2) the Board of Directors pursuant to a resolution adopted by a majority of the total number of directors which the Corporation would have if there were no vacancies. The stockholders of the Corporation shall not have the power to call a special meeting of the stockholders of the Corporation or to request the Secretary of the Corporation to call a special meeting of the stockholders. Notice of every special meeting of the stockholders of the Corporation shall state the purpose or purposes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 The Board may postpone, reschedule or cancel any special meeting of stockholders previously scheduled by the Board.</w:t>
      </w:r>
    </w:p>
    <w:p>
      <w:pPr>
        <w:spacing w:after="0" w:line="18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Time and Place of Meeting</w:t>
      </w:r>
      <w:r>
        <w:rPr>
          <w:rFonts w:ascii="Arial" w:cs="Arial" w:eastAsia="Arial" w:hAnsi="Arial"/>
          <w:sz w:val="20"/>
          <w:szCs w:val="20"/>
          <w:color w:val="auto"/>
        </w:rPr>
        <w:t>. The Board of Directors or the Chairman of the Board, as the case may be, may designate the place, date and time of any annual or special meeting of the</w:t>
      </w:r>
    </w:p>
    <w:p>
      <w:pPr>
        <w:sectPr>
          <w:pgSz w:w="11900" w:h="16838" w:orient="portrait"/>
          <w:cols w:equalWidth="0" w:num="1">
            <w:col w:w="11240"/>
          </w:cols>
          <w:pgMar w:left="320" w:top="121" w:right="3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20"/>
          <w:szCs w:val="20"/>
          <w:color w:val="auto"/>
        </w:rPr>
        <w:t>stockholders or may designate that the meeting be held by means of remote communication. If no designation is so made, the place of meeting shall be the principal office of the Corporation.</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Notice of Meeting</w:t>
      </w:r>
      <w:r>
        <w:rPr>
          <w:rFonts w:ascii="Arial" w:cs="Arial" w:eastAsia="Arial" w:hAnsi="Arial"/>
          <w:sz w:val="18"/>
          <w:szCs w:val="18"/>
          <w:color w:val="auto"/>
        </w:rPr>
        <w:t>. Written or printed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(except to the extent prohibited by Section 232(e) of the DGCL) or by mail, to each stockholder of record entitled to vote at such meeting. If mailed, such notice shall be deemed to be given when deposited in the United States mail with postage thereon prepaid, addressed to the stockholder at such stockholder’s address as it appears on the records of the Corporation. If notice is given by electronic transmission, such notice shall be deemed to be given at the times provided in the DGCL. Such further notice shall be given as may be required by applicable law. Meetings may be held without notice if all stockholders entitled to vote are present, or if notice is waived by those not present in accordance with Section 7.4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spacing w:after="0" w:line="17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Quorum and Adjournment</w:t>
      </w:r>
      <w:r>
        <w:rPr>
          <w:rFonts w:ascii="Arial" w:cs="Arial" w:eastAsia="Arial" w:hAnsi="Arial"/>
          <w:sz w:val="20"/>
          <w:szCs w:val="20"/>
          <w:color w:val="auto"/>
        </w:rPr>
        <w:t>. Except as otherwise provided by law or by the Certificate of Incorporation, the holders of a majority of the Voting Stock,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Chairman of the Board of Directors or the Chief Executive Officer may adjourn the meeting from time to time, whether or not there is a quorum.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the Chairman of the Board, or in the absence of such a person, such person as the Board of Directors may designate as chairman of the meeting, or if none or in the Chairman of the Board’s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chairman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20"/>
          <w:szCs w:val="20"/>
          <w:color w:val="auto"/>
        </w:rPr>
        <w:t>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Proxies and List of Stockholders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9" w:lineRule="auto"/>
        <w:tabs>
          <w:tab w:leader="none" w:pos="112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Proxies</w:t>
      </w:r>
      <w:r>
        <w:rPr>
          <w:rFonts w:ascii="Arial" w:cs="Arial" w:eastAsia="Arial" w:hAnsi="Arial"/>
          <w:sz w:val="19"/>
          <w:szCs w:val="19"/>
          <w:color w:val="auto"/>
        </w:rPr>
        <w:t>. At all meetings of stockholders, a stockholder may vote by proxy executed in writing (or in such manner prescribed by the DGCL) by the stockholder, or by such stockholder’s duly authorized attorney in fact. No proxy may be voted or acted upon after the expiration of three years from the date of such proxy, unless such proxy provides for a longer period. Every proxy is revocable at the pleasure of the stockholder executing it unless the proxy states that it is irrevocable and applicable law makes it irrevocable.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78" w:lineRule="exact"/>
        <w:rPr>
          <w:rFonts w:ascii="Arial" w:cs="Arial" w:eastAsia="Arial" w:hAnsi="Arial"/>
          <w:sz w:val="19"/>
          <w:szCs w:val="19"/>
          <w:color w:val="auto"/>
        </w:rPr>
      </w:pPr>
    </w:p>
    <w:p>
      <w:pPr>
        <w:jc w:val="both"/>
        <w:ind w:firstLine="656"/>
        <w:spacing w:after="0" w:line="244" w:lineRule="auto"/>
        <w:tabs>
          <w:tab w:leader="none" w:pos="1258"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List of Stockholders</w:t>
      </w:r>
      <w:r>
        <w:rPr>
          <w:rFonts w:ascii="Arial" w:cs="Arial" w:eastAsia="Arial" w:hAnsi="Arial"/>
          <w:sz w:val="20"/>
          <w:szCs w:val="20"/>
          <w:color w:val="auto"/>
        </w:rPr>
        <w:t>. A complete list of the stockholders entitled to vote at each meeting of stockholders, arranged in alphabetical order, and showing the address and number of shares registered in the name of each stockholder, shall be prepared and made available for examination during regular business hours by any stockholder for any purpose germane to the meeting. The list shall be available for such examination at the principal place of business of the Corporation for a period of not less than ten (10) days prior to the meeting and during the whole time of the meeting.</w:t>
      </w:r>
    </w:p>
    <w:p>
      <w:pPr>
        <w:spacing w:after="0" w:line="19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Advance Notice of Stockholder Business and Nominations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0" w:lineRule="auto"/>
        <w:tabs>
          <w:tab w:leader="none" w:pos="113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Annual Meeting of Stockholders</w:t>
      </w:r>
      <w:r>
        <w:rPr>
          <w:rFonts w:ascii="Arial" w:cs="Arial" w:eastAsia="Arial" w:hAnsi="Arial"/>
          <w:sz w:val="19"/>
          <w:szCs w:val="19"/>
          <w:color w:val="auto"/>
        </w:rPr>
        <w:t>. Without qualification or limitation, for any nominations or any other business to be properly brought before an annual meeting by a stockholder pursuant to Section 2.9(A) of these Bylaws, the stockholder must have given timely notice thereof (including, in the case of nominations, the completed and signed questionnaire, representation and agreement required by Section 2.10 of these Bylaws), and timely updates and supplements thereof, in each case in proper form, in writing to the Secretary, and such other business must otherwise be a proper matter for stockholder action.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To be timely, a stockholder’s notice shall be delivered to the Secretary at the principal executive offices of the Corporation not earlier than the close of business on the one hundred and twentieth (120th) day and not later than the close of business on the ninetieth (90th) day prior to the first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more than thirty (30) days before or more than sixty (60) days after such anniversary date, notice by the stockholder must be so delivered not earlier than the close of business on the one hundred and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anything in the immediately preceding paragraph to the contrary, in the event that the number of directors to be elected to the Board of Directors is increased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8" w:name="page19"/>
    <w:bookmarkEnd w:id="18"/>
    <w:p>
      <w:pPr>
        <w:jc w:val="both"/>
        <w:spacing w:after="0" w:line="278" w:lineRule="auto"/>
        <w:rPr>
          <w:sz w:val="20"/>
          <w:szCs w:val="20"/>
          <w:color w:val="auto"/>
        </w:rPr>
      </w:pPr>
      <w:r>
        <w:rPr>
          <w:rFonts w:ascii="Arial" w:cs="Arial" w:eastAsia="Arial" w:hAnsi="Arial"/>
          <w:sz w:val="18"/>
          <w:szCs w:val="18"/>
          <w:color w:val="auto"/>
        </w:rPr>
        <w:t>and there is no Public Announcement by the Corporation naming all of the nominees for director or specifying the size of the increased Board of Directors at least one hundred (100) days prior to the first (1st) anniversary of the preceding year’s annual meeting, a stockholder’s notice required by this Section 2.8(A)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spacing w:after="0" w:line="170" w:lineRule="exact"/>
        <w:rPr>
          <w:sz w:val="20"/>
          <w:szCs w:val="20"/>
          <w:color w:val="auto"/>
        </w:rPr>
      </w:pPr>
    </w:p>
    <w:p>
      <w:pPr>
        <w:jc w:val="both"/>
        <w:ind w:firstLine="656"/>
        <w:spacing w:after="0" w:line="276" w:lineRule="auto"/>
        <w:tabs>
          <w:tab w:leader="none" w:pos="12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xml:space="preserve">. Only such business as shall have been brought before the special meeting of the stockholders pursuant to the Corporation’s notice of meeting shall be conducted at such meeting.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 gives timely notice thereof (including the completed and signed questionnaire, representation and agreement required by Section 2.10 of these Bylaws), and timely updates and supplements thereof in each case in proper form, in writing, to the Secretary.</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To be timely, a stockholder’s notice shall be delivered to the Secretary at the principal executive offices of the Corporation not earlier than the close of business on the one hundred and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9" w:name="page20"/>
    <w:bookmarkEnd w:id="19"/>
    <w:p>
      <w:pPr>
        <w:jc w:val="both"/>
        <w:spacing w:after="0" w:line="313" w:lineRule="auto"/>
        <w:rPr>
          <w:sz w:val="20"/>
          <w:szCs w:val="20"/>
          <w:color w:val="auto"/>
        </w:rPr>
      </w:pPr>
      <w:r>
        <w:rPr>
          <w:rFonts w:ascii="Arial" w:cs="Arial" w:eastAsia="Arial" w:hAnsi="Arial"/>
          <w:sz w:val="16"/>
          <w:szCs w:val="16"/>
          <w:color w:val="auto"/>
        </w:rPr>
        <w:t>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 The obligation to update and supplement as set forth in this paragraph or any other Section of these Bylaws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spacing w:after="0" w:line="143" w:lineRule="exact"/>
        <w:rPr>
          <w:sz w:val="20"/>
          <w:szCs w:val="20"/>
          <w:color w:val="auto"/>
        </w:rPr>
      </w:pPr>
    </w:p>
    <w:p>
      <w:pPr>
        <w:ind w:right="120" w:firstLine="656"/>
        <w:spacing w:after="0" w:line="260" w:lineRule="auto"/>
        <w:tabs>
          <w:tab w:leader="none" w:pos="111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Disclosure Requirements</w:t>
      </w:r>
      <w:r>
        <w:rPr>
          <w:rFonts w:ascii="Arial" w:cs="Arial" w:eastAsia="Arial" w:hAnsi="Arial"/>
          <w:sz w:val="20"/>
          <w:szCs w:val="20"/>
          <w:color w:val="auto"/>
        </w:rPr>
        <w:t>. To be in proper form, a stockholder’s notice pursuant to this Section 2.8 or Section 2.9 must include the following, as applicable:</w:t>
      </w:r>
    </w:p>
    <w:p>
      <w:pPr>
        <w:spacing w:after="0" w:line="203" w:lineRule="exact"/>
        <w:rPr>
          <w:rFonts w:ascii="Arial" w:cs="Arial" w:eastAsia="Arial" w:hAnsi="Arial"/>
          <w:sz w:val="20"/>
          <w:szCs w:val="20"/>
          <w:color w:val="auto"/>
        </w:rPr>
      </w:pPr>
    </w:p>
    <w:p>
      <w:pPr>
        <w:jc w:val="both"/>
        <w:ind w:left="660" w:firstLine="644"/>
        <w:spacing w:after="0" w:line="267" w:lineRule="auto"/>
        <w:tabs>
          <w:tab w:leader="none" w:pos="1776" w:val="left"/>
        </w:tabs>
        <w:numPr>
          <w:ilvl w:val="1"/>
          <w:numId w:val="12"/>
        </w:numPr>
        <w:rPr>
          <w:rFonts w:ascii="Arial" w:cs="Arial" w:eastAsia="Arial" w:hAnsi="Arial"/>
          <w:sz w:val="19"/>
          <w:szCs w:val="19"/>
          <w:color w:val="auto"/>
        </w:rPr>
      </w:pPr>
      <w:r>
        <w:rPr>
          <w:rFonts w:ascii="Arial" w:cs="Arial" w:eastAsia="Arial" w:hAnsi="Arial"/>
          <w:sz w:val="18"/>
          <w:szCs w:val="18"/>
          <w:color w:val="auto"/>
        </w:rPr>
        <w:t>As to the stockholder giving the notice and the beneficial owner, if any, on whose behalf the nomination or proposal, as applicable, is made, a stockholder’s notice must set forth: (i) the name and address of such stockholder, as they appear on the Corporation’s books, of such beneficial owner, if any, and of their respective affiliates or associates or others acting in concert therewith; (ii) (A) the class or series and number of shares of the Corporation which are, directly or indirectly, owned beneficially and of record by such stockholder, such beneficial owner and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8"/>
          <w:szCs w:val="18"/>
          <w:u w:val="single" w:color="auto"/>
          <w:color w:val="auto"/>
        </w:rPr>
        <w:t>Derivative Instrument</w:t>
      </w:r>
      <w:r>
        <w:rPr>
          <w:rFonts w:ascii="Arial" w:cs="Arial" w:eastAsia="Arial" w:hAnsi="Arial"/>
          <w:sz w:val="18"/>
          <w:szCs w:val="18"/>
          <w:color w:val="auto"/>
        </w:rPr>
        <w:t>”) directly or indirectly owned beneficially by such stockholder, the beneficial owner, if any, or any affiliates or associates or others acting in concert therewith, (C) any proxy, contract, arrangement, understanding, or relationship pursuant to which such stockholder, such beneficial owner or any of their respective affiliates or associates or others acting in concert therewith has any right to vote any class or series of shares of the Corporation, (D) any agreement, arrangement, understanding, relationship or otherwise, including any repurchase or similar so-called “stock borrowing” agreement or arrangement, involving such stockholder, such beneficial owner or any of their respective affiliates or associates or others acting in concert therewith,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stockholder, such beneficial owner 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respective affiliates or associates or others acting in concert therewith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“Short Interest”), (E) any rights to dividends on the shares of the Corporation owned beneficially by such stockholder, such beneficial owner or any of their respective affiliates or associates or others acting in concert therewith that are separated or separable from the underlying shares of the Corporation, (F) any proportionate interest in shares of the Corporation or Derivative Instruments held, directly or indirectly, by a general or limited partnership in which such stockholder, such beneficial owner or any of their respective affiliates or associates or others acting in concert therewith is a general partner or, directly or indirectly, beneficially owns an interest in a general partner of such general or limited partnership, (G) any performance-related fees (other than an asset-based fee) that such stockholder, such beneficial owner or any of their respective affiliates or associates or others acting in concert therewith is entitled to based on any increase or decrease in the value of shares of the Corporation or Derivative Instruments, if any, including, without limitation, any such interests held by members of the immediate family sharing the same household of such stockholder, such beneficial owner and their respective affiliates or associates or others acting in concert therewith, (H) any significant equity interests or any Derivative Instruments or Short Interests in any principal competitor of the Corporation held by such stockholder, such beneficial owner or any of their respective affiliates or associates or others acting in concert therewith and (I) any direct or indirect interest of such stockholder, such beneficial owner and their respective affiliates or associates or others acting in concert therewith in any contract with the Corporation, any affiliate of the Corporation or any principal competitor of the Corporation (including, in any such case, any employment agreement, collective bargaining agreement or consulting agreement); (iii) all information that would be required to be set forth in a Schedule 13D filed pursuant to Rule 13d-1(a) or an amendment pursuant to Rule 13d-2(a) if such a statement were required to be filed under the Securities Exchange Act of 1934, as amended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Act”) and the rules and regulations promulgated thereunder by such stockholder, such beneficial owner and their respective affiliates or associates or others acting in concert therewith, if any; and (iv) any other information relating to such stockholder, such beneficial owner or any of their respective affiliates or associates or others acting in concert therewith, if any, that would be required to be disclosed in a proxy statement and form or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201" w:lineRule="exact"/>
        <w:rPr>
          <w:sz w:val="20"/>
          <w:szCs w:val="20"/>
          <w:color w:val="auto"/>
        </w:rPr>
      </w:pPr>
    </w:p>
    <w:p>
      <w:pPr>
        <w:jc w:val="both"/>
        <w:ind w:firstLine="644"/>
        <w:spacing w:after="0" w:line="253" w:lineRule="auto"/>
        <w:tabs>
          <w:tab w:leader="none" w:pos="1156" w:val="left"/>
        </w:tabs>
        <w:numPr>
          <w:ilvl w:val="0"/>
          <w:numId w:val="13"/>
        </w:numPr>
        <w:rPr>
          <w:rFonts w:ascii="Arial" w:cs="Arial" w:eastAsia="Arial" w:hAnsi="Arial"/>
          <w:sz w:val="21"/>
          <w:szCs w:val="21"/>
          <w:color w:val="auto"/>
        </w:rPr>
      </w:pPr>
      <w:r>
        <w:rPr>
          <w:rFonts w:ascii="Arial" w:cs="Arial" w:eastAsia="Arial" w:hAnsi="Arial"/>
          <w:sz w:val="19"/>
          <w:szCs w:val="19"/>
          <w:color w:val="auto"/>
        </w:rPr>
        <w:t>If the notice includes any business other than a nomination of a director or directors that the stockholder proposes to bring before the meeting, a stockholder’s notice must, in addition to the matters set forth in subsection (1) above, also set forth: (i) a brief description of the business desired to be brought before the meeting, the reasons for conducting such business at the meeting and any material interest of such stockholder, such beneficial owner and each of their respective affiliates or associates or others acting in concert therewith, if any, in such business; (ii) the text of the proposal or business (including the text of any resolutions proposed for consideration and, in the event that such proposal or business includes a proposal to amend the Bylaws of the Corporation, the text of the proposed amendment); and (iii) a description of all agreements, arrangements and understandings between such stockholder, such beneficial owner and each of their respective affiliates or associates or others acting in concert therewith, if any, and any other person or persons (including their names) in connection with the proposal of such business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0"/>
          </w:cols>
          <w:pgMar w:left="980" w:top="1419" w:right="339" w:bottom="1440" w:gutter="0" w:footer="0" w:header="0"/>
        </w:sectPr>
      </w:pPr>
    </w:p>
    <w:bookmarkStart w:id="21" w:name="page22"/>
    <w:bookmarkEnd w:id="21"/>
    <w:p>
      <w:pPr>
        <w:spacing w:after="0" w:line="6" w:lineRule="exact"/>
        <w:rPr>
          <w:sz w:val="20"/>
          <w:szCs w:val="20"/>
          <w:color w:val="auto"/>
        </w:rPr>
      </w:pPr>
    </w:p>
    <w:p>
      <w:pPr>
        <w:jc w:val="both"/>
        <w:ind w:left="660" w:firstLine="644"/>
        <w:spacing w:after="0" w:line="252" w:lineRule="auto"/>
        <w:tabs>
          <w:tab w:leader="none" w:pos="1843" w:val="left"/>
        </w:tabs>
        <w:numPr>
          <w:ilvl w:val="1"/>
          <w:numId w:val="14"/>
        </w:numPr>
        <w:rPr>
          <w:rFonts w:ascii="Arial" w:cs="Arial" w:eastAsia="Arial" w:hAnsi="Arial"/>
          <w:sz w:val="21"/>
          <w:szCs w:val="21"/>
          <w:color w:val="auto"/>
        </w:rPr>
      </w:pPr>
      <w:r>
        <w:rPr>
          <w:rFonts w:ascii="Arial" w:cs="Arial" w:eastAsia="Arial" w:hAnsi="Arial"/>
          <w:sz w:val="19"/>
          <w:szCs w:val="19"/>
          <w:color w:val="auto"/>
        </w:rPr>
        <w:t>As to each individual, if any, whom the stockholder proposes to nominate for election or reelection to the Board of Directors, a stockholder’s notice must, in addition to the matters set forth in subsection (1) above, also set forth: (i)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the proxy statement as a nominee and written statement of intent to serve as a director for the full term if elected); and (ii) a description of all direct and indirect compensation and other material monetary agreements, arrangements and understandings during the past three (3)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220" w:lineRule="exact"/>
        <w:rPr>
          <w:rFonts w:ascii="Arial" w:cs="Arial" w:eastAsia="Arial" w:hAnsi="Arial"/>
          <w:sz w:val="21"/>
          <w:szCs w:val="21"/>
          <w:color w:val="auto"/>
        </w:rPr>
      </w:pPr>
    </w:p>
    <w:p>
      <w:pPr>
        <w:jc w:val="both"/>
        <w:ind w:left="660" w:firstLine="644"/>
        <w:spacing w:after="0" w:line="253" w:lineRule="auto"/>
        <w:tabs>
          <w:tab w:leader="none" w:pos="1830" w:val="left"/>
        </w:tabs>
        <w:numPr>
          <w:ilvl w:val="1"/>
          <w:numId w:val="14"/>
        </w:numPr>
        <w:rPr>
          <w:rFonts w:ascii="Arial" w:cs="Arial" w:eastAsia="Arial" w:hAnsi="Arial"/>
          <w:sz w:val="21"/>
          <w:szCs w:val="21"/>
          <w:color w:val="auto"/>
        </w:rPr>
      </w:pPr>
      <w:r>
        <w:rPr>
          <w:rFonts w:ascii="Arial" w:cs="Arial" w:eastAsia="Arial" w:hAnsi="Arial"/>
          <w:sz w:val="19"/>
          <w:szCs w:val="19"/>
          <w:color w:val="auto"/>
        </w:rPr>
        <w:t>With respect to each individual, if any, whom the stockholder proposes to nominate for election or reelection to the Board of Directors, a stockholder’s notice must, in addition to the matters set forth in subsections (1) and (3) above, also include the completed and signed questionnaire, representation and agreement required by Section 2.10of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Notwithstanding anything to the contrary, only persons who are nominated in accordance with the procedures set forth in these Bylaws, including, without limitation, Sections 2.8, 2.9, and 2.10 hereof, shall be eligible for election as directors.</w:t>
      </w:r>
    </w:p>
    <w:p>
      <w:pPr>
        <w:spacing w:after="0" w:line="185" w:lineRule="exact"/>
        <w:rPr>
          <w:rFonts w:ascii="Arial" w:cs="Arial" w:eastAsia="Arial" w:hAnsi="Arial"/>
          <w:sz w:val="21"/>
          <w:szCs w:val="21"/>
          <w:color w:val="auto"/>
        </w:rPr>
      </w:pPr>
    </w:p>
    <w:p>
      <w:pPr>
        <w:jc w:val="both"/>
        <w:ind w:right="240" w:firstLine="656"/>
        <w:spacing w:after="0" w:line="282" w:lineRule="auto"/>
        <w:tabs>
          <w:tab w:leader="none" w:pos="11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161" w:lineRule="exact"/>
        <w:rPr>
          <w:rFonts w:ascii="Arial" w:cs="Arial" w:eastAsia="Arial" w:hAnsi="Arial"/>
          <w:sz w:val="18"/>
          <w:szCs w:val="18"/>
          <w:color w:val="auto"/>
        </w:rPr>
      </w:pPr>
    </w:p>
    <w:p>
      <w:pPr>
        <w:jc w:val="both"/>
        <w:ind w:firstLine="656"/>
        <w:spacing w:after="0" w:line="278" w:lineRule="auto"/>
        <w:tabs>
          <w:tab w:leader="none" w:pos="11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Nothing in these Bylaws shall be deemed to affect any rights: (a) of stockholders to request inclusion of proposals in the Corporation’s proxy statement pursuant to Rule 14a-8 under the Exchange Act; or (b)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22" w:name="page23"/>
    <w:bookmarkEnd w:id="22"/>
    <w:p>
      <w:pPr>
        <w:ind w:left="660"/>
        <w:spacing w:after="0"/>
        <w:tabs>
          <w:tab w:leader="none" w:pos="196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6"/>
          <w:szCs w:val="16"/>
          <w:u w:val="single" w:color="auto"/>
          <w:color w:val="auto"/>
        </w:rPr>
        <w:t>Order of Business</w:t>
      </w:r>
      <w:r>
        <w:rPr>
          <w:rFonts w:ascii="Arial" w:cs="Arial" w:eastAsia="Arial" w:hAnsi="Arial"/>
          <w:sz w:val="16"/>
          <w:szCs w:val="16"/>
          <w:color w:val="auto"/>
        </w:rPr>
        <w:t>.</w:t>
      </w:r>
    </w:p>
    <w:p>
      <w:pPr>
        <w:spacing w:after="0" w:line="216" w:lineRule="exact"/>
        <w:rPr>
          <w:sz w:val="20"/>
          <w:szCs w:val="20"/>
          <w:color w:val="auto"/>
        </w:rPr>
      </w:pPr>
    </w:p>
    <w:p>
      <w:pPr>
        <w:jc w:val="both"/>
        <w:ind w:firstLine="656"/>
        <w:spacing w:after="0" w:line="27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(a) specified in the Corporation’s notice of meeting (or any supplement thereto) given by or at the direction of the Board of Directors; (b) otherwise properly made at the annual meeting, by or at the direction of the Board of Directors; or (c) otherwise properly requested to be brought before the annual meeting by a stockholder of the Corporation in accordance with Section 2.8 or Section 2.9 of these Bylaws. For nominations of individuals for election to the Board of Directors or proposals of other business to be properly requested by a stockholder to be made at an annual meeting, a stockholder must: (i) be a stockholder of record at the time of the giving of notice of such annual meeting by or at the direction of the Board of Directors and at the time of the annual meeting; (ii) be entitled to vote at such annual meeting; and (iii) comply with the procedures set forth in these Bylaws as to such business or nomination. The immediately preceding sentence shall be the exclusive means for a stockholder to make nominations or other business proposals (other than matters properly brought under Rule 14a-8 under the Exchange Act and included in the Corporation’s notice of meeting) before an annual meeting of stockholders.</w:t>
      </w:r>
    </w:p>
    <w:p>
      <w:pPr>
        <w:spacing w:after="0" w:line="172" w:lineRule="exact"/>
        <w:rPr>
          <w:rFonts w:ascii="Arial" w:cs="Arial" w:eastAsia="Arial" w:hAnsi="Arial"/>
          <w:sz w:val="18"/>
          <w:szCs w:val="18"/>
          <w:color w:val="auto"/>
        </w:rPr>
      </w:pPr>
    </w:p>
    <w:p>
      <w:pPr>
        <w:jc w:val="both"/>
        <w:ind w:firstLine="656"/>
        <w:spacing w:after="0" w:line="270" w:lineRule="auto"/>
        <w:tabs>
          <w:tab w:leader="none" w:pos="112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or considered at a special meeting of stockholders as shall have been properly brought before the meeting pursuant to the Corporation’s notice of meeting. To be properly brought before a special meeting, proposals of business must be (a) specified in the Corporation’s notice of meeting (or any supplement thereto) given by or at the direction of the Board of Directors or (b) otherwise properly brought before the special meeting, by or at the direction of the Board of Directors; provided, however,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(i) is a stockholder of record at the time of giving of notice of such special meeting and at the time of the special meeting, (ii) is entitled to vote at the meeting (without giving effect to any proxy, voting agreement or other arrangement pursuant to which such stockholder may have been granted the right to act for another stockholder or vote in respect of stock at such special meeting), and (iii) complies with the procedures set forth in these Bylaws as to such nomination. This Section 2.9(B) shall be the exclusive means for a stockholder to make nominations at a special meeting of stockholders.</w:t>
      </w:r>
    </w:p>
    <w:p>
      <w:pPr>
        <w:spacing w:after="0" w:line="172" w:lineRule="exact"/>
        <w:rPr>
          <w:rFonts w:ascii="Arial" w:cs="Arial" w:eastAsia="Arial" w:hAnsi="Arial"/>
          <w:sz w:val="18"/>
          <w:szCs w:val="18"/>
          <w:color w:val="auto"/>
        </w:rPr>
      </w:pPr>
    </w:p>
    <w:p>
      <w:pPr>
        <w:jc w:val="both"/>
        <w:ind w:firstLine="656"/>
        <w:spacing w:after="0" w:line="244" w:lineRule="auto"/>
        <w:tabs>
          <w:tab w:leader="none" w:pos="1123"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nominee of any stockholder for election or reelection as a director of the Corporation, a person must deliver (in accordance with the time periods prescribed for delivery of notice under Section 2.8 of these Bylaws) to the Secretary at the principal executive offices of the Corporation a written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23" w:name="page24"/>
    <w:bookmarkEnd w:id="23"/>
    <w:p>
      <w:pPr>
        <w:jc w:val="both"/>
        <w:spacing w:after="0" w:line="244" w:lineRule="auto"/>
        <w:rPr>
          <w:sz w:val="20"/>
          <w:szCs w:val="20"/>
          <w:color w:val="auto"/>
        </w:rPr>
      </w:pPr>
      <w:r>
        <w:rPr>
          <w:rFonts w:ascii="Arial" w:cs="Arial" w:eastAsia="Arial" w:hAnsi="Arial"/>
          <w:sz w:val="20"/>
          <w:szCs w:val="20"/>
          <w:color w:val="auto"/>
        </w:rPr>
        <w:t>with respect to the background and qualification of such individual and the background of any other person or entity on whose behalf, directly or indirectly, the nomination is being made (which questionnaire shall be provided by the Secretary upon written request), a conditional resignation in accordance with the Corporation’s resignation policy in connection with majority voting (the form of which shall be provided by the Secretary upon written request), and a written representation and agreement (in the form provided by the Secretary upon written request) that such individual:</w:t>
      </w:r>
    </w:p>
    <w:p>
      <w:pPr>
        <w:spacing w:after="0" w:line="194" w:lineRule="exact"/>
        <w:rPr>
          <w:sz w:val="20"/>
          <w:szCs w:val="20"/>
          <w:color w:val="auto"/>
        </w:rPr>
      </w:pPr>
    </w:p>
    <w:p>
      <w:pPr>
        <w:jc w:val="both"/>
        <w:ind w:firstLine="656"/>
        <w:spacing w:after="0" w:line="257" w:lineRule="auto"/>
        <w:tabs>
          <w:tab w:leader="none" w:pos="12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(1)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u w:val="single" w:color="auto"/>
          <w:color w:val="auto"/>
        </w:rPr>
        <w:t>Voting Commitment</w:t>
      </w:r>
      <w:r>
        <w:rPr>
          <w:rFonts w:ascii="Arial" w:cs="Arial" w:eastAsia="Arial" w:hAnsi="Arial"/>
          <w:sz w:val="19"/>
          <w:szCs w:val="19"/>
          <w:color w:val="auto"/>
        </w:rPr>
        <w:t>”) that has not been disclosed to the Corporation; and (b) any Voting Commitment that could limit or interfere with such individual’s ability to comply, if elected as a director of the corporation, with such individual’s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w:t>
      </w:r>
    </w:p>
    <w:p>
      <w:pPr>
        <w:spacing w:after="0" w:line="184" w:lineRule="exact"/>
        <w:rPr>
          <w:rFonts w:ascii="Arial" w:cs="Arial" w:eastAsia="Arial" w:hAnsi="Arial"/>
          <w:sz w:val="19"/>
          <w:szCs w:val="19"/>
          <w:color w:val="auto"/>
        </w:rPr>
      </w:pPr>
    </w:p>
    <w:p>
      <w:pPr>
        <w:ind w:left="1120" w:hanging="464"/>
        <w:spacing w:after="0"/>
        <w:tabs>
          <w:tab w:leader="none" w:pos="11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agrees to promptly provide to the Corporation such other information as the Corporation may reasonably request; and</w:t>
      </w:r>
    </w:p>
    <w:p>
      <w:pPr>
        <w:spacing w:after="0" w:line="227" w:lineRule="exact"/>
        <w:rPr>
          <w:rFonts w:ascii="Arial" w:cs="Arial" w:eastAsia="Arial" w:hAnsi="Arial"/>
          <w:sz w:val="19"/>
          <w:szCs w:val="19"/>
          <w:color w:val="auto"/>
        </w:rPr>
      </w:pPr>
    </w:p>
    <w:p>
      <w:pPr>
        <w:jc w:val="both"/>
        <w:ind w:firstLine="656"/>
        <w:spacing w:after="0" w:line="246" w:lineRule="auto"/>
        <w:tabs>
          <w:tab w:leader="none" w:pos="1243"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w:t>
      </w:r>
    </w:p>
    <w:p>
      <w:pPr>
        <w:spacing w:after="0" w:line="19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Procedure for Election of Directors; Required Vote</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9" w:lineRule="auto"/>
        <w:tabs>
          <w:tab w:leader="none" w:pos="11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Except as set forth below, election of directors at all meetings of the stockholders at which directors are to be elected shall be by ballot, and, subject to any rights of the holders of any class or series of Preferred Stock to elect directors under specified circumstances, a majority of the votes cast at any meeting for the election of directors at which a quorum is present shall elect directors. For purposes of this Section 2.11, a majority of votes cast shall mean that the number of shares voted “for” a director’s election exceeds fifty percent (50%) of the number of votes cast with respect to that director’s election.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Article II, a “contested election” shall mean any election of directors in which the number of candidates for election as directors exceeds the number of directors to be elected, with the determination thereof being made by the Secretary as of the close of the applicable notice of nomination period set forth in Section 2.8 of these Bylaws or under applicable law, based on whether one or more notice(s) of nomination were timely filed and in proper form in accordance with said Section 2.8;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24" w:name="page25"/>
    <w:bookmarkEnd w:id="24"/>
    <w:p>
      <w:pPr>
        <w:jc w:val="both"/>
        <w:ind w:firstLine="656"/>
        <w:spacing w:after="0" w:line="269" w:lineRule="auto"/>
        <w:tabs>
          <w:tab w:leader="none" w:pos="11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a nominee for director who is an incumbent director is not elected and no successor has been elected at such meeting, the director shall promptly tender his or her resignation, contingent upon acceptance of such resignation by the Board in accordance with this Section 2.11(B), to the Board. The Nominating, Corporate Governance and Sustainability Committee shall make a recommendation to the Board of Directors as to whether to accept or reject the tendered resignation, or whether other action should be taken. The Board of Directors shall act on the tendered resignation, taking into account the Nominating, Corporate Governance and Sustainability Committee’s recommendation, and publicly disclose (by a press release, a Current Report on Form 8-K or other broadly disseminated means of communication) its decision regarding the tendered resignation and the rationale behind the decision within ninety (90) days from the date of the certification of the election results. The Nominating, Corporate Governance and Sustainability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Nominating, Corporate Governance and Sustainability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Section 3.10 of these Bylaws or may decrease the size of the Board of Directors pursuant to the provisions of Section 3.2 of these Bylaws.</w:t>
      </w:r>
    </w:p>
    <w:p>
      <w:pPr>
        <w:spacing w:after="0" w:line="176" w:lineRule="exact"/>
        <w:rPr>
          <w:rFonts w:ascii="Arial" w:cs="Arial" w:eastAsia="Arial" w:hAnsi="Arial"/>
          <w:sz w:val="18"/>
          <w:szCs w:val="18"/>
          <w:color w:val="auto"/>
        </w:rPr>
      </w:pPr>
    </w:p>
    <w:p>
      <w:pPr>
        <w:jc w:val="both"/>
        <w:ind w:firstLine="656"/>
        <w:spacing w:after="0" w:line="250" w:lineRule="auto"/>
        <w:tabs>
          <w:tab w:leader="none" w:pos="113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85" w:lineRule="exact"/>
        <w:rPr>
          <w:rFonts w:ascii="Arial" w:cs="Arial" w:eastAsia="Arial" w:hAnsi="Arial"/>
          <w:sz w:val="20"/>
          <w:szCs w:val="20"/>
          <w:color w:val="auto"/>
        </w:rPr>
      </w:pPr>
    </w:p>
    <w:p>
      <w:pPr>
        <w:jc w:val="both"/>
        <w:ind w:firstLine="656"/>
        <w:spacing w:after="0" w:line="269" w:lineRule="auto"/>
        <w:tabs>
          <w:tab w:leader="none" w:pos="114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individual who is nominated for election to the Board of Directors and included in the Corporation’s proxy materials for an annual meeting and, if applicable, a special meeting, shall tender an irrevocable resignation in advance of the annual meeting or special meeting, as applicable. Such resignation shall become effective upon a determination by the Board of Directors or any committee thereof that: (1) the information provided pursuant to the Corporation by such individual was untrue in any material respect or omitted to state a material fact necessary in order to make the statements made, in light of the circumstances under which they were made, not misleading; or</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such individual shall have breached any representations or obligations owed to the Corporation under these Bylaws.</w:t>
      </w:r>
    </w:p>
    <w:p>
      <w:pPr>
        <w:spacing w:after="0" w:line="2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Inspectors of Elections; Opening and Closing the Polls</w:t>
      </w:r>
      <w:r>
        <w:rPr>
          <w:rFonts w:ascii="Arial" w:cs="Arial" w:eastAsia="Arial" w:hAnsi="Arial"/>
          <w:sz w:val="20"/>
          <w:szCs w:val="20"/>
          <w:color w:val="auto"/>
        </w:rPr>
        <w:t>. The Board of Directors by resolution shall appoint one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25" w:name="page26"/>
    <w:bookmarkEnd w:id="25"/>
    <w:p>
      <w:pPr>
        <w:jc w:val="both"/>
        <w:ind w:right="20" w:firstLine="648"/>
        <w:spacing w:after="0" w:line="260" w:lineRule="auto"/>
        <w:rPr>
          <w:sz w:val="20"/>
          <w:szCs w:val="20"/>
          <w:color w:val="auto"/>
        </w:rPr>
      </w:pPr>
      <w:r>
        <w:rPr>
          <w:rFonts w:ascii="Arial" w:cs="Arial" w:eastAsia="Arial" w:hAnsi="Arial"/>
          <w:sz w:val="20"/>
          <w:szCs w:val="20"/>
          <w:color w:val="auto"/>
        </w:rPr>
        <w:t>The chairman of the meeting shall be appointed by the inspector or inspectors to fix and announce at the meeting the date and time of the opening and the closing of the polls for each matter upon which the stockholders will vote at a meeting.</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No Stockholder Action by Written Consent</w:t>
      </w:r>
      <w:r>
        <w:rPr>
          <w:rFonts w:ascii="Arial" w:cs="Arial" w:eastAsia="Arial" w:hAnsi="Arial"/>
          <w:sz w:val="20"/>
          <w:szCs w:val="20"/>
          <w:color w:val="auto"/>
        </w:rPr>
        <w:t>. Any action required or permitted to be taken by the stockholders of the Corporation must be effected at an annual or special meeting of stockholders of the Corporation and may not be effected by any consent in writing by such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General Powers</w:t>
      </w:r>
      <w:r>
        <w:rPr>
          <w:rFonts w:ascii="Arial" w:cs="Arial" w:eastAsia="Arial" w:hAnsi="Arial"/>
          <w:sz w:val="20"/>
          <w:szCs w:val="20"/>
          <w:color w:val="auto"/>
        </w:rPr>
        <w:t>. The business and affairs of the Corporation shall be 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1"/>
          <w:szCs w:val="21"/>
          <w:u w:val="single" w:color="auto"/>
          <w:color w:val="auto"/>
        </w:rPr>
        <w:t>Number</w:t>
      </w:r>
      <w:r>
        <w:rPr>
          <w:rFonts w:ascii="Arial" w:cs="Arial" w:eastAsia="Arial" w:hAnsi="Arial"/>
          <w:sz w:val="21"/>
          <w:szCs w:val="21"/>
          <w:color w:val="auto"/>
        </w:rPr>
        <w:t>. Subject to any rights of the holders of any class or series of Preferred Stock to elect directors</w:t>
      </w:r>
      <w:r>
        <w:rPr>
          <w:rFonts w:ascii="Arial" w:cs="Arial" w:eastAsia="Arial" w:hAnsi="Arial"/>
          <w:sz w:val="20"/>
          <w:szCs w:val="20"/>
          <w:color w:val="auto"/>
        </w:rPr>
        <w:t xml:space="preserve"> </w:t>
      </w:r>
      <w:r>
        <w:rPr>
          <w:rFonts w:ascii="Arial" w:cs="Arial" w:eastAsia="Arial" w:hAnsi="Arial"/>
          <w:sz w:val="21"/>
          <w:szCs w:val="21"/>
          <w:color w:val="auto"/>
        </w:rPr>
        <w:t xml:space="preserve">under specified circumstances, the number of directors shall be fixed from time to time exclusively pursuant to a resolution adopted by a majority of the Board, but shall </w:t>
      </w:r>
      <w:r>
        <w:rPr>
          <w:rFonts w:ascii="Arial" w:cs="Arial" w:eastAsia="Arial" w:hAnsi="Arial"/>
          <w:sz w:val="19"/>
          <w:szCs w:val="19"/>
          <w:color w:val="auto"/>
        </w:rPr>
        <w:t>consist of at least one member and no more than twelve members.</w:t>
      </w:r>
      <w:r>
        <w:rPr>
          <w:rFonts w:ascii="Arial" w:cs="Arial" w:eastAsia="Arial" w:hAnsi="Arial"/>
          <w:sz w:val="21"/>
          <w:szCs w:val="21"/>
          <w:color w:val="auto"/>
        </w:rPr>
        <w:t xml:space="preserve"> No decrease in the number of authorized directors constituting the Board shall shorten the term of any incumbent director.</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Classification; Term of Office; Election of Directors</w:t>
      </w:r>
      <w:r>
        <w:rPr>
          <w:rFonts w:ascii="Arial" w:cs="Arial" w:eastAsia="Arial" w:hAnsi="Arial"/>
          <w:sz w:val="18"/>
          <w:szCs w:val="18"/>
          <w:color w:val="auto"/>
        </w:rPr>
        <w:t>. The directors of the Corporation shall be divided, with respect to the time for which they severally hold office, into three classes designated Class I, Class II and Class III. The initial assignment of directors to each such class shall be made by the Board of Directors. Each class shall consist, as nearly as possible, of one-third of the total number of such directors. Class I directors shall initially serve for a term expiring at the 2022 annual meeting of stockholders, Class II directors shall initially serve for a term expiring at the 2023 annual meeting of stockholders, and Class III directors shall initially serve for a term expiring at the 2024 annual meeting of stockholders. Directors of each class shall hold office until the annual meeting at which his or her term expires and until his or her successor shall be elected and qualified, or his or her death, resignation, retirement, disqualification or removal from office. At the 2022 annual meeting of stockholders, the directors whose terms expire at that meeting will be elected for a three-year term expiring at the 2025 annual meeting of stockholders and until their respective successors shall have been duly elected and qualified or until their earlier resignation or removal; at the 2023 and 2024 annual meetings of stockholders, the directors whose terms expire at such meetings shall be elected to hold office for a one-year term expiring, respectively, at the 2024 and 2025 annual meetings of stockholders and until their respective successors shall have been duly elected and qualified or until their earlier resignation or removal (for the avoidance of doubt, at the 2024 annual meeting the Class II directors shall be elected to hold office for a one-year term expiring at the 2025 annual meeting of stockholders); and at the 2025 annual meeting of stockholders and each annual meeting of stockholders thereafter, all directors shall be elected to hold office for a one-year term expiring at the next annual meeting of stockholders and until their respective successors shall have been duly elected and qualified or until their earlier resignation or removal. Pursuant to such procedures, effective as of the conclusion of the 2025 annual meeting of stockholders (the “</w:t>
      </w:r>
      <w:r>
        <w:rPr>
          <w:rFonts w:ascii="Arial" w:cs="Arial" w:eastAsia="Arial" w:hAnsi="Arial"/>
          <w:sz w:val="18"/>
          <w:szCs w:val="18"/>
          <w:u w:val="single" w:color="auto"/>
          <w:color w:val="auto"/>
        </w:rPr>
        <w:t>Declassification Time</w:t>
      </w:r>
      <w:r>
        <w:rPr>
          <w:rFonts w:ascii="Arial" w:cs="Arial" w:eastAsia="Arial" w:hAnsi="Arial"/>
          <w:sz w:val="18"/>
          <w:szCs w:val="18"/>
          <w:color w:val="auto"/>
        </w:rPr>
        <w:t>”), the Board will no longer be classified under Section 141(d) of the DGCL and directors shall no longer be divided into three classes. Prior to the Declassification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20"/>
          <w:szCs w:val="20"/>
          <w:color w:val="auto"/>
        </w:rPr>
        <w:t>if the number of directors is changed, any newly created directorships or decrease in directorships shall be so apportioned among the classes as to make all classes as nearly equal in number as practicable, but in no case will a decrease in the number of directors shorten the term of any incumbent director.</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3.4 </w:t>
      </w:r>
      <w:r>
        <w:rPr>
          <w:rFonts w:ascii="Arial" w:cs="Arial" w:eastAsia="Arial" w:hAnsi="Arial"/>
          <w:sz w:val="19"/>
          <w:szCs w:val="19"/>
          <w:u w:val="single" w:color="auto"/>
          <w:color w:val="auto"/>
        </w:rPr>
        <w:t>Regular Meetings</w:t>
      </w:r>
      <w:r>
        <w:rPr>
          <w:rFonts w:ascii="Arial" w:cs="Arial" w:eastAsia="Arial" w:hAnsi="Arial"/>
          <w:sz w:val="19"/>
          <w:szCs w:val="19"/>
          <w:color w:val="auto"/>
        </w:rPr>
        <w:t>. A regular meeting of the Board of Directors shall be held without other notice than this Bylaw immediately after, and at the same place as, the annual meeting of stockholders. The Board of Directors may, by resolution, provide the time and place, if any, for the holding of additional regular meetings without other notice than such resolution.</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of Directors shall be called at the request of the Chairman of the Board or a majority of the Board of Directors then in office. The person or persons authorized to call special meetings of the Board of Directors may fix the place, if any, and time of the meetings.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w:t>
      </w:r>
      <w:r>
        <w:rPr>
          <w:rFonts w:ascii="Arial" w:cs="Arial" w:eastAsia="Arial" w:hAnsi="Arial"/>
          <w:sz w:val="18"/>
          <w:szCs w:val="18"/>
          <w:color w:val="auto"/>
        </w:rPr>
        <w:t>. No notice need be given of any organizational or stated meeting of the Board of Directors for which the Board of Directors has fixed the date, hour and place. Notice of any special meeting of directors shall be given to each director at such person’s business or residence in writing by hand delivery, first-class or overnight mail or courier service, email or facsimile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except for amendments to these Bylaws, as provided under Section 9.1 of these Bylaws. A meeting may be held at any time without notice if all the directors are present or if those not present waive notice of the meeting in accordance with Section 7.4 of these Bylaws.</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Action by Consent of Board of Directors</w:t>
      </w:r>
      <w:r>
        <w:rPr>
          <w:rFonts w:ascii="Arial" w:cs="Arial" w:eastAsia="Arial" w:hAnsi="Arial"/>
          <w:sz w:val="20"/>
          <w:szCs w:val="20"/>
          <w:color w:val="auto"/>
        </w:rPr>
        <w:t>.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3.8 </w:t>
      </w:r>
      <w:r>
        <w:rPr>
          <w:rFonts w:ascii="Arial" w:cs="Arial" w:eastAsia="Arial" w:hAnsi="Arial"/>
          <w:sz w:val="20"/>
          <w:szCs w:val="20"/>
          <w:u w:val="single" w:color="auto"/>
          <w:color w:val="auto"/>
        </w:rPr>
        <w:t>Conference Telephone Meetings</w:t>
      </w:r>
      <w:r>
        <w:rPr>
          <w:rFonts w:ascii="Arial" w:cs="Arial" w:eastAsia="Arial" w:hAnsi="Arial"/>
          <w:sz w:val="20"/>
          <w:szCs w:val="20"/>
          <w:color w:val="auto"/>
        </w:rPr>
        <w:t>.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3.9 </w:t>
      </w:r>
      <w:r>
        <w:rPr>
          <w:rFonts w:ascii="Arial" w:cs="Arial" w:eastAsia="Arial" w:hAnsi="Arial"/>
          <w:sz w:val="19"/>
          <w:szCs w:val="19"/>
          <w:u w:val="single" w:color="auto"/>
          <w:color w:val="auto"/>
        </w:rPr>
        <w:t>Quorum</w:t>
      </w:r>
      <w:r>
        <w:rPr>
          <w:rFonts w:ascii="Arial" w:cs="Arial" w:eastAsia="Arial" w:hAnsi="Arial"/>
          <w:sz w:val="19"/>
          <w:szCs w:val="19"/>
          <w:color w:val="auto"/>
        </w:rPr>
        <w:t>. At all meetings of the Board, the presence of a majority of the total authorized number of directors shall constitute a quorum for the transaction of business.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27" w:name="page28"/>
    <w:bookmarkEnd w:id="27"/>
    <w:p>
      <w:pPr>
        <w:jc w:val="both"/>
        <w:ind w:firstLine="648"/>
        <w:spacing w:after="0" w:line="272"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applicable law and the rights of the holders of any series of Preferred Stock to elect additional directors under specified circumstances,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the sole remaining director and directors so chosen shall hold office (i) until the Declassification Time, for a term expiring at an annual meeting of stockholders at which the term of office of the class to which they have been appointed expires and until such director’s successor has been duly elected and qualified or until his or her earlier death, resignation or removal as hereinafter provided, and (ii) after the Declassification Time, until such director’s successor has been duly elected and qualified or until his or her earlier death, resignation or removal as hereinafter provided. No decrease in the number of authorized directors constituting the Board of Directors shall shorten the term of any incumbent director.</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Chairman of the Board; Lead Independent Director; Vice Chair</w:t>
      </w:r>
      <w:r>
        <w:rPr>
          <w:rFonts w:ascii="Arial" w:cs="Arial" w:eastAsia="Arial" w:hAnsi="Arial"/>
          <w:sz w:val="20"/>
          <w:szCs w:val="20"/>
          <w:color w:val="auto"/>
        </w:rPr>
        <w:t>. The Chairman of the Board will be elected by the Board of Directors and shall preside at all meetings of the stockholders and of the Board of Directors. The Board of Directors may designate the Chairman of the Board of Directors as an executive or non-executive Chairman. In addition, the Board of Directors may select a non-management director to serve as the Corporation’s “lead independent director” (the “</w:t>
      </w:r>
      <w:r>
        <w:rPr>
          <w:rFonts w:ascii="Arial" w:cs="Arial" w:eastAsia="Arial" w:hAnsi="Arial"/>
          <w:sz w:val="20"/>
          <w:szCs w:val="20"/>
          <w:u w:val="single" w:color="auto"/>
          <w:color w:val="auto"/>
        </w:rPr>
        <w:t>Lead Independent Director</w:t>
      </w:r>
      <w:r>
        <w:rPr>
          <w:rFonts w:ascii="Arial" w:cs="Arial" w:eastAsia="Arial" w:hAnsi="Arial"/>
          <w:sz w:val="20"/>
          <w:szCs w:val="20"/>
          <w:color w:val="auto"/>
        </w:rPr>
        <w:t>”) and may select a non-management director to serve as the Corporation’s vice chair (the “</w:t>
      </w:r>
      <w:r>
        <w:rPr>
          <w:rFonts w:ascii="Arial" w:cs="Arial" w:eastAsia="Arial" w:hAnsi="Arial"/>
          <w:sz w:val="20"/>
          <w:szCs w:val="20"/>
          <w:u w:val="single" w:color="auto"/>
          <w:color w:val="auto"/>
        </w:rPr>
        <w:t>Vice Chair</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Removal</w:t>
      </w:r>
      <w:r>
        <w:rPr>
          <w:rFonts w:ascii="Arial" w:cs="Arial" w:eastAsia="Arial" w:hAnsi="Arial"/>
          <w:sz w:val="19"/>
          <w:szCs w:val="19"/>
          <w:color w:val="auto"/>
        </w:rPr>
        <w:t>. Prior to the Declassification Time, any director, or the entire Board of Directors, may be removed from office at any time but only for cause and only by the affirmative vote of the holders of a majority of the Voting Stock at a meeting called for that purpose. From and after the Declassification Time, any director may be removed from office at any time with or without cause, but only by the affirmative vote of the holders of a majority of the Voting Stock at a meeting called for that purpose.</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may designate any committee as the Board considers appropriate, which shall consist of one or more directors of the Corporation. The Board may designate one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and shall report such proceedings to the Board when required.</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A majority of any committee may determine its action and fix the time and place of its meetings, unless the Board shall otherwise provide. Notice of such meetings shall be given to each member of the committee in the manner provided for in Section 3.6 of these Bylaws. The Board shall have power at any time to fill vacancies in, to change the membership of, or to dissolve, any such committee. Nothing herein shall be deemed to prevent the Board from appointing one or more committees consisting, in whole or in part, of persons who are not directors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committee shall have or may exercise any authority of the Board.</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3.14 </w:t>
      </w:r>
      <w:r>
        <w:rPr>
          <w:rFonts w:ascii="Arial" w:cs="Arial" w:eastAsia="Arial" w:hAnsi="Arial"/>
          <w:sz w:val="20"/>
          <w:szCs w:val="20"/>
          <w:u w:val="single" w:color="auto"/>
          <w:color w:val="auto"/>
        </w:rPr>
        <w:t>Compensation</w:t>
      </w:r>
      <w:r>
        <w:rPr>
          <w:rFonts w:ascii="Arial" w:cs="Arial" w:eastAsia="Arial" w:hAnsi="Arial"/>
          <w:sz w:val="20"/>
          <w:szCs w:val="20"/>
          <w:color w:val="auto"/>
        </w:rPr>
        <w:t>. The directors shall be entitled to compensation for their services and reimbursement for expenses incurred in connection with the performance of their services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w:t>
      </w:r>
    </w:p>
    <w:p>
      <w:pPr>
        <w:spacing w:after="0" w:line="2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Elected Officers</w:t>
      </w:r>
      <w:r>
        <w:rPr>
          <w:rFonts w:ascii="Arial" w:cs="Arial" w:eastAsia="Arial" w:hAnsi="Arial"/>
          <w:sz w:val="16"/>
          <w:szCs w:val="16"/>
          <w:color w:val="auto"/>
        </w:rPr>
        <w:t>. The elected officers of the Corporation shall be a Chief Executive Officer, a President, a Secretary, a Treasurer, and such other officers (including, without limitation, a Chief Financial Officer) as the Board of Directors from time to time may deem proper. Any number of offices may be held by the same person. All officers elected by the Board of Directors shall each have such powers and duties as generally pertain to their respective offices, subject to the specific provisions of this Article IV. Such officers shall also have such powers and duties as from time to time may be conferred by the Board of Directors or by any committee thereof. The Board or any committee thereof may from time to time elect, or the Chief Executive Officer may appoint, such other officers (including one or more Assistant Vice Presidents, Assistant Secretaries and Assistant Treasurers)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Chief Executive Officer, as the case may be.</w:t>
      </w:r>
    </w:p>
    <w:p>
      <w:pPr>
        <w:spacing w:after="0" w:line="3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Election and Term of Office</w:t>
      </w:r>
      <w:r>
        <w:rPr>
          <w:rFonts w:ascii="Arial" w:cs="Arial" w:eastAsia="Arial" w:hAnsi="Arial"/>
          <w:sz w:val="20"/>
          <w:szCs w:val="20"/>
          <w:color w:val="auto"/>
        </w:rPr>
        <w:t>. The elected officers of the Corporation shall be elected by the Board of Directors. Each officer shall hold office until such officer’s successor shall have been duly elected and shall have qualified or until such officer’s earlier resignation or removal.</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Chairman of the Board shall preside at all meetings of the stockholders and of the Board of Directors.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responsible for the general management of the affairs of the Corporation and shall perform all duties incidental to his office which may be required by applicable law and all such other duties as are properly required of him by the Board of Directors. He shall make reports to the Board of Directors and the stockholders, and shall see that all orders and resolutions of the Board of Directors and of any committee thereof are carried into effect.</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President</w:t>
      </w:r>
      <w:r>
        <w:rPr>
          <w:rFonts w:ascii="Arial" w:cs="Arial" w:eastAsia="Arial" w:hAnsi="Arial"/>
          <w:sz w:val="20"/>
          <w:szCs w:val="20"/>
          <w:color w:val="auto"/>
        </w:rPr>
        <w:t>. The President shall act in a general executive capacity and shall assist the Chief Executive Officer in the administration and operation of the Corporation’s business and general supervision of its policies and affairs.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Vice Presidents</w:t>
      </w:r>
      <w:r>
        <w:rPr>
          <w:rFonts w:ascii="Arial" w:cs="Arial" w:eastAsia="Arial" w:hAnsi="Arial"/>
          <w:sz w:val="20"/>
          <w:szCs w:val="20"/>
          <w:color w:val="auto"/>
        </w:rPr>
        <w:t>. Each Vice President shall have such powers and shall perform such duties as shall be assigned to such Vice President by the Board of Directors, the Chief Executive Officer or the President.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act in an executive financial capacity. The Chief Financial Officer shall assist the Chief Executive Officer and the President in the general supervision of the Corporation’s financial policies and affairs.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shall exercise general supervision over the receipt, custody and disbursement of corporate funds. The Treasurer shall cause the funds of the Corporation to be deposited in such banks as may be authorized by the Board of Directors, or in such banks as may be designated as depositaries in the manner provided by resolution of the Board of Directors. The Treasurer shall have such further powers and duties and shall be subject to such directions as may be granted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imposed upon him from time to time by the Board of Directors, the Chief Executive Officer or the President.</w:t>
      </w:r>
    </w:p>
    <w:p>
      <w:pPr>
        <w:spacing w:after="0" w:line="21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4.9</w:t>
      </w:r>
      <w:r>
        <w:rPr>
          <w:sz w:val="20"/>
          <w:szCs w:val="20"/>
          <w:color w:val="auto"/>
        </w:rPr>
        <w:tab/>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w:t>
      </w:r>
    </w:p>
    <w:p>
      <w:pPr>
        <w:spacing w:after="0" w:line="216" w:lineRule="exact"/>
        <w:rPr>
          <w:sz w:val="20"/>
          <w:szCs w:val="20"/>
          <w:color w:val="auto"/>
        </w:rPr>
      </w:pPr>
    </w:p>
    <w:p>
      <w:pPr>
        <w:ind w:firstLine="656"/>
        <w:spacing w:after="0" w:line="260" w:lineRule="auto"/>
        <w:tabs>
          <w:tab w:leader="none" w:pos="1132" w:val="left"/>
        </w:tabs>
        <w:numPr>
          <w:ilvl w:val="0"/>
          <w:numId w:val="21"/>
        </w:numPr>
        <w:rPr>
          <w:rFonts w:ascii="Arial" w:cs="Arial" w:eastAsia="Arial" w:hAnsi="Arial"/>
          <w:sz w:val="20"/>
          <w:szCs w:val="20"/>
          <w:color w:val="auto"/>
        </w:rPr>
      </w:pPr>
      <w:r>
        <w:rPr>
          <w:rFonts w:ascii="Arial" w:cs="Arial" w:eastAsia="Arial" w:hAnsi="Arial"/>
          <w:sz w:val="20"/>
          <w:szCs w:val="20"/>
          <w:color w:val="auto"/>
        </w:rPr>
        <w:t>keep or cause to be kept in one or more books provided for that purpose, the minutes of all meetings of the Board of Directors, the committees of the Board of Directors and the stockholders;</w:t>
      </w:r>
    </w:p>
    <w:p>
      <w:pPr>
        <w:spacing w:after="0" w:line="176" w:lineRule="exact"/>
        <w:rPr>
          <w:rFonts w:ascii="Arial" w:cs="Arial" w:eastAsia="Arial" w:hAnsi="Arial"/>
          <w:sz w:val="20"/>
          <w:szCs w:val="20"/>
          <w:color w:val="auto"/>
        </w:rPr>
      </w:pPr>
    </w:p>
    <w:p>
      <w:pPr>
        <w:ind w:left="1120" w:hanging="464"/>
        <w:spacing w:after="0"/>
        <w:tabs>
          <w:tab w:leader="none" w:pos="11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see that all notices are duly given in accordance with the provisions of these Bylaws and as required by applicable law;</w:t>
      </w:r>
    </w:p>
    <w:p>
      <w:pPr>
        <w:spacing w:after="0" w:line="227" w:lineRule="exact"/>
        <w:rPr>
          <w:rFonts w:ascii="Arial" w:cs="Arial" w:eastAsia="Arial" w:hAnsi="Arial"/>
          <w:sz w:val="19"/>
          <w:szCs w:val="19"/>
          <w:color w:val="auto"/>
        </w:rPr>
      </w:pPr>
    </w:p>
    <w:p>
      <w:pPr>
        <w:jc w:val="both"/>
        <w:ind w:firstLine="656"/>
        <w:spacing w:after="0" w:line="250" w:lineRule="auto"/>
        <w:tabs>
          <w:tab w:leader="none" w:pos="11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be custodian of the records and the seal of the Corporation and affix and attest the seal to all stock certificates, if any, of the Corporation (unless the seal of the Corporation on such certificates shall be a facsimile, as hereinafter provided) and affix and attest the seal to all other documents to be executed on behalf of the Corporation under its seal;</w:t>
      </w:r>
    </w:p>
    <w:p>
      <w:pPr>
        <w:spacing w:after="0" w:line="185" w:lineRule="exact"/>
        <w:rPr>
          <w:rFonts w:ascii="Arial" w:cs="Arial" w:eastAsia="Arial" w:hAnsi="Arial"/>
          <w:sz w:val="20"/>
          <w:szCs w:val="20"/>
          <w:color w:val="auto"/>
        </w:rPr>
      </w:pPr>
    </w:p>
    <w:p>
      <w:pPr>
        <w:ind w:firstLine="656"/>
        <w:spacing w:after="0" w:line="260" w:lineRule="auto"/>
        <w:tabs>
          <w:tab w:leader="none" w:pos="114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see that the books, reports, statements, certificates and other documents and records required by applicable law to be kept and filed are properly kept and filed; and</w:t>
      </w:r>
    </w:p>
    <w:p>
      <w:pPr>
        <w:spacing w:after="0" w:line="176" w:lineRule="exact"/>
        <w:rPr>
          <w:rFonts w:ascii="Arial" w:cs="Arial" w:eastAsia="Arial" w:hAnsi="Arial"/>
          <w:sz w:val="20"/>
          <w:szCs w:val="20"/>
          <w:color w:val="auto"/>
        </w:rPr>
      </w:pPr>
    </w:p>
    <w:p>
      <w:pPr>
        <w:ind w:firstLine="656"/>
        <w:spacing w:after="0" w:line="260" w:lineRule="auto"/>
        <w:tabs>
          <w:tab w:leader="none" w:pos="1114"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 general, perform all the duties incident to the office of Secretary and such other duties as from time to time may be assigned to such Secretary by the Board, the Chief Executive Officer or the President.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elected, or agent appointed, by the Board of Directors may be removed from office with or without cause by the affirmative vote of a majority of the Board. Any officer or agent appointed by the Chief Executive Officer or the President may be removed by the officer that appointed such officer or agent with or without cause. No elected officer shall have any contractual rights against the Corporation for compensation by virtue of such election beyond the date of the election of his or her successor, his or her death, or his or her resignation or removal, whichever event shall first occur, except as otherwise provided in an employment contract or under an employee deferred compensation plan.</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u w:val="single" w:color="auto"/>
          <w:color w:val="auto"/>
        </w:rPr>
        <w:t>Vacancies</w:t>
      </w:r>
      <w:r>
        <w:rPr>
          <w:rFonts w:ascii="Arial" w:cs="Arial" w:eastAsia="Arial" w:hAnsi="Arial"/>
          <w:sz w:val="20"/>
          <w:szCs w:val="20"/>
          <w:color w:val="auto"/>
        </w:rPr>
        <w:t>. A newly created elected office and a vacancy in any elected office because of death, resignation, or removal may be filled by the Board of Directors. Any vacancy in an office appointed by the Chief Executive Officer or the President because of death, resignation, or removal may be filled by the Chief Executive Officer or the President.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4.12 </w:t>
      </w:r>
      <w:r>
        <w:rPr>
          <w:rFonts w:ascii="Arial" w:cs="Arial" w:eastAsia="Arial" w:hAnsi="Arial"/>
          <w:sz w:val="20"/>
          <w:szCs w:val="20"/>
          <w:u w:val="single" w:color="auto"/>
          <w:color w:val="auto"/>
        </w:rPr>
        <w:t>Compensation</w:t>
      </w:r>
      <w:r>
        <w:rPr>
          <w:rFonts w:ascii="Arial" w:cs="Arial" w:eastAsia="Arial" w:hAnsi="Arial"/>
          <w:sz w:val="20"/>
          <w:szCs w:val="20"/>
          <w:color w:val="auto"/>
        </w:rPr>
        <w:t>. The compensation of all elected officers of the Corporation shall be fixed from time to time by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CERTIFICATES AND TRANSFERS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Stock; Transfers</w:t>
      </w:r>
      <w:r>
        <w:rPr>
          <w:rFonts w:ascii="Arial" w:cs="Arial" w:eastAsia="Arial" w:hAnsi="Arial"/>
          <w:sz w:val="20"/>
          <w:szCs w:val="20"/>
          <w:color w:val="auto"/>
        </w:rPr>
        <w:t>. Unless otherwise determined by the Board of Directors, the interest of each stockholder of the Corporation will be uncertificated.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shares of the stock of the Corporation shall be transferred on the books of the Corporation, in the case of certificated shares of stock, if any, by the holder thereof in person or by such person’s attorney duly authorized in writing, upon surrender for cancellation of certificates for at least the same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30" w:name="page31"/>
    <w:bookmarkEnd w:id="30"/>
    <w:p>
      <w:pPr>
        <w:jc w:val="both"/>
        <w:spacing w:after="0" w:line="321" w:lineRule="auto"/>
        <w:rPr>
          <w:sz w:val="20"/>
          <w:szCs w:val="20"/>
          <w:color w:val="auto"/>
        </w:rPr>
      </w:pPr>
      <w:r>
        <w:rPr>
          <w:rFonts w:ascii="Arial" w:cs="Arial" w:eastAsia="Arial" w:hAnsi="Arial"/>
          <w:sz w:val="16"/>
          <w:szCs w:val="16"/>
          <w:color w:val="auto"/>
        </w:rPr>
        <w:t>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certificates of stock, if any,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(if any) and uncertificated form.</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u w:val="single" w:color="auto"/>
          <w:color w:val="auto"/>
        </w:rPr>
        <w:t>Lost, Stolen or Destroyed Certificates</w:t>
      </w:r>
      <w:r>
        <w:rPr>
          <w:rFonts w:ascii="Arial" w:cs="Arial" w:eastAsia="Arial" w:hAnsi="Arial"/>
          <w:sz w:val="20"/>
          <w:szCs w:val="20"/>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may in its or such person’s discretion require.</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Record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Transfer and Registry Agents</w:t>
      </w:r>
      <w:r>
        <w:rPr>
          <w:rFonts w:ascii="Arial" w:cs="Arial" w:eastAsia="Arial" w:hAnsi="Arial"/>
          <w:sz w:val="20"/>
          <w:szCs w:val="20"/>
          <w:color w:val="auto"/>
        </w:rPr>
        <w:t>. The Corporation may from time to time maintain one or more transfer offices or agencies and registry offices or agencies at such place or places as may be determined from time to time by the Board of Directors or by the Chief Executive Officer or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68" w:lineRule="auto"/>
        <w:tabs>
          <w:tab w:leader="none" w:pos="118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Each person who was or is a party or is otherwise threatened to be made a party to any threatened, pending or completed action, suit or proceeding, whether civil, criminal, administrative or investigative (hereinafter,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of whom he or she is the legal representative is or was, at any time during which this Bylaw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serving as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shall be (and shall be deemed to have a contractual right to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ERISA excise taxes or penalties and amounts paid or to be paid in settlement) actually and reasonably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or officer of the Corporation or ceased serving at the request of the Corporation as a director, officer, trustee, employee or agent of another corporation or of a partnership, joint venture, trust or other enterprise, including service with respect to employee benefit plans maintained or sponsored by the Corporation, and shall inure to the benefit of his or her heirs, executors and administrators;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6.1(D), the Corporation shall indemnify any such person seeking indemnification in connection with a Proceeding (or part thereof) initiated by such person only if such Proceeding (or part thereof) was authorized by the Board of Directors.</w:t>
      </w:r>
    </w:p>
    <w:p>
      <w:pPr>
        <w:spacing w:after="0" w:line="175" w:lineRule="exact"/>
        <w:rPr>
          <w:rFonts w:ascii="Arial" w:cs="Arial" w:eastAsia="Arial" w:hAnsi="Arial"/>
          <w:sz w:val="18"/>
          <w:szCs w:val="18"/>
          <w:color w:val="auto"/>
        </w:rPr>
      </w:pPr>
    </w:p>
    <w:p>
      <w:pPr>
        <w:jc w:val="both"/>
        <w:ind w:firstLine="656"/>
        <w:spacing w:after="0" w:line="257" w:lineRule="auto"/>
        <w:tabs>
          <w:tab w:leader="none" w:pos="121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Advance of Expenses</w:t>
      </w:r>
      <w:r>
        <w:rPr>
          <w:rFonts w:ascii="Arial" w:cs="Arial" w:eastAsia="Arial" w:hAnsi="Arial"/>
          <w:sz w:val="19"/>
          <w:szCs w:val="19"/>
          <w:color w:val="auto"/>
        </w:rPr>
        <w:t>.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43" w:lineRule="auto"/>
        <w:rPr>
          <w:sz w:val="20"/>
          <w:szCs w:val="20"/>
          <w:color w:val="auto"/>
        </w:rPr>
      </w:pPr>
      <w:r>
        <w:rPr>
          <w:rFonts w:ascii="Arial" w:cs="Arial" w:eastAsia="Arial" w:hAnsi="Arial"/>
          <w:sz w:val="20"/>
          <w:szCs w:val="20"/>
          <w:color w:val="auto"/>
        </w:rPr>
        <w:t xml:space="preserve">the claimant requesting such advance or advances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20"/>
          <w:szCs w:val="20"/>
          <w:u w:val="single" w:color="auto"/>
          <w:color w:val="auto"/>
        </w:rPr>
        <w:t>Undertaking</w:t>
      </w:r>
      <w:r>
        <w:rPr>
          <w:rFonts w:ascii="Arial" w:cs="Arial" w:eastAsia="Arial" w:hAnsi="Arial"/>
          <w:sz w:val="20"/>
          <w:szCs w:val="20"/>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20"/>
          <w:szCs w:val="20"/>
          <w:u w:val="single" w:color="auto"/>
          <w:color w:val="auto"/>
        </w:rPr>
        <w:t>final disposition</w:t>
      </w:r>
      <w:r>
        <w:rPr>
          <w:rFonts w:ascii="Arial" w:cs="Arial" w:eastAsia="Arial" w:hAnsi="Arial"/>
          <w:sz w:val="20"/>
          <w:szCs w:val="20"/>
          <w:color w:val="auto"/>
        </w:rPr>
        <w:t>”) that such director or officer is not entitled to be indemnified for such expenses under this Bylaw or otherwise.</w:t>
      </w:r>
    </w:p>
    <w:p>
      <w:pPr>
        <w:spacing w:after="0" w:line="193" w:lineRule="exact"/>
        <w:rPr>
          <w:sz w:val="20"/>
          <w:szCs w:val="20"/>
          <w:color w:val="auto"/>
        </w:rPr>
      </w:pPr>
    </w:p>
    <w:p>
      <w:pPr>
        <w:jc w:val="both"/>
        <w:ind w:firstLine="656"/>
        <w:spacing w:after="0" w:line="259" w:lineRule="auto"/>
        <w:tabs>
          <w:tab w:leader="none" w:pos="113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Indemnification in Respect of Successful Defense</w:t>
      </w:r>
      <w:r>
        <w:rPr>
          <w:rFonts w:ascii="Arial" w:cs="Arial" w:eastAsia="Arial" w:hAnsi="Arial"/>
          <w:sz w:val="19"/>
          <w:szCs w:val="19"/>
          <w:color w:val="auto"/>
        </w:rPr>
        <w:t>. Any indemnification of a director or officer of the Corporation or advance of expenses (including attorneys’ fees, costs and charges) under Section 6.1(A)‒(B) shall be made promptly, and in any event within forty-five (45) days (or, in the case of an advance of expenses, twenty (20) days, provided that the director or officer has delivered the undertaking contemplated by Section 6.1(B)), upon the written request of the director or officer. If a determination by the Corporation that the director or officer is entitled to indemnification pursuant to this Section 6.1 is required, and the Corporation fails to respond within sixty days to a written request for indemnity, the Corporation shall be deemed to have approved the request.</w:t>
      </w:r>
    </w:p>
    <w:p>
      <w:pPr>
        <w:spacing w:after="0" w:line="178" w:lineRule="exact"/>
        <w:rPr>
          <w:rFonts w:ascii="Arial" w:cs="Arial" w:eastAsia="Arial" w:hAnsi="Arial"/>
          <w:sz w:val="19"/>
          <w:szCs w:val="19"/>
          <w:color w:val="auto"/>
        </w:rPr>
      </w:pPr>
    </w:p>
    <w:p>
      <w:pPr>
        <w:jc w:val="both"/>
        <w:ind w:firstLine="656"/>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To obtain indemnification under this Article VI,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a determination, if required by applicable law, with respect to the claimant’s entitlement thereto shall be made as follows: (1) by a majority of Disinterested Directors (as hereinafter defined), even though less than a quorum; or (2) by a committee of Disinterested Directors designated by majority vote of the Disinterested Directors, even though less than a quorum; or (3) if there are no Disinterested Directors, or if the Disinterested Directors so direct, by Independent Counsel (as hereinafter defined), in a written opinion to the Board of Directors, a copy of which shall be delivered to the claimant; or (4) if a majority of the Disinterested Directors so directs, by a majority vote of the stockholders of the Corporation. In the event the determination of entitlement to indemnification is to be made by Independent Counsel, the Independent Counsel shall be selected by the Disinterested Directors, unless there shall have occurred within two years prior to the date of the commencement of the Proceeding for which indemnification is claimed a “Change of Control” as defined in the Corporation’s 2021 Omnibus Incentive Compensation Plan, in which case the Independent Counsel shall be selected by the claimant, unless the claimant shall request that such selection be made by the Disinterested Directors. If it is so determined that the claimant is entitled to indemnification, payment to the claimant shall be made within ten (10) days after such determination. If a claim for indemnification under this Article VI is not paid in full by the Corporation within thirty (30) days after a written claim pursuant to Section 6.1(D) of these Bylaws has been received by the Corporation, or if a request for advancement of expenses under this Article VI is not paid in full by the Corporation within twenty (20) days after a statement pursuant to Section 6.1(B) of these Bylaws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60" w:lineRule="auto"/>
        <w:rPr>
          <w:sz w:val="20"/>
          <w:szCs w:val="20"/>
          <w:color w:val="auto"/>
        </w:rPr>
      </w:pPr>
      <w:r>
        <w:rPr>
          <w:rFonts w:ascii="Arial" w:cs="Arial" w:eastAsia="Arial" w:hAnsi="Arial"/>
          <w:sz w:val="19"/>
          <w:szCs w:val="19"/>
          <w:color w:val="auto"/>
        </w:rPr>
        <w:t>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80" w:lineRule="exact"/>
        <w:rPr>
          <w:sz w:val="20"/>
          <w:szCs w:val="20"/>
          <w:color w:val="auto"/>
        </w:rPr>
      </w:pPr>
    </w:p>
    <w:p>
      <w:pPr>
        <w:ind w:firstLine="656"/>
        <w:spacing w:after="0" w:line="316" w:lineRule="auto"/>
        <w:tabs>
          <w:tab w:leader="none" w:pos="12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6.1(D) of these Bylaws that the claimant is entitled to indemnification, the Corporation shall be bound by such determination in any judicial proceeding commenced pursuant to Section 6.1(D).</w:t>
      </w:r>
    </w:p>
    <w:p>
      <w:pPr>
        <w:spacing w:after="0" w:line="129" w:lineRule="exact"/>
        <w:rPr>
          <w:rFonts w:ascii="Arial" w:cs="Arial" w:eastAsia="Arial" w:hAnsi="Arial"/>
          <w:sz w:val="18"/>
          <w:szCs w:val="18"/>
          <w:color w:val="auto"/>
        </w:rPr>
      </w:pPr>
    </w:p>
    <w:p>
      <w:pPr>
        <w:jc w:val="both"/>
        <w:ind w:firstLine="656"/>
        <w:spacing w:after="0" w:line="250" w:lineRule="auto"/>
        <w:tabs>
          <w:tab w:leader="none" w:pos="1133"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Corporation shall be precluded from asserting in any judicial proceeding commenced pursuant to Section 6.1(D) that the procedures and presumptions of this Bylaw are not valid, binding and enforceable and shall stipulate in such proceeding that the Corporation is bound by all the provisions of this Bylaw.</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Contract Rights; Amendment and Repeal; Non-Exclusivity of Rights</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57" w:lineRule="auto"/>
        <w:tabs>
          <w:tab w:leader="none" w:pos="1147" w:val="left"/>
        </w:tabs>
        <w:numPr>
          <w:ilvl w:val="0"/>
          <w:numId w:val="25"/>
        </w:numPr>
        <w:rPr>
          <w:rFonts w:ascii="Arial" w:cs="Arial" w:eastAsia="Arial" w:hAnsi="Arial"/>
          <w:sz w:val="19"/>
          <w:szCs w:val="19"/>
          <w:color w:val="auto"/>
        </w:rPr>
      </w:pPr>
      <w:r>
        <w:rPr>
          <w:rFonts w:ascii="Arial" w:cs="Arial" w:eastAsia="Arial" w:hAnsi="Arial"/>
          <w:sz w:val="19"/>
          <w:szCs w:val="19"/>
          <w:color w:val="auto"/>
        </w:rPr>
        <w:t>All of the rights conferred in this Article VI,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VI that in any way diminishes or adversely affects any such rights shall be prospective only and shall not in any way diminish or adversely affect any such rights with respect to such person;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80" w:lineRule="exact"/>
        <w:rPr>
          <w:rFonts w:ascii="Arial" w:cs="Arial" w:eastAsia="Arial" w:hAnsi="Arial"/>
          <w:sz w:val="19"/>
          <w:szCs w:val="19"/>
          <w:color w:val="auto"/>
        </w:rPr>
      </w:pPr>
    </w:p>
    <w:p>
      <w:pPr>
        <w:jc w:val="both"/>
        <w:ind w:firstLine="656"/>
        <w:spacing w:after="0" w:line="243" w:lineRule="auto"/>
        <w:tabs>
          <w:tab w:leader="none" w:pos="11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All of the rights conferred in this Article VI, as to indemnification, advancement of expenses and otherwise: (i) shall not be exclusive of any other rights to which any person seeking indemnification or advancement of expenses may be entitled or hereafter acquire under any statute, provision of the Certificate of Incorporation,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w:t>
      </w:r>
    </w:p>
    <w:p>
      <w:pPr>
        <w:spacing w:after="0" w:line="19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6.3</w:t>
      </w:r>
      <w:r>
        <w:rPr>
          <w:sz w:val="20"/>
          <w:szCs w:val="20"/>
          <w:color w:val="auto"/>
        </w:rPr>
        <w:tab/>
      </w:r>
      <w:r>
        <w:rPr>
          <w:rFonts w:ascii="Arial" w:cs="Arial" w:eastAsia="Arial" w:hAnsi="Arial"/>
          <w:sz w:val="16"/>
          <w:szCs w:val="16"/>
          <w:u w:val="single" w:color="auto"/>
          <w:color w:val="auto"/>
        </w:rPr>
        <w:t>Insurance, Other Indemnification and Advancement of Expenses</w:t>
      </w:r>
      <w:r>
        <w:rPr>
          <w:rFonts w:ascii="Arial" w:cs="Arial" w:eastAsia="Arial" w:hAnsi="Arial"/>
          <w:sz w:val="16"/>
          <w:szCs w:val="16"/>
          <w:color w:val="auto"/>
        </w:rPr>
        <w:t>.</w:t>
      </w:r>
    </w:p>
    <w:p>
      <w:pPr>
        <w:spacing w:after="0" w:line="216" w:lineRule="exact"/>
        <w:rPr>
          <w:sz w:val="20"/>
          <w:szCs w:val="20"/>
          <w:color w:val="auto"/>
        </w:rPr>
      </w:pPr>
    </w:p>
    <w:p>
      <w:pPr>
        <w:ind w:right="180" w:firstLine="656"/>
        <w:spacing w:after="0" w:line="291" w:lineRule="auto"/>
        <w:tabs>
          <w:tab w:leader="none" w:pos="11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1" w:lineRule="exact"/>
        <w:rPr>
          <w:rFonts w:ascii="Arial" w:cs="Arial" w:eastAsia="Arial" w:hAnsi="Arial"/>
          <w:sz w:val="18"/>
          <w:szCs w:val="18"/>
          <w:color w:val="auto"/>
        </w:rPr>
      </w:pPr>
    </w:p>
    <w:p>
      <w:pPr>
        <w:jc w:val="both"/>
        <w:ind w:firstLine="656"/>
        <w:spacing w:after="0" w:line="291" w:lineRule="auto"/>
        <w:tabs>
          <w:tab w:leader="none" w:pos="11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may, to the extent authorized from time to time by the Board of Directors or the Chief Executive Officer, grant rights to indemnification and rights to advancement of expenses incurred in connection with any Proceeding in advance of its final disposition, to any current or former officer, employee or agent of the Corporation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9" w:right="339" w:bottom="1440" w:gutter="0" w:footer="0" w:header="0"/>
        </w:sectPr>
      </w:pPr>
    </w:p>
    <w:bookmarkStart w:id="34" w:name="page35"/>
    <w:bookmarkEnd w:id="34"/>
    <w:p>
      <w:pPr>
        <w:jc w:val="both"/>
        <w:ind w:firstLine="648"/>
        <w:spacing w:after="0" w:line="29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Notice</w:t>
      </w:r>
      <w:r>
        <w:rPr>
          <w:rFonts w:ascii="Arial" w:cs="Arial" w:eastAsia="Arial" w:hAnsi="Arial"/>
          <w:sz w:val="18"/>
          <w:szCs w:val="18"/>
          <w:color w:val="auto"/>
        </w:rPr>
        <w:t>. Any notice, request or other communication required or permitted to be given to the Corporation under this Article VI shall be in writing and either delivered in person or sent by telecopy, telex, telegram, overnight mail or courier service, or certified or registered mail, postage prepaid, return receipt requested, to the Secretary and shall be effective only upon receipt by the Secretary.</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6.5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provisions of this Article VI shall be held to be invalid, illegal or unenforceable for any reason whatsoever: (1) the validity, legality and enforceability of the remaining provisions of this Article VI (including, without limitation, each portion of any paragraph of this Article VI containing any such provision held to be invalid, illegal or unenforceable, that is not itself held to be invalid, illegal or unenforceable) shall not in any way be affected or impaired thereby; and (2) to the fullest extent possible, the provisions of this Article VI (including, without limitation, each such portion of any paragraph of this Article VI containing any such provision held to be invalid, illegal or unenforceable) shall be construed so as to give effect to the intent manifested by the provision held invalid, illegal or unenforceable.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begin on the first day of January and end on the thirty-first day of December of each year.</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Dividends</w:t>
      </w:r>
      <w:r>
        <w:rPr>
          <w:rFonts w:ascii="Arial" w:cs="Arial" w:eastAsia="Arial" w:hAnsi="Arial"/>
          <w:sz w:val="19"/>
          <w:szCs w:val="19"/>
          <w:color w:val="auto"/>
        </w:rPr>
        <w:t>. The Board of Directors may from time to time declare, and the Corporation may pay, dividends on its outstanding shares in the manner and upon the terms and conditions provided by law and the Certificate of Incorporation.</w:t>
      </w:r>
    </w:p>
    <w:p>
      <w:pPr>
        <w:spacing w:after="0" w:line="15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inscribed thereon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to any stockholder or director 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Audits</w:t>
      </w:r>
      <w:r>
        <w:rPr>
          <w:rFonts w:ascii="Arial" w:cs="Arial" w:eastAsia="Arial" w:hAnsi="Arial"/>
          <w:sz w:val="20"/>
          <w:szCs w:val="20"/>
          <w:color w:val="auto"/>
        </w:rPr>
        <w:t>. The accounts, books and records of the Corporation shall be audited upon the conclusion of each fiscal year by an independent certified public accountant selected by the Board of Directors.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Resignations</w:t>
      </w:r>
      <w:r>
        <w:rPr>
          <w:rFonts w:ascii="Arial" w:cs="Arial" w:eastAsia="Arial" w:hAnsi="Arial"/>
          <w:sz w:val="20"/>
          <w:szCs w:val="20"/>
          <w:color w:val="auto"/>
        </w:rPr>
        <w:t>. Any director or any officer, whether elected or appointed, may resign at any time by giving written notice of such resignation to the Chairman of the Board or the Secretary, and such resignation shall be deemed to be effective as of the close of business on the date said notice is received by the Chairman of the Board or the Secretary, or at such later time as is specified therein. Except to the extent specified in such notice, no formal action shall be required of the Board of Directors or the stockholders to make any such resignation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9" w:right="339" w:bottom="1440" w:gutter="0" w:footer="0" w:header="0"/>
        </w:sectPr>
      </w:pPr>
    </w:p>
    <w:bookmarkStart w:id="35" w:name="page36"/>
    <w:bookmarkEnd w:id="35"/>
    <w:p>
      <w:pPr>
        <w:jc w:val="both"/>
        <w:ind w:firstLine="648"/>
        <w:spacing w:after="0" w:line="243"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Reliance on Reports and Experts</w:t>
      </w:r>
      <w:r>
        <w:rPr>
          <w:rFonts w:ascii="Arial" w:cs="Arial" w:eastAsia="Arial" w:hAnsi="Arial"/>
          <w:sz w:val="20"/>
          <w:szCs w:val="20"/>
          <w:color w:val="auto"/>
        </w:rPr>
        <w:t>. To the fullest extent authorized by the DGCL, as the same exists or may hereafter be amended, a member of the Board, or a member of any Committee designated by the Board, shall, in the performance of such member’s duties, be fully protected in relying in good faith upon the records of the Corporation and upon such information, opinions, reports or statements presented to the Corporation by any of its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9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these Bylaws:</w:t>
      </w:r>
    </w:p>
    <w:p>
      <w:pPr>
        <w:spacing w:after="0" w:line="243" w:lineRule="exact"/>
        <w:rPr>
          <w:sz w:val="20"/>
          <w:szCs w:val="20"/>
          <w:color w:val="auto"/>
        </w:rPr>
      </w:pPr>
    </w:p>
    <w:p>
      <w:pPr>
        <w:jc w:val="both"/>
        <w:ind w:left="660" w:right="240" w:firstLine="644"/>
        <w:spacing w:after="0" w:line="238" w:lineRule="auto"/>
        <w:tabs>
          <w:tab w:leader="none" w:pos="1776" w:val="left"/>
        </w:tabs>
        <w:numPr>
          <w:ilvl w:val="0"/>
          <w:numId w:val="2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and “</w:t>
      </w:r>
      <w:r>
        <w:rPr>
          <w:rFonts w:ascii="Arial" w:cs="Arial" w:eastAsia="Arial" w:hAnsi="Arial"/>
          <w:sz w:val="20"/>
          <w:szCs w:val="20"/>
          <w:u w:val="single" w:color="auto"/>
          <w:color w:val="auto"/>
        </w:rPr>
        <w:t>Associate</w:t>
      </w:r>
      <w:r>
        <w:rPr>
          <w:rFonts w:ascii="Arial" w:cs="Arial" w:eastAsia="Arial" w:hAnsi="Arial"/>
          <w:sz w:val="20"/>
          <w:szCs w:val="20"/>
          <w:color w:val="auto"/>
        </w:rPr>
        <w:t xml:space="preserve">” shall have the meanings ascribed thereto in Rule 405 under the Exchange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“partner” as used in the definition of “associate” shall not include any limited partner that is not involved in the management of the relevant partnership.</w:t>
      </w:r>
    </w:p>
    <w:p>
      <w:pPr>
        <w:spacing w:after="0" w:line="224" w:lineRule="exact"/>
        <w:rPr>
          <w:rFonts w:ascii="Arial" w:cs="Arial" w:eastAsia="Arial" w:hAnsi="Arial"/>
          <w:sz w:val="22"/>
          <w:szCs w:val="22"/>
          <w:color w:val="auto"/>
        </w:rPr>
      </w:pPr>
    </w:p>
    <w:p>
      <w:pPr>
        <w:ind w:left="660" w:right="20" w:firstLine="644"/>
        <w:spacing w:after="0" w:line="238" w:lineRule="auto"/>
        <w:tabs>
          <w:tab w:leader="none" w:pos="1789" w:val="left"/>
        </w:tabs>
        <w:numPr>
          <w:ilvl w:val="0"/>
          <w:numId w:val="2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Disinterested Director</w:t>
      </w:r>
      <w:r>
        <w:rPr>
          <w:rFonts w:ascii="Arial" w:cs="Arial" w:eastAsia="Arial" w:hAnsi="Arial"/>
          <w:sz w:val="20"/>
          <w:szCs w:val="20"/>
          <w:color w:val="auto"/>
        </w:rPr>
        <w:t>” means a director of the Corporation who is not and was not a party to the matter in respect of which indemnification is sought by the claimant.</w:t>
      </w:r>
    </w:p>
    <w:p>
      <w:pPr>
        <w:spacing w:after="0" w:line="223" w:lineRule="exact"/>
        <w:rPr>
          <w:rFonts w:ascii="Arial" w:cs="Arial" w:eastAsia="Arial" w:hAnsi="Arial"/>
          <w:sz w:val="22"/>
          <w:szCs w:val="22"/>
          <w:color w:val="auto"/>
        </w:rPr>
      </w:pPr>
    </w:p>
    <w:p>
      <w:pPr>
        <w:jc w:val="both"/>
        <w:ind w:left="660" w:firstLine="644"/>
        <w:spacing w:after="0" w:line="238" w:lineRule="auto"/>
        <w:tabs>
          <w:tab w:leader="none" w:pos="1803" w:val="left"/>
        </w:tabs>
        <w:numPr>
          <w:ilvl w:val="0"/>
          <w:numId w:val="2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Independent Counsel</w:t>
      </w:r>
      <w:r>
        <w:rPr>
          <w:rFonts w:ascii="Arial" w:cs="Arial" w:eastAsia="Arial" w:hAnsi="Arial"/>
          <w:sz w:val="20"/>
          <w:szCs w:val="20"/>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these Bylaws.</w:t>
      </w:r>
    </w:p>
    <w:p>
      <w:pPr>
        <w:spacing w:after="0" w:line="225" w:lineRule="exact"/>
        <w:rPr>
          <w:rFonts w:ascii="Arial" w:cs="Arial" w:eastAsia="Arial" w:hAnsi="Arial"/>
          <w:sz w:val="22"/>
          <w:szCs w:val="22"/>
          <w:color w:val="auto"/>
        </w:rPr>
      </w:pPr>
    </w:p>
    <w:p>
      <w:pPr>
        <w:ind w:left="660" w:firstLine="644"/>
        <w:spacing w:after="0" w:line="238" w:lineRule="auto"/>
        <w:tabs>
          <w:tab w:leader="none" w:pos="1803" w:val="left"/>
        </w:tabs>
        <w:numPr>
          <w:ilvl w:val="0"/>
          <w:numId w:val="2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shall mean the outstanding shares of capital stock of the Corporation entitled to vote generally for the election of directors.</w:t>
      </w:r>
    </w:p>
    <w:p>
      <w:pPr>
        <w:spacing w:after="0" w:line="223" w:lineRule="exact"/>
        <w:rPr>
          <w:rFonts w:ascii="Arial" w:cs="Arial" w:eastAsia="Arial" w:hAnsi="Arial"/>
          <w:sz w:val="22"/>
          <w:szCs w:val="22"/>
          <w:color w:val="auto"/>
        </w:rPr>
      </w:pPr>
    </w:p>
    <w:p>
      <w:pPr>
        <w:jc w:val="both"/>
        <w:ind w:left="660" w:firstLine="644"/>
        <w:spacing w:after="0" w:line="238" w:lineRule="auto"/>
        <w:tabs>
          <w:tab w:leader="none" w:pos="1803" w:val="left"/>
        </w:tabs>
        <w:numPr>
          <w:ilvl w:val="0"/>
          <w:numId w:val="2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Announcement</w:t>
      </w:r>
      <w:r>
        <w:rPr>
          <w:rFonts w:ascii="Arial" w:cs="Arial" w:eastAsia="Arial" w:hAnsi="Arial"/>
          <w:sz w:val="20"/>
          <w:szCs w:val="20"/>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CONTRACTS, PROXIES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Contracts</w:t>
      </w:r>
      <w:r>
        <w:rPr>
          <w:rFonts w:ascii="Arial" w:cs="Arial" w:eastAsia="Arial" w:hAnsi="Arial"/>
          <w:sz w:val="19"/>
          <w:szCs w:val="19"/>
          <w:color w:val="auto"/>
        </w:rPr>
        <w:t>.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may determine. The Chairman of the Board, the Chief Executive Officer or the President of the Corporation may execute bonds, contracts, deeds, leases and other instruments to be made or executed by or on behalf of the Corporation. Subject to any restrictions imposed by the Board of Directors, the Chairman of the Board, the Chief Executive Officer or the President of the Corporation may delegate contractual powers to others under his jurisdiction, it being understood, however, that any such delegation of power shall not relieve such officer of responsibility with respect to the exercise of such delegated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9" w:right="339" w:bottom="1440" w:gutter="0" w:footer="0" w:header="0"/>
        </w:sectPr>
      </w:pPr>
    </w:p>
    <w:bookmarkStart w:id="36" w:name="page37"/>
    <w:bookmarkEnd w:id="36"/>
    <w:p>
      <w:pPr>
        <w:jc w:val="both"/>
        <w:ind w:firstLine="648"/>
        <w:spacing w:after="0" w:line="27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Proxies</w:t>
      </w:r>
      <w:r>
        <w:rPr>
          <w:rFonts w:ascii="Arial" w:cs="Arial" w:eastAsia="Arial" w:hAnsi="Arial"/>
          <w:sz w:val="18"/>
          <w:szCs w:val="18"/>
          <w:color w:val="auto"/>
        </w:rPr>
        <w:t>. Unless otherwise provided by resolution adopted by the Board of Directors, the Chairman of the Board, the Chief Executive Officer, the President or any Vice President may from time to time appoint an attorney or attorneys or agent or agents of the Corporation, in the name and on behalf of the Corporation, to cast the votes which the Corporation may be entitled to cast as the holder of stock or other securities in any other corporation, any of whose stock or other securities may be held by the Corporation, at meetings of the holders of the stock or other securities of such other corporation, or to consent in writing, in the name of the Corporation as such holder, to any action by such other corporation,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2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216" w:lineRule="exact"/>
        <w:rPr>
          <w:sz w:val="20"/>
          <w:szCs w:val="20"/>
          <w:color w:val="auto"/>
        </w:rPr>
      </w:pPr>
    </w:p>
    <w:p>
      <w:pPr>
        <w:jc w:val="both"/>
        <w:ind w:firstLine="656"/>
        <w:spacing w:after="0" w:line="246" w:lineRule="auto"/>
        <w:tabs>
          <w:tab w:leader="none" w:pos="1174"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By the Stockholders</w:t>
      </w:r>
      <w:r>
        <w:rPr>
          <w:rFonts w:ascii="Arial" w:cs="Arial" w:eastAsia="Arial" w:hAnsi="Arial"/>
          <w:sz w:val="20"/>
          <w:szCs w:val="20"/>
          <w:color w:val="auto"/>
        </w:rPr>
        <w:t>. Subject to the provisions of the Certificate of Incorporation, these Bylaws may be altered, amended or repealed, or new Bylaws enacted, at any special meeting of the stockholders if duly called for that purpose (provided that in the notice of such special meeting, notice of such purpose shall be given), or at any annual meeting, by the affirmative vote of the holders of a majority of the Voting Stock.</w:t>
      </w:r>
    </w:p>
    <w:p>
      <w:pPr>
        <w:spacing w:after="0" w:line="191" w:lineRule="exact"/>
        <w:rPr>
          <w:rFonts w:ascii="Arial" w:cs="Arial" w:eastAsia="Arial" w:hAnsi="Arial"/>
          <w:sz w:val="20"/>
          <w:szCs w:val="20"/>
          <w:color w:val="auto"/>
        </w:rPr>
      </w:pPr>
    </w:p>
    <w:p>
      <w:pPr>
        <w:ind w:firstLine="656"/>
        <w:spacing w:after="0" w:line="260" w:lineRule="auto"/>
        <w:tabs>
          <w:tab w:leader="none" w:pos="117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By the Board of Directors</w:t>
      </w:r>
      <w:r>
        <w:rPr>
          <w:rFonts w:ascii="Arial" w:cs="Arial" w:eastAsia="Arial" w:hAnsi="Arial"/>
          <w:sz w:val="20"/>
          <w:szCs w:val="20"/>
          <w:color w:val="auto"/>
        </w:rPr>
        <w:t>. Subject to the laws of the State of Delaware, the Certificate of Incorporation and these Bylaws, these Bylaws may also be altered, amended or repealed, or new Bylaws enacted, by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CONSTRUCTION</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Construction</w:t>
      </w:r>
      <w:r>
        <w:rPr>
          <w:rFonts w:ascii="Arial" w:cs="Arial" w:eastAsia="Arial" w:hAnsi="Arial"/>
          <w:sz w:val="20"/>
          <w:szCs w:val="20"/>
          <w:color w:val="auto"/>
        </w:rPr>
        <w:t>. In the event of any conflict between the provisions of these Bylaws as in effect from time to time and the provisions of the Certificate of Incorporation of the Corporation as in effect from time to time, the provisions of such Certificate of Incorporation shall be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4.1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1797685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GXO LOGISTICS, INC.</w:t>
      </w:r>
    </w:p>
    <w:p>
      <w:pPr>
        <w:spacing w:after="0" w:line="200" w:lineRule="exact"/>
        <w:rPr>
          <w:sz w:val="20"/>
          <w:szCs w:val="20"/>
          <w:color w:val="auto"/>
        </w:rPr>
      </w:pPr>
    </w:p>
    <w:p>
      <w:pPr>
        <w:spacing w:after="0" w:line="24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DEBT SECURITIES</w:t>
      </w:r>
    </w:p>
    <w:p>
      <w:pPr>
        <w:spacing w:after="0" w:line="200" w:lineRule="exact"/>
        <w:rPr>
          <w:sz w:val="20"/>
          <w:szCs w:val="20"/>
          <w:color w:val="auto"/>
        </w:rPr>
      </w:pPr>
    </w:p>
    <w:p>
      <w:pPr>
        <w:spacing w:after="0" w:line="23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INDENTURE</w:t>
      </w: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Dated as of July 2, 2021</w:t>
      </w:r>
    </w:p>
    <w:p>
      <w:pPr>
        <w:spacing w:after="0" w:line="200" w:lineRule="exact"/>
        <w:rPr>
          <w:sz w:val="20"/>
          <w:szCs w:val="20"/>
          <w:color w:val="auto"/>
        </w:rPr>
      </w:pPr>
    </w:p>
    <w:p>
      <w:pPr>
        <w:spacing w:after="0" w:line="236"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WELLS FARGO BANK, NATIONAL ASSOCIATION,</w:t>
      </w:r>
    </w:p>
    <w:p>
      <w:pPr>
        <w:spacing w:after="0" w:line="200" w:lineRule="exact"/>
        <w:rPr>
          <w:sz w:val="20"/>
          <w:szCs w:val="20"/>
          <w:color w:val="auto"/>
        </w:rPr>
      </w:pPr>
    </w:p>
    <w:p>
      <w:pPr>
        <w:spacing w:after="0" w:line="236"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315595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341630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80"/>
        </w:trPr>
        <w:tc>
          <w:tcPr>
            <w:tcW w:w="2480" w:type="dxa"/>
            <w:vAlign w:val="bottom"/>
          </w:tcPr>
          <w:p>
            <w:pPr>
              <w:spacing w:after="0"/>
              <w:rPr>
                <w:sz w:val="24"/>
                <w:szCs w:val="24"/>
                <w:color w:val="auto"/>
              </w:rPr>
            </w:pPr>
          </w:p>
        </w:tc>
        <w:tc>
          <w:tcPr>
            <w:tcW w:w="8720" w:type="dxa"/>
            <w:vAlign w:val="bottom"/>
          </w:tcPr>
          <w:p>
            <w:pPr>
              <w:jc w:val="right"/>
              <w:ind w:right="4032"/>
              <w:spacing w:after="0"/>
              <w:rPr>
                <w:sz w:val="20"/>
                <w:szCs w:val="20"/>
                <w:color w:val="auto"/>
              </w:rPr>
            </w:pPr>
            <w:r>
              <w:rPr>
                <w:rFonts w:ascii="Arial" w:cs="Arial" w:eastAsia="Arial" w:hAnsi="Arial"/>
                <w:sz w:val="22"/>
                <w:szCs w:val="22"/>
                <w:b w:val="1"/>
                <w:bCs w:val="1"/>
                <w:color w:val="auto"/>
              </w:rPr>
              <w:t>CROSS-REFERENCE TABLE</w:t>
            </w:r>
          </w:p>
        </w:tc>
      </w:tr>
      <w:tr>
        <w:trPr>
          <w:trHeight w:val="419"/>
        </w:trPr>
        <w:tc>
          <w:tcPr>
            <w:tcW w:w="2480" w:type="dxa"/>
            <w:vAlign w:val="bottom"/>
          </w:tcPr>
          <w:p>
            <w:pPr>
              <w:spacing w:after="0"/>
              <w:rPr>
                <w:sz w:val="24"/>
                <w:szCs w:val="24"/>
                <w:color w:val="auto"/>
              </w:rPr>
            </w:pPr>
          </w:p>
        </w:tc>
        <w:tc>
          <w:tcPr>
            <w:tcW w:w="8720" w:type="dxa"/>
            <w:vAlign w:val="bottom"/>
          </w:tcPr>
          <w:p>
            <w:pPr>
              <w:jc w:val="right"/>
              <w:ind w:right="3032"/>
              <w:spacing w:after="0"/>
              <w:rPr>
                <w:sz w:val="20"/>
                <w:szCs w:val="20"/>
                <w:color w:val="auto"/>
              </w:rPr>
            </w:pPr>
            <w:r>
              <w:rPr>
                <w:rFonts w:ascii="Arial" w:cs="Arial" w:eastAsia="Arial" w:hAnsi="Arial"/>
                <w:sz w:val="22"/>
                <w:szCs w:val="22"/>
                <w:color w:val="auto"/>
                <w:w w:val="99"/>
              </w:rPr>
              <w:t>This Cross-Reference Table is not a part of the Indenture</w:t>
            </w:r>
          </w:p>
        </w:tc>
      </w:tr>
      <w:tr>
        <w:trPr>
          <w:trHeight w:val="472"/>
        </w:trPr>
        <w:tc>
          <w:tcPr>
            <w:tcW w:w="2480" w:type="dxa"/>
            <w:vAlign w:val="bottom"/>
          </w:tcPr>
          <w:p>
            <w:pPr>
              <w:spacing w:after="0"/>
              <w:rPr>
                <w:sz w:val="20"/>
                <w:szCs w:val="20"/>
                <w:color w:val="auto"/>
              </w:rPr>
            </w:pPr>
            <w:r>
              <w:rPr>
                <w:rFonts w:ascii="Arial" w:cs="Arial" w:eastAsia="Arial" w:hAnsi="Arial"/>
                <w:sz w:val="22"/>
                <w:szCs w:val="22"/>
                <w:b w:val="1"/>
                <w:bCs w:val="1"/>
                <w:color w:val="auto"/>
              </w:rPr>
              <w:t>TIA Section</w:t>
            </w:r>
          </w:p>
        </w:tc>
        <w:tc>
          <w:tcPr>
            <w:tcW w:w="8720" w:type="dxa"/>
            <w:vAlign w:val="bottom"/>
          </w:tcPr>
          <w:p>
            <w:pPr>
              <w:jc w:val="right"/>
              <w:spacing w:after="0"/>
              <w:rPr>
                <w:sz w:val="20"/>
                <w:szCs w:val="20"/>
                <w:color w:val="auto"/>
              </w:rPr>
            </w:pPr>
            <w:r>
              <w:rPr>
                <w:rFonts w:ascii="Arial" w:cs="Arial" w:eastAsia="Arial" w:hAnsi="Arial"/>
                <w:sz w:val="22"/>
                <w:szCs w:val="22"/>
                <w:b w:val="1"/>
                <w:bCs w:val="1"/>
                <w:color w:val="auto"/>
              </w:rPr>
              <w:t>Indenture Section</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310(a)(1)</w:t>
            </w:r>
          </w:p>
        </w:tc>
        <w:tc>
          <w:tcPr>
            <w:tcW w:w="8720" w:type="dxa"/>
            <w:vAlign w:val="bottom"/>
          </w:tcPr>
          <w:p>
            <w:pPr>
              <w:jc w:val="right"/>
              <w:spacing w:after="0"/>
              <w:rPr>
                <w:sz w:val="20"/>
                <w:szCs w:val="20"/>
                <w:color w:val="auto"/>
              </w:rPr>
            </w:pPr>
            <w:r>
              <w:rPr>
                <w:rFonts w:ascii="Arial" w:cs="Arial" w:eastAsia="Arial" w:hAnsi="Arial"/>
                <w:sz w:val="22"/>
                <w:szCs w:val="22"/>
                <w:color w:val="auto"/>
              </w:rPr>
              <w:t>7.10</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(a)(2)</w:t>
            </w:r>
          </w:p>
        </w:tc>
        <w:tc>
          <w:tcPr>
            <w:tcW w:w="8720" w:type="dxa"/>
            <w:vAlign w:val="bottom"/>
          </w:tcPr>
          <w:p>
            <w:pPr>
              <w:jc w:val="right"/>
              <w:spacing w:after="0"/>
              <w:rPr>
                <w:sz w:val="20"/>
                <w:szCs w:val="20"/>
                <w:color w:val="auto"/>
              </w:rPr>
            </w:pPr>
            <w:r>
              <w:rPr>
                <w:rFonts w:ascii="Arial" w:cs="Arial" w:eastAsia="Arial" w:hAnsi="Arial"/>
                <w:sz w:val="22"/>
                <w:szCs w:val="22"/>
                <w:color w:val="auto"/>
              </w:rPr>
              <w:t>7.10</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(a)(3)</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(a)(4)</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7.08; 7.10; 11.02</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311(a)</w:t>
            </w:r>
          </w:p>
        </w:tc>
        <w:tc>
          <w:tcPr>
            <w:tcW w:w="8720" w:type="dxa"/>
            <w:vAlign w:val="bottom"/>
          </w:tcPr>
          <w:p>
            <w:pPr>
              <w:jc w:val="right"/>
              <w:spacing w:after="0"/>
              <w:rPr>
                <w:sz w:val="20"/>
                <w:szCs w:val="20"/>
                <w:color w:val="auto"/>
              </w:rPr>
            </w:pPr>
            <w:r>
              <w:rPr>
                <w:rFonts w:ascii="Arial" w:cs="Arial" w:eastAsia="Arial" w:hAnsi="Arial"/>
                <w:sz w:val="22"/>
                <w:szCs w:val="22"/>
                <w:color w:val="auto"/>
              </w:rPr>
              <w:t>7.11</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7.11</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312(a)</w:t>
            </w:r>
          </w:p>
        </w:tc>
        <w:tc>
          <w:tcPr>
            <w:tcW w:w="8720" w:type="dxa"/>
            <w:vAlign w:val="bottom"/>
          </w:tcPr>
          <w:p>
            <w:pPr>
              <w:jc w:val="right"/>
              <w:spacing w:after="0"/>
              <w:rPr>
                <w:sz w:val="20"/>
                <w:szCs w:val="20"/>
                <w:color w:val="auto"/>
              </w:rPr>
            </w:pPr>
            <w:r>
              <w:rPr>
                <w:rFonts w:ascii="Arial" w:cs="Arial" w:eastAsia="Arial" w:hAnsi="Arial"/>
                <w:sz w:val="22"/>
                <w:szCs w:val="22"/>
                <w:color w:val="auto"/>
              </w:rPr>
              <w:t>2.05</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11.03</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(c)</w:t>
            </w:r>
          </w:p>
        </w:tc>
        <w:tc>
          <w:tcPr>
            <w:tcW w:w="8720" w:type="dxa"/>
            <w:vAlign w:val="bottom"/>
          </w:tcPr>
          <w:p>
            <w:pPr>
              <w:jc w:val="right"/>
              <w:spacing w:after="0"/>
              <w:rPr>
                <w:sz w:val="20"/>
                <w:szCs w:val="20"/>
                <w:color w:val="auto"/>
              </w:rPr>
            </w:pPr>
            <w:r>
              <w:rPr>
                <w:rFonts w:ascii="Arial" w:cs="Arial" w:eastAsia="Arial" w:hAnsi="Arial"/>
                <w:sz w:val="22"/>
                <w:szCs w:val="22"/>
                <w:color w:val="auto"/>
              </w:rPr>
              <w:t>11.03</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313(a)</w:t>
            </w:r>
          </w:p>
        </w:tc>
        <w:tc>
          <w:tcPr>
            <w:tcW w:w="8720" w:type="dxa"/>
            <w:vAlign w:val="bottom"/>
          </w:tcPr>
          <w:p>
            <w:pPr>
              <w:jc w:val="right"/>
              <w:spacing w:after="0"/>
              <w:rPr>
                <w:sz w:val="20"/>
                <w:szCs w:val="20"/>
                <w:color w:val="auto"/>
              </w:rPr>
            </w:pPr>
            <w:r>
              <w:rPr>
                <w:rFonts w:ascii="Arial" w:cs="Arial" w:eastAsia="Arial" w:hAnsi="Arial"/>
                <w:sz w:val="22"/>
                <w:szCs w:val="22"/>
                <w:color w:val="auto"/>
              </w:rPr>
              <w:t>7.06</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(b)(1)</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(b)(2)</w:t>
            </w:r>
          </w:p>
        </w:tc>
        <w:tc>
          <w:tcPr>
            <w:tcW w:w="8720" w:type="dxa"/>
            <w:vAlign w:val="bottom"/>
          </w:tcPr>
          <w:p>
            <w:pPr>
              <w:jc w:val="right"/>
              <w:spacing w:after="0"/>
              <w:rPr>
                <w:sz w:val="20"/>
                <w:szCs w:val="20"/>
                <w:color w:val="auto"/>
              </w:rPr>
            </w:pPr>
            <w:r>
              <w:rPr>
                <w:rFonts w:ascii="Arial" w:cs="Arial" w:eastAsia="Arial" w:hAnsi="Arial"/>
                <w:sz w:val="22"/>
                <w:szCs w:val="22"/>
                <w:color w:val="auto"/>
              </w:rPr>
              <w:t>7.06</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(c)</w:t>
            </w:r>
          </w:p>
        </w:tc>
        <w:tc>
          <w:tcPr>
            <w:tcW w:w="8720" w:type="dxa"/>
            <w:vAlign w:val="bottom"/>
          </w:tcPr>
          <w:p>
            <w:pPr>
              <w:jc w:val="right"/>
              <w:spacing w:after="0"/>
              <w:rPr>
                <w:sz w:val="20"/>
                <w:szCs w:val="20"/>
                <w:color w:val="auto"/>
              </w:rPr>
            </w:pPr>
            <w:r>
              <w:rPr>
                <w:rFonts w:ascii="Arial" w:cs="Arial" w:eastAsia="Arial" w:hAnsi="Arial"/>
                <w:sz w:val="22"/>
                <w:szCs w:val="22"/>
                <w:color w:val="auto"/>
              </w:rPr>
              <w:t>11.02</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(d)</w:t>
            </w:r>
          </w:p>
        </w:tc>
        <w:tc>
          <w:tcPr>
            <w:tcW w:w="8720" w:type="dxa"/>
            <w:vAlign w:val="bottom"/>
          </w:tcPr>
          <w:p>
            <w:pPr>
              <w:jc w:val="right"/>
              <w:spacing w:after="0"/>
              <w:rPr>
                <w:sz w:val="20"/>
                <w:szCs w:val="20"/>
                <w:color w:val="auto"/>
              </w:rPr>
            </w:pPr>
            <w:r>
              <w:rPr>
                <w:rFonts w:ascii="Arial" w:cs="Arial" w:eastAsia="Arial" w:hAnsi="Arial"/>
                <w:sz w:val="22"/>
                <w:szCs w:val="22"/>
                <w:color w:val="auto"/>
              </w:rPr>
              <w:t>7.06</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314(a)</w:t>
            </w:r>
          </w:p>
        </w:tc>
        <w:tc>
          <w:tcPr>
            <w:tcW w:w="8720" w:type="dxa"/>
            <w:vAlign w:val="bottom"/>
          </w:tcPr>
          <w:p>
            <w:pPr>
              <w:jc w:val="right"/>
              <w:spacing w:after="0"/>
              <w:rPr>
                <w:sz w:val="20"/>
                <w:szCs w:val="20"/>
                <w:color w:val="auto"/>
              </w:rPr>
            </w:pPr>
            <w:r>
              <w:rPr>
                <w:rFonts w:ascii="Arial" w:cs="Arial" w:eastAsia="Arial" w:hAnsi="Arial"/>
                <w:sz w:val="22"/>
                <w:szCs w:val="22"/>
                <w:color w:val="auto"/>
              </w:rPr>
              <w:t>4.03; 11.02</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(c)(1)</w:t>
            </w:r>
          </w:p>
        </w:tc>
        <w:tc>
          <w:tcPr>
            <w:tcW w:w="8720" w:type="dxa"/>
            <w:vAlign w:val="bottom"/>
          </w:tcPr>
          <w:p>
            <w:pPr>
              <w:jc w:val="right"/>
              <w:spacing w:after="0"/>
              <w:rPr>
                <w:sz w:val="20"/>
                <w:szCs w:val="20"/>
                <w:color w:val="auto"/>
              </w:rPr>
            </w:pPr>
            <w:r>
              <w:rPr>
                <w:rFonts w:ascii="Arial" w:cs="Arial" w:eastAsia="Arial" w:hAnsi="Arial"/>
                <w:sz w:val="22"/>
                <w:szCs w:val="22"/>
                <w:color w:val="auto"/>
              </w:rPr>
              <w:t>11.04</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(c)(2)</w:t>
            </w:r>
          </w:p>
        </w:tc>
        <w:tc>
          <w:tcPr>
            <w:tcW w:w="8720" w:type="dxa"/>
            <w:vAlign w:val="bottom"/>
          </w:tcPr>
          <w:p>
            <w:pPr>
              <w:jc w:val="right"/>
              <w:spacing w:after="0"/>
              <w:rPr>
                <w:sz w:val="20"/>
                <w:szCs w:val="20"/>
                <w:color w:val="auto"/>
              </w:rPr>
            </w:pPr>
            <w:r>
              <w:rPr>
                <w:rFonts w:ascii="Arial" w:cs="Arial" w:eastAsia="Arial" w:hAnsi="Arial"/>
                <w:sz w:val="22"/>
                <w:szCs w:val="22"/>
                <w:color w:val="auto"/>
              </w:rPr>
              <w:t>11.04</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(c)(3)</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(d)</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(e)</w:t>
            </w:r>
          </w:p>
        </w:tc>
        <w:tc>
          <w:tcPr>
            <w:tcW w:w="8720" w:type="dxa"/>
            <w:vAlign w:val="bottom"/>
          </w:tcPr>
          <w:p>
            <w:pPr>
              <w:jc w:val="right"/>
              <w:spacing w:after="0"/>
              <w:rPr>
                <w:sz w:val="20"/>
                <w:szCs w:val="20"/>
                <w:color w:val="auto"/>
              </w:rPr>
            </w:pPr>
            <w:r>
              <w:rPr>
                <w:rFonts w:ascii="Arial" w:cs="Arial" w:eastAsia="Arial" w:hAnsi="Arial"/>
                <w:sz w:val="22"/>
                <w:szCs w:val="22"/>
                <w:color w:val="auto"/>
              </w:rPr>
              <w:t>11.05</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315(a)</w:t>
            </w:r>
          </w:p>
        </w:tc>
        <w:tc>
          <w:tcPr>
            <w:tcW w:w="8720" w:type="dxa"/>
            <w:vAlign w:val="bottom"/>
          </w:tcPr>
          <w:p>
            <w:pPr>
              <w:jc w:val="right"/>
              <w:spacing w:after="0"/>
              <w:rPr>
                <w:sz w:val="20"/>
                <w:szCs w:val="20"/>
                <w:color w:val="auto"/>
              </w:rPr>
            </w:pPr>
            <w:r>
              <w:rPr>
                <w:rFonts w:ascii="Arial" w:cs="Arial" w:eastAsia="Arial" w:hAnsi="Arial"/>
                <w:sz w:val="22"/>
                <w:szCs w:val="22"/>
                <w:color w:val="auto"/>
              </w:rPr>
              <w:t>7.01(b)</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7.05; 11.02</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(c)</w:t>
            </w:r>
          </w:p>
        </w:tc>
        <w:tc>
          <w:tcPr>
            <w:tcW w:w="8720" w:type="dxa"/>
            <w:vAlign w:val="bottom"/>
          </w:tcPr>
          <w:p>
            <w:pPr>
              <w:jc w:val="right"/>
              <w:spacing w:after="0"/>
              <w:rPr>
                <w:sz w:val="20"/>
                <w:szCs w:val="20"/>
                <w:color w:val="auto"/>
              </w:rPr>
            </w:pPr>
            <w:r>
              <w:rPr>
                <w:rFonts w:ascii="Arial" w:cs="Arial" w:eastAsia="Arial" w:hAnsi="Arial"/>
                <w:sz w:val="22"/>
                <w:szCs w:val="22"/>
                <w:color w:val="auto"/>
              </w:rPr>
              <w:t>7.01(a)</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(d)</w:t>
            </w:r>
          </w:p>
        </w:tc>
        <w:tc>
          <w:tcPr>
            <w:tcW w:w="8720" w:type="dxa"/>
            <w:vAlign w:val="bottom"/>
          </w:tcPr>
          <w:p>
            <w:pPr>
              <w:jc w:val="right"/>
              <w:spacing w:after="0"/>
              <w:rPr>
                <w:sz w:val="20"/>
                <w:szCs w:val="20"/>
                <w:color w:val="auto"/>
              </w:rPr>
            </w:pPr>
            <w:r>
              <w:rPr>
                <w:rFonts w:ascii="Arial" w:cs="Arial" w:eastAsia="Arial" w:hAnsi="Arial"/>
                <w:sz w:val="22"/>
                <w:szCs w:val="22"/>
                <w:color w:val="auto"/>
              </w:rPr>
              <w:t>7.01(c)</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(e)</w:t>
            </w:r>
          </w:p>
        </w:tc>
        <w:tc>
          <w:tcPr>
            <w:tcW w:w="8720" w:type="dxa"/>
            <w:vAlign w:val="bottom"/>
          </w:tcPr>
          <w:p>
            <w:pPr>
              <w:jc w:val="right"/>
              <w:spacing w:after="0"/>
              <w:rPr>
                <w:sz w:val="20"/>
                <w:szCs w:val="20"/>
                <w:color w:val="auto"/>
              </w:rPr>
            </w:pPr>
            <w:r>
              <w:rPr>
                <w:rFonts w:ascii="Arial" w:cs="Arial" w:eastAsia="Arial" w:hAnsi="Arial"/>
                <w:sz w:val="22"/>
                <w:szCs w:val="22"/>
                <w:color w:val="auto"/>
              </w:rPr>
              <w:t>6.11</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316(a)(last sentence)</w:t>
            </w:r>
          </w:p>
        </w:tc>
        <w:tc>
          <w:tcPr>
            <w:tcW w:w="8720" w:type="dxa"/>
            <w:vAlign w:val="bottom"/>
          </w:tcPr>
          <w:p>
            <w:pPr>
              <w:jc w:val="right"/>
              <w:spacing w:after="0"/>
              <w:rPr>
                <w:sz w:val="20"/>
                <w:szCs w:val="20"/>
                <w:color w:val="auto"/>
              </w:rPr>
            </w:pPr>
            <w:r>
              <w:rPr>
                <w:rFonts w:ascii="Arial" w:cs="Arial" w:eastAsia="Arial" w:hAnsi="Arial"/>
                <w:sz w:val="22"/>
                <w:szCs w:val="22"/>
                <w:color w:val="auto"/>
              </w:rPr>
              <w:t>11.06</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(a)(1)(A)</w:t>
            </w:r>
          </w:p>
        </w:tc>
        <w:tc>
          <w:tcPr>
            <w:tcW w:w="8720" w:type="dxa"/>
            <w:vAlign w:val="bottom"/>
          </w:tcPr>
          <w:p>
            <w:pPr>
              <w:jc w:val="right"/>
              <w:spacing w:after="0"/>
              <w:rPr>
                <w:sz w:val="20"/>
                <w:szCs w:val="20"/>
                <w:color w:val="auto"/>
              </w:rPr>
            </w:pPr>
            <w:r>
              <w:rPr>
                <w:rFonts w:ascii="Arial" w:cs="Arial" w:eastAsia="Arial" w:hAnsi="Arial"/>
                <w:sz w:val="22"/>
                <w:szCs w:val="22"/>
                <w:color w:val="auto"/>
              </w:rPr>
              <w:t>6.05</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(a)(1)(B)</w:t>
            </w:r>
          </w:p>
        </w:tc>
        <w:tc>
          <w:tcPr>
            <w:tcW w:w="8720" w:type="dxa"/>
            <w:vAlign w:val="bottom"/>
          </w:tcPr>
          <w:p>
            <w:pPr>
              <w:jc w:val="right"/>
              <w:spacing w:after="0"/>
              <w:rPr>
                <w:sz w:val="20"/>
                <w:szCs w:val="20"/>
                <w:color w:val="auto"/>
              </w:rPr>
            </w:pPr>
            <w:r>
              <w:rPr>
                <w:rFonts w:ascii="Arial" w:cs="Arial" w:eastAsia="Arial" w:hAnsi="Arial"/>
                <w:sz w:val="22"/>
                <w:szCs w:val="22"/>
                <w:color w:val="auto"/>
              </w:rPr>
              <w:t>6.04</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(a)(2)</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6.07</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(c)</w:t>
            </w:r>
          </w:p>
        </w:tc>
        <w:tc>
          <w:tcPr>
            <w:tcW w:w="8720" w:type="dxa"/>
            <w:vAlign w:val="bottom"/>
          </w:tcPr>
          <w:p>
            <w:pPr>
              <w:jc w:val="right"/>
              <w:spacing w:after="0"/>
              <w:rPr>
                <w:sz w:val="20"/>
                <w:szCs w:val="20"/>
                <w:color w:val="auto"/>
              </w:rPr>
            </w:pPr>
            <w:r>
              <w:rPr>
                <w:rFonts w:ascii="Arial" w:cs="Arial" w:eastAsia="Arial" w:hAnsi="Arial"/>
                <w:sz w:val="22"/>
                <w:szCs w:val="22"/>
                <w:color w:val="auto"/>
              </w:rPr>
              <w:t>9.04</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317(a)(1)</w:t>
            </w:r>
          </w:p>
        </w:tc>
        <w:tc>
          <w:tcPr>
            <w:tcW w:w="8720" w:type="dxa"/>
            <w:vAlign w:val="bottom"/>
          </w:tcPr>
          <w:p>
            <w:pPr>
              <w:jc w:val="right"/>
              <w:spacing w:after="0"/>
              <w:rPr>
                <w:sz w:val="20"/>
                <w:szCs w:val="20"/>
                <w:color w:val="auto"/>
              </w:rPr>
            </w:pPr>
            <w:r>
              <w:rPr>
                <w:rFonts w:ascii="Arial" w:cs="Arial" w:eastAsia="Arial" w:hAnsi="Arial"/>
                <w:sz w:val="22"/>
                <w:szCs w:val="22"/>
                <w:color w:val="auto"/>
              </w:rPr>
              <w:t>6.08</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(a)(2)</w:t>
            </w:r>
          </w:p>
        </w:tc>
        <w:tc>
          <w:tcPr>
            <w:tcW w:w="8720" w:type="dxa"/>
            <w:vAlign w:val="bottom"/>
          </w:tcPr>
          <w:p>
            <w:pPr>
              <w:jc w:val="right"/>
              <w:spacing w:after="0"/>
              <w:rPr>
                <w:sz w:val="20"/>
                <w:szCs w:val="20"/>
                <w:color w:val="auto"/>
              </w:rPr>
            </w:pPr>
            <w:r>
              <w:rPr>
                <w:rFonts w:ascii="Arial" w:cs="Arial" w:eastAsia="Arial" w:hAnsi="Arial"/>
                <w:sz w:val="22"/>
                <w:szCs w:val="22"/>
                <w:color w:val="auto"/>
              </w:rPr>
              <w:t>6.09</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(b)</w:t>
            </w:r>
          </w:p>
        </w:tc>
        <w:tc>
          <w:tcPr>
            <w:tcW w:w="8720" w:type="dxa"/>
            <w:vAlign w:val="bottom"/>
          </w:tcPr>
          <w:p>
            <w:pPr>
              <w:jc w:val="right"/>
              <w:spacing w:after="0"/>
              <w:rPr>
                <w:sz w:val="20"/>
                <w:szCs w:val="20"/>
                <w:color w:val="auto"/>
              </w:rPr>
            </w:pPr>
            <w:r>
              <w:rPr>
                <w:rFonts w:ascii="Arial" w:cs="Arial" w:eastAsia="Arial" w:hAnsi="Arial"/>
                <w:sz w:val="22"/>
                <w:szCs w:val="22"/>
                <w:color w:val="auto"/>
              </w:rPr>
              <w:t>2.04</w:t>
            </w:r>
          </w:p>
        </w:tc>
      </w:tr>
      <w:tr>
        <w:trPr>
          <w:trHeight w:val="310"/>
        </w:trPr>
        <w:tc>
          <w:tcPr>
            <w:tcW w:w="2480" w:type="dxa"/>
            <w:vAlign w:val="bottom"/>
          </w:tcPr>
          <w:p>
            <w:pPr>
              <w:spacing w:after="0"/>
              <w:rPr>
                <w:sz w:val="20"/>
                <w:szCs w:val="20"/>
                <w:color w:val="auto"/>
              </w:rPr>
            </w:pPr>
            <w:r>
              <w:rPr>
                <w:rFonts w:ascii="Arial" w:cs="Arial" w:eastAsia="Arial" w:hAnsi="Arial"/>
                <w:sz w:val="22"/>
                <w:szCs w:val="22"/>
                <w:color w:val="auto"/>
              </w:rPr>
              <w:t>318(a)</w:t>
            </w:r>
          </w:p>
        </w:tc>
        <w:tc>
          <w:tcPr>
            <w:tcW w:w="8720" w:type="dxa"/>
            <w:vAlign w:val="bottom"/>
          </w:tcPr>
          <w:p>
            <w:pPr>
              <w:jc w:val="right"/>
              <w:spacing w:after="0"/>
              <w:rPr>
                <w:sz w:val="20"/>
                <w:szCs w:val="20"/>
                <w:color w:val="auto"/>
              </w:rPr>
            </w:pPr>
            <w:r>
              <w:rPr>
                <w:rFonts w:ascii="Arial" w:cs="Arial" w:eastAsia="Arial" w:hAnsi="Arial"/>
                <w:sz w:val="22"/>
                <w:szCs w:val="22"/>
                <w:color w:val="auto"/>
              </w:rPr>
              <w:t>11.01</w:t>
            </w:r>
          </w:p>
        </w:tc>
      </w:tr>
      <w:tr>
        <w:trPr>
          <w:trHeight w:val="311"/>
        </w:trPr>
        <w:tc>
          <w:tcPr>
            <w:tcW w:w="2480" w:type="dxa"/>
            <w:vAlign w:val="bottom"/>
          </w:tcPr>
          <w:p>
            <w:pPr>
              <w:spacing w:after="0"/>
              <w:rPr>
                <w:sz w:val="20"/>
                <w:szCs w:val="20"/>
                <w:color w:val="auto"/>
              </w:rPr>
            </w:pPr>
            <w:r>
              <w:rPr>
                <w:rFonts w:ascii="Arial" w:cs="Arial" w:eastAsia="Arial" w:hAnsi="Arial"/>
                <w:sz w:val="22"/>
                <w:szCs w:val="22"/>
                <w:color w:val="auto"/>
              </w:rPr>
              <w:t>(c)</w:t>
            </w:r>
          </w:p>
        </w:tc>
        <w:tc>
          <w:tcPr>
            <w:tcW w:w="8720" w:type="dxa"/>
            <w:vAlign w:val="bottom"/>
          </w:tcPr>
          <w:p>
            <w:pPr>
              <w:jc w:val="right"/>
              <w:spacing w:after="0"/>
              <w:rPr>
                <w:sz w:val="20"/>
                <w:szCs w:val="20"/>
                <w:color w:val="auto"/>
              </w:rPr>
            </w:pPr>
            <w:r>
              <w:rPr>
                <w:rFonts w:ascii="Arial" w:cs="Arial" w:eastAsia="Arial" w:hAnsi="Arial"/>
                <w:sz w:val="22"/>
                <w:szCs w:val="22"/>
                <w:color w:val="auto"/>
              </w:rPr>
              <w:t>N.A.</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N.A. means Not Applicable.</w:t>
      </w:r>
    </w:p>
    <w:p>
      <w:pPr>
        <w:sectPr>
          <w:pgSz w:w="11900" w:h="16838" w:orient="portrait"/>
          <w:cols w:equalWidth="0" w:num="1">
            <w:col w:w="11220"/>
          </w:cols>
          <w:pgMar w:left="320" w:top="14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20" w:top="1422" w:right="35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80"/>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20" w:type="dxa"/>
            <w:vAlign w:val="bottom"/>
            <w:gridSpan w:val="2"/>
          </w:tcPr>
          <w:p>
            <w:pPr>
              <w:jc w:val="center"/>
              <w:ind w:right="1880"/>
              <w:spacing w:after="0"/>
              <w:rPr>
                <w:sz w:val="20"/>
                <w:szCs w:val="20"/>
                <w:color w:val="auto"/>
              </w:rPr>
            </w:pPr>
            <w:r>
              <w:rPr>
                <w:rFonts w:ascii="Arial" w:cs="Arial" w:eastAsia="Arial" w:hAnsi="Arial"/>
                <w:sz w:val="22"/>
                <w:szCs w:val="22"/>
                <w:b w:val="1"/>
                <w:bCs w:val="1"/>
                <w:color w:val="auto"/>
                <w:w w:val="97"/>
              </w:rPr>
              <w:t>TABLE OF CONTENTS</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2000" w:type="dxa"/>
            <w:vAlign w:val="bottom"/>
            <w:gridSpan w:val="3"/>
            <w:vMerge w:val="restart"/>
          </w:tcPr>
          <w:p>
            <w:pPr>
              <w:jc w:val="right"/>
              <w:ind w:right="16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AGE</w:t>
            </w:r>
          </w:p>
        </w:tc>
        <w:tc>
          <w:tcPr>
            <w:tcW w:w="0" w:type="dxa"/>
            <w:vAlign w:val="bottom"/>
          </w:tcPr>
          <w:p>
            <w:pPr>
              <w:spacing w:after="0"/>
              <w:rPr>
                <w:sz w:val="1"/>
                <w:szCs w:val="1"/>
                <w:color w:val="auto"/>
              </w:rPr>
            </w:pPr>
          </w:p>
        </w:tc>
      </w:tr>
      <w:tr>
        <w:trPr>
          <w:trHeight w:val="520"/>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720" w:type="dxa"/>
            <w:vAlign w:val="bottom"/>
          </w:tcPr>
          <w:p>
            <w:pPr>
              <w:spacing w:after="0"/>
              <w:rPr>
                <w:sz w:val="24"/>
                <w:szCs w:val="24"/>
                <w:color w:val="auto"/>
              </w:rPr>
            </w:pPr>
          </w:p>
        </w:tc>
        <w:tc>
          <w:tcPr>
            <w:tcW w:w="7480" w:type="dxa"/>
            <w:vAlign w:val="bottom"/>
            <w:gridSpan w:val="3"/>
          </w:tcPr>
          <w:p>
            <w:pPr>
              <w:jc w:val="center"/>
              <w:ind w:left="172"/>
              <w:spacing w:after="0"/>
              <w:rPr>
                <w:sz w:val="20"/>
                <w:szCs w:val="20"/>
                <w:color w:val="auto"/>
              </w:rPr>
            </w:pPr>
            <w:r>
              <w:rPr>
                <w:rFonts w:ascii="Arial" w:cs="Arial" w:eastAsia="Arial" w:hAnsi="Arial"/>
                <w:sz w:val="22"/>
                <w:szCs w:val="22"/>
                <w:color w:val="auto"/>
                <w:w w:val="89"/>
              </w:rPr>
              <w:t>This Table of Contents is not a part of the Indenture</w:t>
            </w:r>
          </w:p>
        </w:tc>
        <w:tc>
          <w:tcPr>
            <w:tcW w:w="13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20" w:type="dxa"/>
            <w:vAlign w:val="bottom"/>
            <w:gridSpan w:val="2"/>
          </w:tcPr>
          <w:p>
            <w:pPr>
              <w:jc w:val="center"/>
              <w:ind w:right="1860"/>
              <w:spacing w:after="0"/>
              <w:rPr>
                <w:sz w:val="20"/>
                <w:szCs w:val="20"/>
                <w:color w:val="auto"/>
              </w:rPr>
            </w:pPr>
            <w:r>
              <w:rPr>
                <w:rFonts w:ascii="Arial" w:cs="Arial" w:eastAsia="Arial" w:hAnsi="Arial"/>
                <w:sz w:val="22"/>
                <w:szCs w:val="22"/>
                <w:color w:val="auto"/>
                <w:w w:val="95"/>
              </w:rPr>
              <w:t>ARTICLE 1</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7480" w:type="dxa"/>
            <w:vAlign w:val="bottom"/>
            <w:gridSpan w:val="3"/>
          </w:tcPr>
          <w:p>
            <w:pPr>
              <w:jc w:val="center"/>
              <w:ind w:left="192"/>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 AND</w:t>
            </w:r>
            <w:r>
              <w:rPr>
                <w:rFonts w:ascii="Arial" w:cs="Arial" w:eastAsia="Arial" w:hAnsi="Arial"/>
                <w:sz w:val="22"/>
                <w:szCs w:val="22"/>
                <w:color w:val="auto"/>
              </w:rPr>
              <w:t xml:space="preserve"> I</w:t>
            </w:r>
            <w:r>
              <w:rPr>
                <w:rFonts w:ascii="Arial" w:cs="Arial" w:eastAsia="Arial" w:hAnsi="Arial"/>
                <w:sz w:val="17"/>
                <w:szCs w:val="17"/>
                <w:color w:val="auto"/>
              </w:rPr>
              <w:t>NCORPORATION BY</w:t>
            </w:r>
            <w:r>
              <w:rPr>
                <w:rFonts w:ascii="Arial" w:cs="Arial" w:eastAsia="Arial" w:hAnsi="Arial"/>
                <w:sz w:val="22"/>
                <w:szCs w:val="22"/>
                <w:color w:val="auto"/>
              </w:rPr>
              <w:t xml:space="preserve"> R</w:t>
            </w:r>
            <w:r>
              <w:rPr>
                <w:rFonts w:ascii="Arial" w:cs="Arial" w:eastAsia="Arial" w:hAnsi="Arial"/>
                <w:sz w:val="17"/>
                <w:szCs w:val="17"/>
                <w:color w:val="auto"/>
              </w:rPr>
              <w:t>EFERENCE</w:t>
            </w: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1.01.</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Definitions</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1.02.</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Other Definitions</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1.03.</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Incorporation by Reference of Trust Indenture Act</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1.04.</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Rules of Construction</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20" w:type="dxa"/>
            <w:vAlign w:val="bottom"/>
            <w:gridSpan w:val="2"/>
          </w:tcPr>
          <w:p>
            <w:pPr>
              <w:jc w:val="center"/>
              <w:ind w:right="1860"/>
              <w:spacing w:after="0"/>
              <w:rPr>
                <w:sz w:val="20"/>
                <w:szCs w:val="20"/>
                <w:color w:val="auto"/>
              </w:rPr>
            </w:pPr>
            <w:r>
              <w:rPr>
                <w:rFonts w:ascii="Arial" w:cs="Arial" w:eastAsia="Arial" w:hAnsi="Arial"/>
                <w:sz w:val="22"/>
                <w:szCs w:val="22"/>
                <w:color w:val="auto"/>
                <w:w w:val="95"/>
              </w:rPr>
              <w:t>ARTICLE 2</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320" w:type="dxa"/>
            <w:vAlign w:val="bottom"/>
            <w:gridSpan w:val="2"/>
          </w:tcPr>
          <w:p>
            <w:pPr>
              <w:jc w:val="center"/>
              <w:ind w:right="1860"/>
              <w:spacing w:after="0"/>
              <w:rPr>
                <w:sz w:val="20"/>
                <w:szCs w:val="20"/>
                <w:color w:val="auto"/>
              </w:rPr>
            </w:pPr>
            <w:r>
              <w:rPr>
                <w:rFonts w:ascii="Arial" w:cs="Arial" w:eastAsia="Arial" w:hAnsi="Arial"/>
                <w:sz w:val="22"/>
                <w:szCs w:val="22"/>
                <w:color w:val="auto"/>
                <w:w w:val="98"/>
              </w:rPr>
              <w:t>T</w:t>
            </w:r>
            <w:r>
              <w:rPr>
                <w:rFonts w:ascii="Arial" w:cs="Arial" w:eastAsia="Arial" w:hAnsi="Arial"/>
                <w:sz w:val="17"/>
                <w:szCs w:val="17"/>
                <w:color w:val="auto"/>
                <w:w w:val="98"/>
              </w:rPr>
              <w:t>HE</w:t>
            </w:r>
            <w:r>
              <w:rPr>
                <w:rFonts w:ascii="Arial" w:cs="Arial" w:eastAsia="Arial" w:hAnsi="Arial"/>
                <w:sz w:val="22"/>
                <w:szCs w:val="22"/>
                <w:color w:val="auto"/>
                <w:w w:val="98"/>
              </w:rPr>
              <w:t xml:space="preserve"> S</w:t>
            </w:r>
            <w:r>
              <w:rPr>
                <w:rFonts w:ascii="Arial" w:cs="Arial" w:eastAsia="Arial" w:hAnsi="Arial"/>
                <w:sz w:val="17"/>
                <w:szCs w:val="17"/>
                <w:color w:val="auto"/>
                <w:w w:val="98"/>
              </w:rPr>
              <w:t>ECURITIES</w:t>
            </w: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2.01.</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Form and Dating</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2.02.</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Execution and Authentication</w:t>
            </w:r>
          </w:p>
        </w:tc>
        <w:tc>
          <w:tcPr>
            <w:tcW w:w="2000" w:type="dxa"/>
            <w:vAlign w:val="bottom"/>
            <w:gridSpan w:val="3"/>
          </w:tcPr>
          <w:p>
            <w:pPr>
              <w:jc w:val="right"/>
              <w:ind w:right="4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2.03.</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Registrar and Paying Agent</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2.04.</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Paying Agent to Hold Money in Trust</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2.05.</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Securityholder Lists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2.06.</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Transfer and Exchange</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2.07.</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Replacement Securities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2.08.</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Outstanding Securities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2.09.</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Temporary Securities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2.10.</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Cancellation</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2.11.</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Defaulted Interest</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2.12.</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Treasury Securities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2.13.</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CUSIP/ISIN Numbers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2.14.</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Deposit of Moneys</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2.15.</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Book-Entry Provisions for Global Security</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2.16.</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No Duty to Monitor</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320" w:type="dxa"/>
            <w:vAlign w:val="bottom"/>
            <w:gridSpan w:val="2"/>
          </w:tcPr>
          <w:p>
            <w:pPr>
              <w:jc w:val="center"/>
              <w:ind w:right="1860"/>
              <w:spacing w:after="0"/>
              <w:rPr>
                <w:sz w:val="20"/>
                <w:szCs w:val="20"/>
                <w:color w:val="auto"/>
              </w:rPr>
            </w:pPr>
            <w:r>
              <w:rPr>
                <w:rFonts w:ascii="Arial" w:cs="Arial" w:eastAsia="Arial" w:hAnsi="Arial"/>
                <w:sz w:val="22"/>
                <w:szCs w:val="22"/>
                <w:color w:val="auto"/>
                <w:w w:val="95"/>
              </w:rPr>
              <w:t>ARTICLE 3</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5320" w:type="dxa"/>
            <w:vAlign w:val="bottom"/>
            <w:gridSpan w:val="2"/>
          </w:tcPr>
          <w:p>
            <w:pPr>
              <w:jc w:val="center"/>
              <w:ind w:right="1860"/>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EDEMPTION</w:t>
            </w: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3.01.</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Notices to Trustee</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3.02.</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Selection of Securities to be Redeemed</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3.03.</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Notice of Redemption</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3.04.</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Effect of Notice of Redemption</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3.05.</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Deposit of Redemption Price</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3.06.</w:t>
            </w:r>
          </w:p>
        </w:tc>
        <w:tc>
          <w:tcPr>
            <w:tcW w:w="7480" w:type="dxa"/>
            <w:vAlign w:val="bottom"/>
            <w:gridSpan w:val="3"/>
          </w:tcPr>
          <w:p>
            <w:pPr>
              <w:ind w:left="560"/>
              <w:spacing w:after="0"/>
              <w:rPr>
                <w:sz w:val="20"/>
                <w:szCs w:val="20"/>
                <w:color w:val="auto"/>
              </w:rPr>
            </w:pPr>
            <w:r>
              <w:rPr>
                <w:rFonts w:ascii="Arial" w:cs="Arial" w:eastAsia="Arial" w:hAnsi="Arial"/>
                <w:sz w:val="22"/>
                <w:szCs w:val="22"/>
                <w:i w:val="1"/>
                <w:iCs w:val="1"/>
                <w:color w:val="auto"/>
              </w:rPr>
              <w:t>Securities Redeemed in Part</w:t>
            </w:r>
          </w:p>
        </w:tc>
        <w:tc>
          <w:tcPr>
            <w:tcW w:w="2000" w:type="dxa"/>
            <w:vAlign w:val="bottom"/>
            <w:gridSpan w:val="3"/>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2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233" w:right="35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tcPr>
          <w:p>
            <w:pPr>
              <w:spacing w:after="0"/>
              <w:rPr>
                <w:sz w:val="20"/>
                <w:szCs w:val="20"/>
                <w:color w:val="auto"/>
              </w:rPr>
            </w:pPr>
            <w:r>
              <w:rPr>
                <w:rFonts w:ascii="Arial" w:cs="Arial" w:eastAsia="Arial" w:hAnsi="Arial"/>
                <w:sz w:val="22"/>
                <w:szCs w:val="22"/>
                <w:color w:val="auto"/>
              </w:rPr>
              <w:t>Section 4.01.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Payment of Securities</w:t>
            </w:r>
          </w:p>
        </w:tc>
        <w:tc>
          <w:tcPr>
            <w:tcW w:w="2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4.02.</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Maintenance of Office or Agency</w:t>
            </w:r>
          </w:p>
        </w:tc>
        <w:tc>
          <w:tcPr>
            <w:tcW w:w="23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4.03.</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Compliance Certificate</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4.04.</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Waiver of Stay, Extension or Usury Laws</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4.05.</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Commission Reports</w:t>
            </w:r>
          </w:p>
        </w:tc>
        <w:tc>
          <w:tcPr>
            <w:tcW w:w="23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4.06.</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Limitation on Liens</w:t>
            </w:r>
          </w:p>
        </w:tc>
        <w:tc>
          <w:tcPr>
            <w:tcW w:w="23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41"/>
        </w:trPr>
        <w:tc>
          <w:tcPr>
            <w:tcW w:w="1720" w:type="dxa"/>
            <w:vAlign w:val="bottom"/>
          </w:tcPr>
          <w:p>
            <w:pPr>
              <w:spacing w:after="0"/>
              <w:rPr>
                <w:sz w:val="24"/>
                <w:szCs w:val="24"/>
                <w:color w:val="auto"/>
              </w:rPr>
            </w:pPr>
          </w:p>
        </w:tc>
        <w:tc>
          <w:tcPr>
            <w:tcW w:w="7160" w:type="dxa"/>
            <w:vAlign w:val="bottom"/>
          </w:tcPr>
          <w:p>
            <w:pPr>
              <w:jc w:val="center"/>
              <w:ind w:left="512"/>
              <w:spacing w:after="0"/>
              <w:rPr>
                <w:sz w:val="20"/>
                <w:szCs w:val="20"/>
                <w:color w:val="auto"/>
              </w:rPr>
            </w:pPr>
            <w:r>
              <w:rPr>
                <w:rFonts w:ascii="Arial" w:cs="Arial" w:eastAsia="Arial" w:hAnsi="Arial"/>
                <w:sz w:val="22"/>
                <w:szCs w:val="22"/>
                <w:color w:val="auto"/>
                <w:w w:val="95"/>
              </w:rPr>
              <w:t>ARTICLE 5</w:t>
            </w:r>
          </w:p>
        </w:tc>
        <w:tc>
          <w:tcPr>
            <w:tcW w:w="2320" w:type="dxa"/>
            <w:vAlign w:val="bottom"/>
          </w:tcPr>
          <w:p>
            <w:pPr>
              <w:spacing w:after="0"/>
              <w:rPr>
                <w:sz w:val="24"/>
                <w:szCs w:val="24"/>
                <w:color w:val="auto"/>
              </w:rPr>
            </w:pPr>
          </w:p>
        </w:tc>
      </w:tr>
      <w:tr>
        <w:trPr>
          <w:trHeight w:val="274"/>
        </w:trPr>
        <w:tc>
          <w:tcPr>
            <w:tcW w:w="1720" w:type="dxa"/>
            <w:vAlign w:val="bottom"/>
          </w:tcPr>
          <w:p>
            <w:pPr>
              <w:spacing w:after="0"/>
              <w:rPr>
                <w:sz w:val="23"/>
                <w:szCs w:val="23"/>
                <w:color w:val="auto"/>
              </w:rPr>
            </w:pPr>
          </w:p>
        </w:tc>
        <w:tc>
          <w:tcPr>
            <w:tcW w:w="7160" w:type="dxa"/>
            <w:vAlign w:val="bottom"/>
          </w:tcPr>
          <w:p>
            <w:pPr>
              <w:jc w:val="center"/>
              <w:ind w:left="492"/>
              <w:spacing w:after="0"/>
              <w:rPr>
                <w:sz w:val="20"/>
                <w:szCs w:val="20"/>
                <w:color w:val="auto"/>
              </w:rPr>
            </w:pPr>
            <w:r>
              <w:rPr>
                <w:rFonts w:ascii="Arial" w:cs="Arial" w:eastAsia="Arial" w:hAnsi="Arial"/>
                <w:sz w:val="22"/>
                <w:szCs w:val="22"/>
                <w:color w:val="auto"/>
                <w:w w:val="93"/>
              </w:rPr>
              <w:t>S</w:t>
            </w:r>
            <w:r>
              <w:rPr>
                <w:rFonts w:ascii="Arial" w:cs="Arial" w:eastAsia="Arial" w:hAnsi="Arial"/>
                <w:sz w:val="17"/>
                <w:szCs w:val="17"/>
                <w:color w:val="auto"/>
                <w:w w:val="93"/>
              </w:rPr>
              <w:t>UCCESSOR</w:t>
            </w:r>
            <w:r>
              <w:rPr>
                <w:rFonts w:ascii="Arial" w:cs="Arial" w:eastAsia="Arial" w:hAnsi="Arial"/>
                <w:sz w:val="22"/>
                <w:szCs w:val="22"/>
                <w:color w:val="auto"/>
                <w:w w:val="93"/>
              </w:rPr>
              <w:t xml:space="preserve"> P</w:t>
            </w:r>
            <w:r>
              <w:rPr>
                <w:rFonts w:ascii="Arial" w:cs="Arial" w:eastAsia="Arial" w:hAnsi="Arial"/>
                <w:sz w:val="17"/>
                <w:szCs w:val="17"/>
                <w:color w:val="auto"/>
                <w:w w:val="93"/>
              </w:rPr>
              <w:t>ERSON</w:t>
            </w:r>
          </w:p>
        </w:tc>
        <w:tc>
          <w:tcPr>
            <w:tcW w:w="2320" w:type="dxa"/>
            <w:vAlign w:val="bottom"/>
          </w:tcPr>
          <w:p>
            <w:pPr>
              <w:spacing w:after="0"/>
              <w:rPr>
                <w:sz w:val="23"/>
                <w:szCs w:val="23"/>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5.01.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When Company May Merge, etc.</w:t>
            </w:r>
          </w:p>
        </w:tc>
        <w:tc>
          <w:tcPr>
            <w:tcW w:w="2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41"/>
        </w:trPr>
        <w:tc>
          <w:tcPr>
            <w:tcW w:w="1720" w:type="dxa"/>
            <w:vAlign w:val="bottom"/>
          </w:tcPr>
          <w:p>
            <w:pPr>
              <w:spacing w:after="0"/>
              <w:rPr>
                <w:sz w:val="24"/>
                <w:szCs w:val="24"/>
                <w:color w:val="auto"/>
              </w:rPr>
            </w:pPr>
          </w:p>
        </w:tc>
        <w:tc>
          <w:tcPr>
            <w:tcW w:w="7160" w:type="dxa"/>
            <w:vAlign w:val="bottom"/>
          </w:tcPr>
          <w:p>
            <w:pPr>
              <w:jc w:val="center"/>
              <w:ind w:left="512"/>
              <w:spacing w:after="0"/>
              <w:rPr>
                <w:sz w:val="20"/>
                <w:szCs w:val="20"/>
                <w:color w:val="auto"/>
              </w:rPr>
            </w:pPr>
            <w:r>
              <w:rPr>
                <w:rFonts w:ascii="Arial" w:cs="Arial" w:eastAsia="Arial" w:hAnsi="Arial"/>
                <w:sz w:val="22"/>
                <w:szCs w:val="22"/>
                <w:color w:val="auto"/>
                <w:w w:val="95"/>
              </w:rPr>
              <w:t>ARTICLE 6</w:t>
            </w:r>
          </w:p>
        </w:tc>
        <w:tc>
          <w:tcPr>
            <w:tcW w:w="2320" w:type="dxa"/>
            <w:vAlign w:val="bottom"/>
          </w:tcPr>
          <w:p>
            <w:pPr>
              <w:spacing w:after="0"/>
              <w:rPr>
                <w:sz w:val="24"/>
                <w:szCs w:val="24"/>
                <w:color w:val="auto"/>
              </w:rPr>
            </w:pPr>
          </w:p>
        </w:tc>
      </w:tr>
      <w:tr>
        <w:trPr>
          <w:trHeight w:val="274"/>
        </w:trPr>
        <w:tc>
          <w:tcPr>
            <w:tcW w:w="1720" w:type="dxa"/>
            <w:vAlign w:val="bottom"/>
          </w:tcPr>
          <w:p>
            <w:pPr>
              <w:spacing w:after="0"/>
              <w:rPr>
                <w:sz w:val="23"/>
                <w:szCs w:val="23"/>
                <w:color w:val="auto"/>
              </w:rPr>
            </w:pPr>
          </w:p>
        </w:tc>
        <w:tc>
          <w:tcPr>
            <w:tcW w:w="7160" w:type="dxa"/>
            <w:vAlign w:val="bottom"/>
          </w:tcPr>
          <w:p>
            <w:pPr>
              <w:jc w:val="center"/>
              <w:ind w:left="492"/>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EFAULTS AND</w:t>
            </w:r>
            <w:r>
              <w:rPr>
                <w:rFonts w:ascii="Arial" w:cs="Arial" w:eastAsia="Arial" w:hAnsi="Arial"/>
                <w:sz w:val="22"/>
                <w:szCs w:val="22"/>
                <w:color w:val="auto"/>
              </w:rPr>
              <w:t xml:space="preserve"> R</w:t>
            </w:r>
            <w:r>
              <w:rPr>
                <w:rFonts w:ascii="Arial" w:cs="Arial" w:eastAsia="Arial" w:hAnsi="Arial"/>
                <w:sz w:val="17"/>
                <w:szCs w:val="17"/>
                <w:color w:val="auto"/>
              </w:rPr>
              <w:t>EMEDIES</w:t>
            </w:r>
          </w:p>
        </w:tc>
        <w:tc>
          <w:tcPr>
            <w:tcW w:w="2320" w:type="dxa"/>
            <w:vAlign w:val="bottom"/>
          </w:tcPr>
          <w:p>
            <w:pPr>
              <w:spacing w:after="0"/>
              <w:rPr>
                <w:sz w:val="23"/>
                <w:szCs w:val="23"/>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6.01.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Events of Default</w:t>
            </w:r>
          </w:p>
        </w:tc>
        <w:tc>
          <w:tcPr>
            <w:tcW w:w="23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6.02.</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Acceleration</w:t>
            </w:r>
          </w:p>
        </w:tc>
        <w:tc>
          <w:tcPr>
            <w:tcW w:w="232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6.03.</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Other Remedies</w:t>
            </w:r>
          </w:p>
        </w:tc>
        <w:tc>
          <w:tcPr>
            <w:tcW w:w="23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6.04.</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Waiver of Existing Defaults</w:t>
            </w:r>
          </w:p>
        </w:tc>
        <w:tc>
          <w:tcPr>
            <w:tcW w:w="23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6.05.</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Control by Majority</w:t>
            </w:r>
          </w:p>
        </w:tc>
        <w:tc>
          <w:tcPr>
            <w:tcW w:w="2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6.06.</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Limitation on Suits</w:t>
            </w:r>
          </w:p>
        </w:tc>
        <w:tc>
          <w:tcPr>
            <w:tcW w:w="2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6.07.</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Rights of Holders to Receive Payment</w:t>
            </w:r>
          </w:p>
        </w:tc>
        <w:tc>
          <w:tcPr>
            <w:tcW w:w="2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6.08.</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Collection Suit by Trustee</w:t>
            </w:r>
          </w:p>
        </w:tc>
        <w:tc>
          <w:tcPr>
            <w:tcW w:w="23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6.09.</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Trustee May File Proofs of Claim</w:t>
            </w:r>
          </w:p>
        </w:tc>
        <w:tc>
          <w:tcPr>
            <w:tcW w:w="2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6.10.</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Priorities</w:t>
            </w:r>
          </w:p>
        </w:tc>
        <w:tc>
          <w:tcPr>
            <w:tcW w:w="2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6.11.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Undertaking for Costs</w:t>
            </w:r>
          </w:p>
        </w:tc>
        <w:tc>
          <w:tcPr>
            <w:tcW w:w="2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1"/>
        </w:trPr>
        <w:tc>
          <w:tcPr>
            <w:tcW w:w="1720" w:type="dxa"/>
            <w:vAlign w:val="bottom"/>
          </w:tcPr>
          <w:p>
            <w:pPr>
              <w:spacing w:after="0"/>
              <w:rPr>
                <w:sz w:val="24"/>
                <w:szCs w:val="24"/>
                <w:color w:val="auto"/>
              </w:rPr>
            </w:pPr>
          </w:p>
        </w:tc>
        <w:tc>
          <w:tcPr>
            <w:tcW w:w="7160" w:type="dxa"/>
            <w:vAlign w:val="bottom"/>
          </w:tcPr>
          <w:p>
            <w:pPr>
              <w:jc w:val="center"/>
              <w:ind w:left="512"/>
              <w:spacing w:after="0"/>
              <w:rPr>
                <w:sz w:val="20"/>
                <w:szCs w:val="20"/>
                <w:color w:val="auto"/>
              </w:rPr>
            </w:pPr>
            <w:r>
              <w:rPr>
                <w:rFonts w:ascii="Arial" w:cs="Arial" w:eastAsia="Arial" w:hAnsi="Arial"/>
                <w:sz w:val="22"/>
                <w:szCs w:val="22"/>
                <w:color w:val="auto"/>
                <w:w w:val="95"/>
              </w:rPr>
              <w:t>ARTICLE 7</w:t>
            </w:r>
          </w:p>
        </w:tc>
        <w:tc>
          <w:tcPr>
            <w:tcW w:w="2320" w:type="dxa"/>
            <w:vAlign w:val="bottom"/>
          </w:tcPr>
          <w:p>
            <w:pPr>
              <w:spacing w:after="0"/>
              <w:rPr>
                <w:sz w:val="24"/>
                <w:szCs w:val="24"/>
                <w:color w:val="auto"/>
              </w:rPr>
            </w:pPr>
          </w:p>
        </w:tc>
      </w:tr>
      <w:tr>
        <w:trPr>
          <w:trHeight w:val="274"/>
        </w:trPr>
        <w:tc>
          <w:tcPr>
            <w:tcW w:w="1720" w:type="dxa"/>
            <w:vAlign w:val="bottom"/>
          </w:tcPr>
          <w:p>
            <w:pPr>
              <w:spacing w:after="0"/>
              <w:rPr>
                <w:sz w:val="23"/>
                <w:szCs w:val="23"/>
                <w:color w:val="auto"/>
              </w:rPr>
            </w:pPr>
          </w:p>
        </w:tc>
        <w:tc>
          <w:tcPr>
            <w:tcW w:w="7160" w:type="dxa"/>
            <w:vAlign w:val="bottom"/>
          </w:tcPr>
          <w:p>
            <w:pPr>
              <w:jc w:val="center"/>
              <w:ind w:left="492"/>
              <w:spacing w:after="0"/>
              <w:rPr>
                <w:sz w:val="20"/>
                <w:szCs w:val="20"/>
                <w:color w:val="auto"/>
              </w:rPr>
            </w:pPr>
            <w:r>
              <w:rPr>
                <w:rFonts w:ascii="Arial" w:cs="Arial" w:eastAsia="Arial" w:hAnsi="Arial"/>
                <w:sz w:val="22"/>
                <w:szCs w:val="22"/>
                <w:color w:val="auto"/>
                <w:w w:val="97"/>
              </w:rPr>
              <w:t>T</w:t>
            </w:r>
            <w:r>
              <w:rPr>
                <w:rFonts w:ascii="Arial" w:cs="Arial" w:eastAsia="Arial" w:hAnsi="Arial"/>
                <w:sz w:val="17"/>
                <w:szCs w:val="17"/>
                <w:color w:val="auto"/>
                <w:w w:val="97"/>
              </w:rPr>
              <w:t>RUSTEE</w:t>
            </w:r>
          </w:p>
        </w:tc>
        <w:tc>
          <w:tcPr>
            <w:tcW w:w="2320" w:type="dxa"/>
            <w:vAlign w:val="bottom"/>
          </w:tcPr>
          <w:p>
            <w:pPr>
              <w:spacing w:after="0"/>
              <w:rPr>
                <w:sz w:val="23"/>
                <w:szCs w:val="23"/>
                <w:color w:val="auto"/>
              </w:rPr>
            </w:pPr>
          </w:p>
        </w:tc>
      </w:tr>
      <w:tr>
        <w:trPr>
          <w:trHeight w:val="459"/>
        </w:trPr>
        <w:tc>
          <w:tcPr>
            <w:tcW w:w="1720" w:type="dxa"/>
            <w:vAlign w:val="bottom"/>
          </w:tcPr>
          <w:p>
            <w:pPr>
              <w:spacing w:after="0"/>
              <w:rPr>
                <w:sz w:val="20"/>
                <w:szCs w:val="20"/>
                <w:color w:val="auto"/>
              </w:rPr>
            </w:pPr>
            <w:r>
              <w:rPr>
                <w:rFonts w:ascii="Arial" w:cs="Arial" w:eastAsia="Arial" w:hAnsi="Arial"/>
                <w:sz w:val="22"/>
                <w:szCs w:val="22"/>
                <w:color w:val="auto"/>
              </w:rPr>
              <w:t>Section 7.01.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Duties of Trustee</w:t>
            </w:r>
          </w:p>
        </w:tc>
        <w:tc>
          <w:tcPr>
            <w:tcW w:w="23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7.02.</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Rights of Trustee</w:t>
            </w:r>
          </w:p>
        </w:tc>
        <w:tc>
          <w:tcPr>
            <w:tcW w:w="23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7.03.</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Individual Rights of Trustee</w:t>
            </w:r>
          </w:p>
        </w:tc>
        <w:tc>
          <w:tcPr>
            <w:tcW w:w="23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7.04.</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Trustee’s Disclaimer</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7.05.</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Notice of Defaults</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7.06.</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Reports by Trustee to Holders</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7.07.</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Compensation and Indemnity</w:t>
            </w:r>
          </w:p>
        </w:tc>
        <w:tc>
          <w:tcPr>
            <w:tcW w:w="23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7.08.</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Replacement of Trustee</w:t>
            </w:r>
          </w:p>
        </w:tc>
        <w:tc>
          <w:tcPr>
            <w:tcW w:w="23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1720" w:type="dxa"/>
            <w:vAlign w:val="bottom"/>
          </w:tcPr>
          <w:p>
            <w:pPr>
              <w:spacing w:after="0"/>
              <w:rPr>
                <w:sz w:val="20"/>
                <w:szCs w:val="20"/>
                <w:color w:val="auto"/>
              </w:rPr>
            </w:pPr>
            <w:r>
              <w:rPr>
                <w:rFonts w:ascii="Arial" w:cs="Arial" w:eastAsia="Arial" w:hAnsi="Arial"/>
                <w:sz w:val="22"/>
                <w:szCs w:val="22"/>
                <w:color w:val="auto"/>
              </w:rPr>
              <w:t>Section 7.09.</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Successor Trustee by Merger, etc.</w:t>
            </w:r>
          </w:p>
        </w:tc>
        <w:tc>
          <w:tcPr>
            <w:tcW w:w="23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7.10.</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Eligibility; Disqualification</w:t>
            </w:r>
          </w:p>
        </w:tc>
        <w:tc>
          <w:tcPr>
            <w:tcW w:w="23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720" w:type="dxa"/>
            <w:vAlign w:val="bottom"/>
          </w:tcPr>
          <w:p>
            <w:pPr>
              <w:spacing w:after="0"/>
              <w:rPr>
                <w:sz w:val="20"/>
                <w:szCs w:val="20"/>
                <w:color w:val="auto"/>
              </w:rPr>
            </w:pPr>
            <w:r>
              <w:rPr>
                <w:rFonts w:ascii="Arial" w:cs="Arial" w:eastAsia="Arial" w:hAnsi="Arial"/>
                <w:sz w:val="22"/>
                <w:szCs w:val="22"/>
                <w:color w:val="auto"/>
              </w:rPr>
              <w:t>Section 7.11.</w:t>
            </w:r>
          </w:p>
        </w:tc>
        <w:tc>
          <w:tcPr>
            <w:tcW w:w="7160" w:type="dxa"/>
            <w:vAlign w:val="bottom"/>
          </w:tcPr>
          <w:p>
            <w:pPr>
              <w:ind w:left="560"/>
              <w:spacing w:after="0"/>
              <w:rPr>
                <w:sz w:val="20"/>
                <w:szCs w:val="20"/>
                <w:color w:val="auto"/>
              </w:rPr>
            </w:pPr>
            <w:r>
              <w:rPr>
                <w:rFonts w:ascii="Arial" w:cs="Arial" w:eastAsia="Arial" w:hAnsi="Arial"/>
                <w:sz w:val="22"/>
                <w:szCs w:val="22"/>
                <w:i w:val="1"/>
                <w:iCs w:val="1"/>
                <w:color w:val="auto"/>
              </w:rPr>
              <w:t>Preferential Collection of Claims Against Company</w:t>
            </w:r>
          </w:p>
        </w:tc>
        <w:tc>
          <w:tcPr>
            <w:tcW w:w="232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ectPr>
          <w:pgSz w:w="11900" w:h="16838" w:orient="portrait"/>
          <w:cols w:equalWidth="0" w:num="1">
            <w:col w:w="11200"/>
          </w:cols>
          <w:pgMar w:left="340" w:top="13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1387" w:right="35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22"/>
          <w:szCs w:val="22"/>
          <w:color w:val="auto"/>
        </w:rPr>
        <w:t>ARTICLE 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w:t>
      </w:r>
      <w:r>
        <w:rPr>
          <w:rFonts w:ascii="Arial" w:cs="Arial" w:eastAsia="Arial" w:hAnsi="Arial"/>
          <w:sz w:val="17"/>
          <w:szCs w:val="17"/>
          <w:color w:val="auto"/>
        </w:rPr>
        <w:t>ISCHARGE OF</w:t>
      </w:r>
      <w:r>
        <w:rPr>
          <w:rFonts w:ascii="Arial" w:cs="Arial" w:eastAsia="Arial" w:hAnsi="Arial"/>
          <w:sz w:val="20"/>
          <w:szCs w:val="20"/>
          <w:color w:val="auto"/>
        </w:rPr>
        <w:t xml:space="preserve"> </w:t>
      </w:r>
      <w:r>
        <w:rPr>
          <w:rFonts w:ascii="Arial" w:cs="Arial" w:eastAsia="Arial" w:hAnsi="Arial"/>
          <w:sz w:val="21"/>
          <w:szCs w:val="21"/>
          <w:color w:val="auto"/>
        </w:rPr>
        <w:t>I</w:t>
      </w:r>
      <w:r>
        <w:rPr>
          <w:rFonts w:ascii="Arial" w:cs="Arial" w:eastAsia="Arial" w:hAnsi="Arial"/>
          <w:sz w:val="17"/>
          <w:szCs w:val="17"/>
          <w:color w:val="auto"/>
        </w:rPr>
        <w:t>NDENTURE</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760" w:type="dxa"/>
            <w:vAlign w:val="bottom"/>
          </w:tcPr>
          <w:p>
            <w:pPr>
              <w:spacing w:after="0"/>
              <w:rPr>
                <w:sz w:val="20"/>
                <w:szCs w:val="20"/>
                <w:color w:val="auto"/>
              </w:rPr>
            </w:pPr>
            <w:r>
              <w:rPr>
                <w:rFonts w:ascii="Arial" w:cs="Arial" w:eastAsia="Arial" w:hAnsi="Arial"/>
                <w:sz w:val="22"/>
                <w:szCs w:val="22"/>
                <w:color w:val="auto"/>
              </w:rPr>
              <w:t>Section 8.01.</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w w:val="98"/>
              </w:rPr>
              <w:t>Defeasance upon Deposit of Moneys or Government Obligations; Satisfaction and</w:t>
            </w:r>
          </w:p>
        </w:tc>
        <w:tc>
          <w:tcPr>
            <w:tcW w:w="1000" w:type="dxa"/>
            <w:vAlign w:val="bottom"/>
          </w:tcPr>
          <w:p>
            <w:pPr>
              <w:spacing w:after="0"/>
              <w:rPr>
                <w:sz w:val="22"/>
                <w:szCs w:val="22"/>
                <w:color w:val="auto"/>
              </w:rPr>
            </w:pPr>
          </w:p>
        </w:tc>
      </w:tr>
      <w:tr>
        <w:trPr>
          <w:trHeight w:val="274"/>
        </w:trPr>
        <w:tc>
          <w:tcPr>
            <w:tcW w:w="1760" w:type="dxa"/>
            <w:vAlign w:val="bottom"/>
          </w:tcPr>
          <w:p>
            <w:pPr>
              <w:spacing w:after="0"/>
              <w:rPr>
                <w:sz w:val="23"/>
                <w:szCs w:val="23"/>
                <w:color w:val="auto"/>
              </w:rPr>
            </w:pP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Discharge</w:t>
            </w:r>
          </w:p>
        </w:tc>
        <w:tc>
          <w:tcPr>
            <w:tcW w:w="10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8.02.</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Survival of the Company’s Obligations</w:t>
            </w:r>
          </w:p>
        </w:tc>
        <w:tc>
          <w:tcPr>
            <w:tcW w:w="10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8.03.</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Application of Trust Money</w:t>
            </w:r>
          </w:p>
        </w:tc>
        <w:tc>
          <w:tcPr>
            <w:tcW w:w="10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8.04.</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Repayment to the Company</w:t>
            </w:r>
          </w:p>
        </w:tc>
        <w:tc>
          <w:tcPr>
            <w:tcW w:w="10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8.05.</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Reinstatement</w:t>
            </w:r>
          </w:p>
        </w:tc>
        <w:tc>
          <w:tcPr>
            <w:tcW w:w="100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1"/>
        </w:trPr>
        <w:tc>
          <w:tcPr>
            <w:tcW w:w="1760" w:type="dxa"/>
            <w:vAlign w:val="bottom"/>
          </w:tcPr>
          <w:p>
            <w:pPr>
              <w:spacing w:after="0"/>
              <w:rPr>
                <w:sz w:val="24"/>
                <w:szCs w:val="24"/>
                <w:color w:val="auto"/>
              </w:rPr>
            </w:pPr>
          </w:p>
        </w:tc>
        <w:tc>
          <w:tcPr>
            <w:tcW w:w="8440" w:type="dxa"/>
            <w:vAlign w:val="bottom"/>
          </w:tcPr>
          <w:p>
            <w:pPr>
              <w:jc w:val="center"/>
              <w:ind w:right="632"/>
              <w:spacing w:after="0"/>
              <w:rPr>
                <w:sz w:val="20"/>
                <w:szCs w:val="20"/>
                <w:color w:val="auto"/>
              </w:rPr>
            </w:pPr>
            <w:r>
              <w:rPr>
                <w:rFonts w:ascii="Arial" w:cs="Arial" w:eastAsia="Arial" w:hAnsi="Arial"/>
                <w:sz w:val="22"/>
                <w:szCs w:val="22"/>
                <w:color w:val="auto"/>
                <w:w w:val="95"/>
              </w:rPr>
              <w:t>ARTICLE 9</w:t>
            </w:r>
          </w:p>
        </w:tc>
        <w:tc>
          <w:tcPr>
            <w:tcW w:w="1000" w:type="dxa"/>
            <w:vAlign w:val="bottom"/>
          </w:tcPr>
          <w:p>
            <w:pPr>
              <w:spacing w:after="0"/>
              <w:rPr>
                <w:sz w:val="24"/>
                <w:szCs w:val="24"/>
                <w:color w:val="auto"/>
              </w:rPr>
            </w:pPr>
          </w:p>
        </w:tc>
      </w:tr>
      <w:tr>
        <w:trPr>
          <w:trHeight w:val="274"/>
        </w:trPr>
        <w:tc>
          <w:tcPr>
            <w:tcW w:w="1760" w:type="dxa"/>
            <w:vAlign w:val="bottom"/>
          </w:tcPr>
          <w:p>
            <w:pPr>
              <w:spacing w:after="0"/>
              <w:rPr>
                <w:sz w:val="23"/>
                <w:szCs w:val="23"/>
                <w:color w:val="auto"/>
              </w:rPr>
            </w:pPr>
          </w:p>
        </w:tc>
        <w:tc>
          <w:tcPr>
            <w:tcW w:w="8440" w:type="dxa"/>
            <w:vAlign w:val="bottom"/>
          </w:tcPr>
          <w:p>
            <w:pPr>
              <w:jc w:val="center"/>
              <w:ind w:right="652"/>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MENDMENTS,</w:t>
            </w:r>
            <w:r>
              <w:rPr>
                <w:rFonts w:ascii="Arial" w:cs="Arial" w:eastAsia="Arial" w:hAnsi="Arial"/>
                <w:sz w:val="22"/>
                <w:szCs w:val="22"/>
                <w:color w:val="auto"/>
              </w:rPr>
              <w:t xml:space="preserve"> S</w:t>
            </w:r>
            <w:r>
              <w:rPr>
                <w:rFonts w:ascii="Arial" w:cs="Arial" w:eastAsia="Arial" w:hAnsi="Arial"/>
                <w:sz w:val="17"/>
                <w:szCs w:val="17"/>
                <w:color w:val="auto"/>
              </w:rPr>
              <w:t>UPPLEMENTS AND</w:t>
            </w:r>
            <w:r>
              <w:rPr>
                <w:rFonts w:ascii="Arial" w:cs="Arial" w:eastAsia="Arial" w:hAnsi="Arial"/>
                <w:sz w:val="22"/>
                <w:szCs w:val="22"/>
                <w:color w:val="auto"/>
              </w:rPr>
              <w:t xml:space="preserve"> W</w:t>
            </w:r>
            <w:r>
              <w:rPr>
                <w:rFonts w:ascii="Arial" w:cs="Arial" w:eastAsia="Arial" w:hAnsi="Arial"/>
                <w:sz w:val="17"/>
                <w:szCs w:val="17"/>
                <w:color w:val="auto"/>
              </w:rPr>
              <w:t>AIVERS</w:t>
            </w:r>
          </w:p>
        </w:tc>
        <w:tc>
          <w:tcPr>
            <w:tcW w:w="1000" w:type="dxa"/>
            <w:vAlign w:val="bottom"/>
          </w:tcPr>
          <w:p>
            <w:pPr>
              <w:spacing w:after="0"/>
              <w:rPr>
                <w:sz w:val="23"/>
                <w:szCs w:val="23"/>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2"/>
                <w:szCs w:val="22"/>
                <w:color w:val="auto"/>
              </w:rPr>
              <w:t>Section 9.01.</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Without Consent of Holders</w:t>
            </w:r>
          </w:p>
        </w:tc>
        <w:tc>
          <w:tcPr>
            <w:tcW w:w="10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9.02.</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With Consent of Holders</w:t>
            </w:r>
          </w:p>
        </w:tc>
        <w:tc>
          <w:tcPr>
            <w:tcW w:w="10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9.03.</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Compliance with Trust Indenture Act</w:t>
            </w:r>
          </w:p>
        </w:tc>
        <w:tc>
          <w:tcPr>
            <w:tcW w:w="10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9.04.</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Revocation and Effect of Consents</w:t>
            </w:r>
          </w:p>
        </w:tc>
        <w:tc>
          <w:tcPr>
            <w:tcW w:w="10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9.05.</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Notation on or Exchange of Securities</w:t>
            </w:r>
          </w:p>
        </w:tc>
        <w:tc>
          <w:tcPr>
            <w:tcW w:w="10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9.06.</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Trustee to Sign Amendments, etc.</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1"/>
        </w:trPr>
        <w:tc>
          <w:tcPr>
            <w:tcW w:w="1760" w:type="dxa"/>
            <w:vAlign w:val="bottom"/>
          </w:tcPr>
          <w:p>
            <w:pPr>
              <w:spacing w:after="0"/>
              <w:rPr>
                <w:sz w:val="24"/>
                <w:szCs w:val="24"/>
                <w:color w:val="auto"/>
              </w:rPr>
            </w:pPr>
          </w:p>
        </w:tc>
        <w:tc>
          <w:tcPr>
            <w:tcW w:w="8440" w:type="dxa"/>
            <w:vAlign w:val="bottom"/>
          </w:tcPr>
          <w:p>
            <w:pPr>
              <w:jc w:val="center"/>
              <w:ind w:right="652"/>
              <w:spacing w:after="0"/>
              <w:rPr>
                <w:sz w:val="20"/>
                <w:szCs w:val="20"/>
                <w:color w:val="auto"/>
              </w:rPr>
            </w:pPr>
            <w:r>
              <w:rPr>
                <w:rFonts w:ascii="Arial" w:cs="Arial" w:eastAsia="Arial" w:hAnsi="Arial"/>
                <w:sz w:val="22"/>
                <w:szCs w:val="22"/>
                <w:color w:val="auto"/>
                <w:w w:val="93"/>
              </w:rPr>
              <w:t>ARTICLE 10</w:t>
            </w:r>
          </w:p>
        </w:tc>
        <w:tc>
          <w:tcPr>
            <w:tcW w:w="1000" w:type="dxa"/>
            <w:vAlign w:val="bottom"/>
          </w:tcPr>
          <w:p>
            <w:pPr>
              <w:spacing w:after="0"/>
              <w:rPr>
                <w:sz w:val="24"/>
                <w:szCs w:val="24"/>
                <w:color w:val="auto"/>
              </w:rPr>
            </w:pPr>
          </w:p>
        </w:tc>
      </w:tr>
      <w:tr>
        <w:trPr>
          <w:trHeight w:val="274"/>
        </w:trPr>
        <w:tc>
          <w:tcPr>
            <w:tcW w:w="1760" w:type="dxa"/>
            <w:vAlign w:val="bottom"/>
          </w:tcPr>
          <w:p>
            <w:pPr>
              <w:spacing w:after="0"/>
              <w:rPr>
                <w:sz w:val="23"/>
                <w:szCs w:val="23"/>
                <w:color w:val="auto"/>
              </w:rPr>
            </w:pPr>
          </w:p>
        </w:tc>
        <w:tc>
          <w:tcPr>
            <w:tcW w:w="8440" w:type="dxa"/>
            <w:vAlign w:val="bottom"/>
          </w:tcPr>
          <w:p>
            <w:pPr>
              <w:jc w:val="center"/>
              <w:ind w:right="632"/>
              <w:spacing w:after="0"/>
              <w:rPr>
                <w:sz w:val="20"/>
                <w:szCs w:val="20"/>
                <w:color w:val="auto"/>
              </w:rPr>
            </w:pPr>
            <w:r>
              <w:rPr>
                <w:rFonts w:ascii="Arial" w:cs="Arial" w:eastAsia="Arial" w:hAnsi="Arial"/>
                <w:sz w:val="22"/>
                <w:szCs w:val="22"/>
                <w:color w:val="auto"/>
                <w:w w:val="98"/>
              </w:rPr>
              <w:t>S</w:t>
            </w:r>
            <w:r>
              <w:rPr>
                <w:rFonts w:ascii="Arial" w:cs="Arial" w:eastAsia="Arial" w:hAnsi="Arial"/>
                <w:sz w:val="17"/>
                <w:szCs w:val="17"/>
                <w:color w:val="auto"/>
                <w:w w:val="98"/>
              </w:rPr>
              <w:t>ECURITIES IN</w:t>
            </w:r>
            <w:r>
              <w:rPr>
                <w:rFonts w:ascii="Arial" w:cs="Arial" w:eastAsia="Arial" w:hAnsi="Arial"/>
                <w:sz w:val="22"/>
                <w:szCs w:val="22"/>
                <w:color w:val="auto"/>
                <w:w w:val="98"/>
              </w:rPr>
              <w:t xml:space="preserve"> F</w:t>
            </w:r>
            <w:r>
              <w:rPr>
                <w:rFonts w:ascii="Arial" w:cs="Arial" w:eastAsia="Arial" w:hAnsi="Arial"/>
                <w:sz w:val="17"/>
                <w:szCs w:val="17"/>
                <w:color w:val="auto"/>
                <w:w w:val="98"/>
              </w:rPr>
              <w:t>OREIGN</w:t>
            </w:r>
            <w:r>
              <w:rPr>
                <w:rFonts w:ascii="Arial" w:cs="Arial" w:eastAsia="Arial" w:hAnsi="Arial"/>
                <w:sz w:val="22"/>
                <w:szCs w:val="22"/>
                <w:color w:val="auto"/>
                <w:w w:val="98"/>
              </w:rPr>
              <w:t xml:space="preserve"> C</w:t>
            </w:r>
            <w:r>
              <w:rPr>
                <w:rFonts w:ascii="Arial" w:cs="Arial" w:eastAsia="Arial" w:hAnsi="Arial"/>
                <w:sz w:val="17"/>
                <w:szCs w:val="17"/>
                <w:color w:val="auto"/>
                <w:w w:val="98"/>
              </w:rPr>
              <w:t>URRENCIES</w:t>
            </w:r>
          </w:p>
        </w:tc>
        <w:tc>
          <w:tcPr>
            <w:tcW w:w="1000" w:type="dxa"/>
            <w:vAlign w:val="bottom"/>
          </w:tcPr>
          <w:p>
            <w:pPr>
              <w:spacing w:after="0"/>
              <w:rPr>
                <w:sz w:val="23"/>
                <w:szCs w:val="23"/>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2"/>
                <w:szCs w:val="22"/>
                <w:color w:val="auto"/>
              </w:rPr>
              <w:t>Section 10.01.</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Applicability of Article</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1"/>
        </w:trPr>
        <w:tc>
          <w:tcPr>
            <w:tcW w:w="1760" w:type="dxa"/>
            <w:vAlign w:val="bottom"/>
          </w:tcPr>
          <w:p>
            <w:pPr>
              <w:spacing w:after="0"/>
              <w:rPr>
                <w:sz w:val="24"/>
                <w:szCs w:val="24"/>
                <w:color w:val="auto"/>
              </w:rPr>
            </w:pPr>
          </w:p>
        </w:tc>
        <w:tc>
          <w:tcPr>
            <w:tcW w:w="8440" w:type="dxa"/>
            <w:vAlign w:val="bottom"/>
          </w:tcPr>
          <w:p>
            <w:pPr>
              <w:jc w:val="center"/>
              <w:ind w:right="652"/>
              <w:spacing w:after="0"/>
              <w:rPr>
                <w:sz w:val="20"/>
                <w:szCs w:val="20"/>
                <w:color w:val="auto"/>
              </w:rPr>
            </w:pPr>
            <w:r>
              <w:rPr>
                <w:rFonts w:ascii="Arial" w:cs="Arial" w:eastAsia="Arial" w:hAnsi="Arial"/>
                <w:sz w:val="22"/>
                <w:szCs w:val="22"/>
                <w:color w:val="auto"/>
                <w:w w:val="93"/>
              </w:rPr>
              <w:t>ARTICLE 11</w:t>
            </w:r>
          </w:p>
        </w:tc>
        <w:tc>
          <w:tcPr>
            <w:tcW w:w="1000" w:type="dxa"/>
            <w:vAlign w:val="bottom"/>
          </w:tcPr>
          <w:p>
            <w:pPr>
              <w:spacing w:after="0"/>
              <w:rPr>
                <w:sz w:val="24"/>
                <w:szCs w:val="24"/>
                <w:color w:val="auto"/>
              </w:rPr>
            </w:pPr>
          </w:p>
        </w:tc>
      </w:tr>
      <w:tr>
        <w:trPr>
          <w:trHeight w:val="274"/>
        </w:trPr>
        <w:tc>
          <w:tcPr>
            <w:tcW w:w="1760" w:type="dxa"/>
            <w:vAlign w:val="bottom"/>
          </w:tcPr>
          <w:p>
            <w:pPr>
              <w:spacing w:after="0"/>
              <w:rPr>
                <w:sz w:val="23"/>
                <w:szCs w:val="23"/>
                <w:color w:val="auto"/>
              </w:rPr>
            </w:pPr>
          </w:p>
        </w:tc>
        <w:tc>
          <w:tcPr>
            <w:tcW w:w="8440" w:type="dxa"/>
            <w:vAlign w:val="bottom"/>
          </w:tcPr>
          <w:p>
            <w:pPr>
              <w:jc w:val="center"/>
              <w:ind w:right="652"/>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tc>
        <w:tc>
          <w:tcPr>
            <w:tcW w:w="1000" w:type="dxa"/>
            <w:vAlign w:val="bottom"/>
          </w:tcPr>
          <w:p>
            <w:pPr>
              <w:spacing w:after="0"/>
              <w:rPr>
                <w:sz w:val="23"/>
                <w:szCs w:val="23"/>
                <w:color w:val="auto"/>
              </w:rPr>
            </w:pPr>
          </w:p>
        </w:tc>
      </w:tr>
      <w:tr>
        <w:trPr>
          <w:trHeight w:val="459"/>
        </w:trPr>
        <w:tc>
          <w:tcPr>
            <w:tcW w:w="1760" w:type="dxa"/>
            <w:vAlign w:val="bottom"/>
          </w:tcPr>
          <w:p>
            <w:pPr>
              <w:spacing w:after="0"/>
              <w:rPr>
                <w:sz w:val="20"/>
                <w:szCs w:val="20"/>
                <w:color w:val="auto"/>
              </w:rPr>
            </w:pPr>
            <w:r>
              <w:rPr>
                <w:rFonts w:ascii="Arial" w:cs="Arial" w:eastAsia="Arial" w:hAnsi="Arial"/>
                <w:sz w:val="22"/>
                <w:szCs w:val="22"/>
                <w:color w:val="auto"/>
              </w:rPr>
              <w:t>Section 11.01.</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Trust Indenture Act Controls</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11.02.</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Notices</w:t>
            </w:r>
          </w:p>
        </w:tc>
        <w:tc>
          <w:tcPr>
            <w:tcW w:w="100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11.03.</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Communications by Holders with Other Holders</w:t>
            </w:r>
          </w:p>
        </w:tc>
        <w:tc>
          <w:tcPr>
            <w:tcW w:w="10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11.04.</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Certificate and Opinion as to Conditions Precedent</w:t>
            </w:r>
          </w:p>
        </w:tc>
        <w:tc>
          <w:tcPr>
            <w:tcW w:w="10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11.05.</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Statements Required in Certificate or Opinion</w:t>
            </w:r>
          </w:p>
        </w:tc>
        <w:tc>
          <w:tcPr>
            <w:tcW w:w="10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11.06.</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Rules by Trustee and Agents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11.07.</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Legal Holidays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11.08.</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Governing Law</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11.09.</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No Adverse Interpretation of Other Agreements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11.10.</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No Recourse Against Others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11.11.</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Successors and Assigns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11.12.</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Duplicate Originals</w:t>
            </w:r>
          </w:p>
        </w:tc>
        <w:tc>
          <w:tcPr>
            <w:tcW w:w="100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11.13.</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Severability</w:t>
            </w:r>
          </w:p>
        </w:tc>
        <w:tc>
          <w:tcPr>
            <w:tcW w:w="10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11.14.</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PATRIOT ACT</w:t>
            </w:r>
          </w:p>
        </w:tc>
        <w:tc>
          <w:tcPr>
            <w:tcW w:w="10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1"/>
        </w:trPr>
        <w:tc>
          <w:tcPr>
            <w:tcW w:w="1760" w:type="dxa"/>
            <w:vAlign w:val="bottom"/>
          </w:tcPr>
          <w:p>
            <w:pPr>
              <w:spacing w:after="0"/>
              <w:rPr>
                <w:sz w:val="20"/>
                <w:szCs w:val="20"/>
                <w:color w:val="auto"/>
              </w:rPr>
            </w:pPr>
            <w:r>
              <w:rPr>
                <w:rFonts w:ascii="Arial" w:cs="Arial" w:eastAsia="Arial" w:hAnsi="Arial"/>
                <w:sz w:val="22"/>
                <w:szCs w:val="22"/>
                <w:color w:val="auto"/>
              </w:rPr>
              <w:t>Section 11.15.</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Waiver of Jury Trial</w:t>
            </w:r>
          </w:p>
        </w:tc>
        <w:tc>
          <w:tcPr>
            <w:tcW w:w="10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760" w:type="dxa"/>
            <w:vAlign w:val="bottom"/>
          </w:tcPr>
          <w:p>
            <w:pPr>
              <w:spacing w:after="0"/>
              <w:rPr>
                <w:sz w:val="20"/>
                <w:szCs w:val="20"/>
                <w:color w:val="auto"/>
              </w:rPr>
            </w:pPr>
            <w:r>
              <w:rPr>
                <w:rFonts w:ascii="Arial" w:cs="Arial" w:eastAsia="Arial" w:hAnsi="Arial"/>
                <w:sz w:val="22"/>
                <w:szCs w:val="22"/>
                <w:color w:val="auto"/>
              </w:rPr>
              <w:t>Section 11.16.</w:t>
            </w:r>
          </w:p>
        </w:tc>
        <w:tc>
          <w:tcPr>
            <w:tcW w:w="8440" w:type="dxa"/>
            <w:vAlign w:val="bottom"/>
          </w:tcPr>
          <w:p>
            <w:pPr>
              <w:ind w:left="520"/>
              <w:spacing w:after="0"/>
              <w:rPr>
                <w:sz w:val="20"/>
                <w:szCs w:val="20"/>
                <w:color w:val="auto"/>
              </w:rPr>
            </w:pPr>
            <w:r>
              <w:rPr>
                <w:rFonts w:ascii="Arial" w:cs="Arial" w:eastAsia="Arial" w:hAnsi="Arial"/>
                <w:sz w:val="22"/>
                <w:szCs w:val="22"/>
                <w:i w:val="1"/>
                <w:iCs w:val="1"/>
                <w:color w:val="auto"/>
              </w:rPr>
              <w:t>Jurisdiction</w:t>
            </w:r>
          </w:p>
        </w:tc>
        <w:tc>
          <w:tcPr>
            <w:tcW w:w="100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Security</w:t>
      </w:r>
    </w:p>
    <w:p>
      <w:pPr>
        <w:sectPr>
          <w:pgSz w:w="11900" w:h="16838" w:orient="portrait"/>
          <w:cols w:equalWidth="0" w:num="1">
            <w:col w:w="11220"/>
          </w:cols>
          <w:pgMar w:left="320" w:top="1387" w:right="359" w:bottom="9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20"/>
          </w:cols>
          <w:pgMar w:left="320" w:top="1387" w:right="359" w:bottom="931" w:gutter="0" w:footer="0" w:header="0"/>
          <w:type w:val="continuous"/>
        </w:sectPr>
      </w:pPr>
    </w:p>
    <w:bookmarkStart w:id="42" w:name="page43"/>
    <w:bookmarkEnd w:id="42"/>
    <w:p>
      <w:pPr>
        <w:ind w:right="180" w:firstLine="648"/>
        <w:spacing w:after="0" w:line="349" w:lineRule="auto"/>
        <w:rPr>
          <w:sz w:val="20"/>
          <w:szCs w:val="20"/>
          <w:color w:val="auto"/>
        </w:rPr>
      </w:pPr>
      <w:r>
        <w:rPr>
          <w:rFonts w:ascii="Arial" w:cs="Arial" w:eastAsia="Arial" w:hAnsi="Arial"/>
          <w:sz w:val="19"/>
          <w:szCs w:val="19"/>
          <w:color w:val="auto"/>
        </w:rPr>
        <w:t>INDENTURE dated as of July 2, 2021 (the “</w:t>
      </w:r>
      <w:r>
        <w:rPr>
          <w:rFonts w:ascii="Arial" w:cs="Arial" w:eastAsia="Arial" w:hAnsi="Arial"/>
          <w:sz w:val="19"/>
          <w:szCs w:val="19"/>
          <w:b w:val="1"/>
          <w:bCs w:val="1"/>
          <w:color w:val="auto"/>
        </w:rPr>
        <w:t>Base Indenture</w:t>
      </w:r>
      <w:r>
        <w:rPr>
          <w:rFonts w:ascii="Arial" w:cs="Arial" w:eastAsia="Arial" w:hAnsi="Arial"/>
          <w:sz w:val="19"/>
          <w:szCs w:val="19"/>
          <w:color w:val="auto"/>
        </w:rPr>
        <w:t>”), by and between GXO LOGISTICS,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WELLS FARGO BANK, NATIONAL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party agrees as follows for the benefit of the other party and for the equal and ratable benefit of the Holders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Company’s debt securities issued under this Base Indenture:</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ARTICLE 1</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 AND</w:t>
      </w:r>
      <w:r>
        <w:rPr>
          <w:rFonts w:ascii="Arial" w:cs="Arial" w:eastAsia="Arial" w:hAnsi="Arial"/>
          <w:sz w:val="22"/>
          <w:szCs w:val="22"/>
          <w:color w:val="auto"/>
        </w:rPr>
        <w:t xml:space="preserve"> I</w:t>
      </w:r>
      <w:r>
        <w:rPr>
          <w:rFonts w:ascii="Arial" w:cs="Arial" w:eastAsia="Arial" w:hAnsi="Arial"/>
          <w:sz w:val="17"/>
          <w:szCs w:val="17"/>
          <w:color w:val="auto"/>
        </w:rPr>
        <w:t>NCORPORATION BY</w:t>
      </w:r>
      <w:r>
        <w:rPr>
          <w:rFonts w:ascii="Arial" w:cs="Arial" w:eastAsia="Arial" w:hAnsi="Arial"/>
          <w:sz w:val="22"/>
          <w:szCs w:val="22"/>
          <w:color w:val="auto"/>
        </w:rPr>
        <w:t xml:space="preserve"> R</w:t>
      </w:r>
      <w:r>
        <w:rPr>
          <w:rFonts w:ascii="Arial" w:cs="Arial" w:eastAsia="Arial" w:hAnsi="Arial"/>
          <w:sz w:val="17"/>
          <w:szCs w:val="17"/>
          <w:color w:val="auto"/>
        </w:rPr>
        <w:t>EFERENCE</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w:t>
      </w:r>
    </w:p>
    <w:p>
      <w:pPr>
        <w:spacing w:after="0" w:line="160" w:lineRule="exact"/>
        <w:rPr>
          <w:sz w:val="20"/>
          <w:szCs w:val="20"/>
          <w:color w:val="auto"/>
        </w:rPr>
      </w:pPr>
    </w:p>
    <w:p>
      <w:pPr>
        <w:ind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when used with reference to a specified Person, any Person directly or indirectly controlling or controlled by or under direct or indirect common control with the Person specified.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any Registrar, Paying Agent or co-Registrar or agent for service of notices and demands.</w:t>
      </w:r>
    </w:p>
    <w:p>
      <w:pPr>
        <w:spacing w:after="0" w:line="166"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Authorizing Resolution</w:t>
      </w:r>
      <w:r>
        <w:rPr>
          <w:rFonts w:ascii="Arial" w:cs="Arial" w:eastAsia="Arial" w:hAnsi="Arial"/>
          <w:sz w:val="22"/>
          <w:szCs w:val="22"/>
          <w:color w:val="auto"/>
        </w:rPr>
        <w:t>” means a resolution adopted by the Board of Directors or by an Officer or committee of Officers pursuant to delegation by the Board of Directors authorizing a Series of Securities.</w:t>
      </w:r>
    </w:p>
    <w:p>
      <w:pPr>
        <w:spacing w:after="0" w:line="108"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of the United States Code, as amended, or any similar federal or state law for the relief of debtors.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means the Board of Directors of the Company or any duly authorized committee thereof.</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calendar day that is not a Saturday or a Sunday or a day on which banking institutions in the City of New York (or any other place of payment with respect to the applicable Security) are authorized or required by law, regulation or executive order to close.</w:t>
      </w:r>
    </w:p>
    <w:p>
      <w:pPr>
        <w:spacing w:after="0" w:line="122"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with respect to any Person, any and all shares, interests, participations or other equivalents (however designated) of or in such Person’s capital stock or other equity interests.</w:t>
      </w:r>
    </w:p>
    <w:p>
      <w:pPr>
        <w:spacing w:after="0" w:line="108" w:lineRule="exact"/>
        <w:rPr>
          <w:sz w:val="20"/>
          <w:szCs w:val="20"/>
          <w:color w:val="auto"/>
        </w:rPr>
      </w:pPr>
    </w:p>
    <w:p>
      <w:pPr>
        <w:ind w:right="1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Commission</w:t>
      </w:r>
      <w:r>
        <w:rPr>
          <w:rFonts w:ascii="Arial" w:cs="Arial" w:eastAsia="Arial" w:hAnsi="Arial"/>
          <w:sz w:val="21"/>
          <w:szCs w:val="21"/>
          <w:color w:val="auto"/>
        </w:rPr>
        <w:t>” means the Securities and Exchange Commission, as from time to time constituted, created under the Exchange Act or, if at any time after the execution of this Base Indenture such Commission is not existing and performing the duties now assigned to it under the TIA, then the body performing such duties at such time.</w:t>
      </w:r>
    </w:p>
    <w:p>
      <w:pPr>
        <w:spacing w:after="0" w:line="104"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the party named as such in this Indenture until a successor replaces it pursuant to the Indenture and thereafter means the successor.</w:t>
      </w:r>
    </w:p>
    <w:p>
      <w:pPr>
        <w:sectPr>
          <w:pgSz w:w="11900" w:h="16838" w:orient="portrait"/>
          <w:cols w:equalWidth="0" w:num="1">
            <w:col w:w="11060"/>
          </w:cols>
          <w:pgMar w:left="320" w:top="1422" w:right="519" w:bottom="1440" w:gutter="0" w:footer="0" w:header="0"/>
        </w:sectPr>
      </w:pPr>
    </w:p>
    <w:bookmarkStart w:id="43" w:name="page44"/>
    <w:bookmarkEnd w:id="43"/>
    <w:p>
      <w:pPr>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Assets</w:t>
      </w:r>
      <w:r>
        <w:rPr>
          <w:rFonts w:ascii="Arial" w:cs="Arial" w:eastAsia="Arial" w:hAnsi="Arial"/>
          <w:sz w:val="19"/>
          <w:szCs w:val="19"/>
          <w:color w:val="auto"/>
        </w:rPr>
        <w:t>” means, as of the time of determination, total assets as reflected on the Company’s most recent consolidated balance sheet prepared as of the end of a fiscal quarter in accordance with GAAP which the Company shall have most recently filed with the Commission (or, if the Company is not required to so file, as reflected on its most recent consolidated balance sheet prepared in accordance with GAAP) prior to the time at which Consolidated Total Assets is being determined. The calculation of Consolidated Total Assets shall give pro forma effect to any acquisition by or disposition of assets of the Company or any of its Subsidiaries involving the payment or receipt by the Company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Continuing Entity</w:t>
      </w:r>
      <w:r>
        <w:rPr>
          <w:rFonts w:ascii="Arial" w:cs="Arial" w:eastAsia="Arial" w:hAnsi="Arial"/>
          <w:sz w:val="22"/>
          <w:szCs w:val="22"/>
          <w:color w:val="auto"/>
        </w:rPr>
        <w:t>” has the meaning set forth in Section 5.01(a)(i).</w:t>
      </w:r>
    </w:p>
    <w:p>
      <w:pPr>
        <w:spacing w:after="0" w:line="166"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when used with respect to any Person,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2"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act or condition that is, or after notice or the passage of time or both would be, an Event of Default.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Definitive Security</w:t>
      </w:r>
      <w:r>
        <w:rPr>
          <w:rFonts w:ascii="Arial" w:cs="Arial" w:eastAsia="Arial" w:hAnsi="Arial"/>
          <w:sz w:val="22"/>
          <w:szCs w:val="22"/>
          <w:color w:val="auto"/>
        </w:rPr>
        <w:t>” means a certificated Security registered in the name of the Securityholder thereof.</w:t>
      </w:r>
    </w:p>
    <w:p>
      <w:pPr>
        <w:spacing w:after="0" w:line="166" w:lineRule="exact"/>
        <w:rPr>
          <w:sz w:val="20"/>
          <w:szCs w:val="20"/>
          <w:color w:val="auto"/>
        </w:rPr>
      </w:pPr>
    </w:p>
    <w:p>
      <w:pPr>
        <w:ind w:right="6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 means, with respect to Securities of any Series which the Company shall determine will be issued in whole or in part as a Global Security, DTC, another clearing agency, or any successor registered as a clearing agency under the Exchange Act, and any other applicable U.S. or foreign statute or regulation, which, in each case, shall be designated by the Company pursuant to Section 2.01.</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United States Dollars.</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Subsidiary</w:t>
      </w:r>
      <w:r>
        <w:rPr>
          <w:rFonts w:ascii="Arial" w:cs="Arial" w:eastAsia="Arial" w:hAnsi="Arial"/>
          <w:sz w:val="21"/>
          <w:szCs w:val="21"/>
          <w:color w:val="auto"/>
        </w:rPr>
        <w:t>” means any Subsidiary of the Company of which, at the time of determination, all of the outstanding capital stock (other than directors’ qualifying shares) is owned by the Company directly and/or indirectly and which, at the time of determination, is primarily engaged in contract logistics, other than a Subsidiary that (a) neither transacts any substantial portion of its business nor regularly maintains any substantial portion of its fixed assets within the United States, (b) all or substantially all of whose assets consist of the capital stock of one or more Subsidiaries which are not Domestic Subsidiaries, (c) a majority of whose Voting Stock is owned directly or indirectly by one or more Subsidiaries of the Company which are not Domestic Subsidiaries or (d) does not own a Principal Property.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DTC</w:t>
      </w:r>
      <w:r>
        <w:rPr>
          <w:rFonts w:ascii="Arial" w:cs="Arial" w:eastAsia="Arial" w:hAnsi="Arial"/>
          <w:sz w:val="22"/>
          <w:szCs w:val="22"/>
          <w:color w:val="auto"/>
        </w:rPr>
        <w:t>” means The Depository Trust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2" w:right="379" w:bottom="1440" w:gutter="0" w:footer="0" w:header="0"/>
        </w:sectPr>
      </w:pPr>
    </w:p>
    <w:bookmarkStart w:id="44" w:name="page45"/>
    <w:bookmarkEnd w:id="44"/>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Currency</w:t>
      </w:r>
      <w:r>
        <w:rPr>
          <w:rFonts w:ascii="Arial" w:cs="Arial" w:eastAsia="Arial" w:hAnsi="Arial"/>
          <w:sz w:val="22"/>
          <w:szCs w:val="22"/>
          <w:color w:val="auto"/>
        </w:rPr>
        <w:t>” means any currency, currency unit or composite currency, including, without limitation, the euro, issued by the government of one or more countries other than the United States of America or by any recognized confederation or association of such governments.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 of America in effect from time to time.</w:t>
      </w:r>
    </w:p>
    <w:p>
      <w:pPr>
        <w:spacing w:after="0" w:line="200"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Security</w:t>
      </w:r>
      <w:r>
        <w:rPr>
          <w:rFonts w:ascii="Arial" w:cs="Arial" w:eastAsia="Arial" w:hAnsi="Arial"/>
          <w:sz w:val="22"/>
          <w:szCs w:val="22"/>
          <w:color w:val="auto"/>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22"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 Obligations</w:t>
      </w:r>
      <w:r>
        <w:rPr>
          <w:rFonts w:ascii="Arial" w:cs="Arial" w:eastAsia="Arial" w:hAnsi="Arial"/>
          <w:sz w:val="19"/>
          <w:szCs w:val="19"/>
          <w:color w:val="auto"/>
        </w:rPr>
        <w:t xml:space="preserve">” means securities which are (i) direct obligations of the United States or the other government or governments in the confederation which issued the Foreign Currency in which the principal of or any interest on the Security of the applicable Series shall be payable, in each case for the payment of which its full faith and credit is pledged or (ii) obligations of a Person controlled or supervised by and acting as an agency or instrumentality of the United States or such other government or governments, in each case the payment of which is unconditionally guaranteed as a full faith and credit obligation by the United States or such other government or governments, which, in either case are not callable or redeemable at the option of the issuer or issuers thereof, and shall also include a depositary receipt issued by a bank or trust company as custodian with respect to any such Government Obligations or a specific payment of interest on or principal of any such Government Obligation held by such custodian for the account of the holder of a depositary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the Government Obligation evidenced by such depositary receipt.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Holder</w:t>
      </w:r>
      <w:r>
        <w:rPr>
          <w:rFonts w:ascii="Arial" w:cs="Arial" w:eastAsia="Arial" w:hAnsi="Arial"/>
          <w:sz w:val="21"/>
          <w:szCs w:val="21"/>
          <w:color w:val="auto"/>
        </w:rPr>
        <w:t>” or “</w:t>
      </w:r>
      <w:r>
        <w:rPr>
          <w:rFonts w:ascii="Arial" w:cs="Arial" w:eastAsia="Arial" w:hAnsi="Arial"/>
          <w:sz w:val="21"/>
          <w:szCs w:val="21"/>
          <w:b w:val="1"/>
          <w:bCs w:val="1"/>
          <w:color w:val="auto"/>
        </w:rPr>
        <w:t>Securityholder</w:t>
      </w:r>
      <w:r>
        <w:rPr>
          <w:rFonts w:ascii="Arial" w:cs="Arial" w:eastAsia="Arial" w:hAnsi="Arial"/>
          <w:sz w:val="21"/>
          <w:szCs w:val="21"/>
          <w:color w:val="auto"/>
        </w:rPr>
        <w:t>” means the Person in whose name a Security is registered on the Registrar’s books.</w:t>
      </w:r>
    </w:p>
    <w:p>
      <w:pPr>
        <w:spacing w:after="0" w:line="177" w:lineRule="exact"/>
        <w:rPr>
          <w:sz w:val="20"/>
          <w:szCs w:val="20"/>
          <w:color w:val="auto"/>
        </w:rPr>
      </w:pPr>
    </w:p>
    <w:p>
      <w:pPr>
        <w:ind w:right="7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means, with respect to any Person, debt (other than Non-recourse Obligations) of such Person for borrowed money.</w:t>
      </w:r>
    </w:p>
    <w:p>
      <w:pPr>
        <w:spacing w:after="0" w:line="108" w:lineRule="exact"/>
        <w:rPr>
          <w:sz w:val="20"/>
          <w:szCs w:val="20"/>
          <w:color w:val="auto"/>
        </w:rPr>
      </w:pPr>
    </w:p>
    <w:p>
      <w:pPr>
        <w:ind w:right="8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Indenture</w:t>
      </w:r>
      <w:r>
        <w:rPr>
          <w:rFonts w:ascii="Arial" w:cs="Arial" w:eastAsia="Arial" w:hAnsi="Arial"/>
          <w:sz w:val="19"/>
          <w:szCs w:val="19"/>
          <w:color w:val="auto"/>
        </w:rPr>
        <w:t>” means this Base Indenture as amended or supplemented from time to time, including pursuant to any Authorizing Resolution or supplemental indenture pertaining to any Series, and including, for all purposes of this instrument and any such Authorizing Resolution or supplemental indenture, the provisions of the TIA that are deemed to be a part of and govern this Base Indenture and any such Authorizing Resolution or supplemental indenture, respectively.</w:t>
      </w:r>
    </w:p>
    <w:p>
      <w:pPr>
        <w:spacing w:after="0" w:line="81"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means, with respect to any Series of Securities, the date on which the Securities of such Series are originally issued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45" w:name="page46"/>
    <w:bookmarkEnd w:id="45"/>
    <w:p>
      <w:pPr>
        <w:ind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security interest, pledge, mortgage, conditional sale or other title retention agreement or other similar encumbrance.</w:t>
      </w:r>
    </w:p>
    <w:p>
      <w:pPr>
        <w:spacing w:after="0" w:line="10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Obligation</w:t>
      </w:r>
      <w:r>
        <w:rPr>
          <w:rFonts w:ascii="Arial" w:cs="Arial" w:eastAsia="Arial" w:hAnsi="Arial"/>
          <w:sz w:val="19"/>
          <w:szCs w:val="19"/>
          <w:color w:val="auto"/>
        </w:rPr>
        <w:t xml:space="preserve">” means Indebtedness (A) substantially related to (1) the acquisition of assets not previously owned by the Company or any of its Subsidiaries or (2) the financing of a project involving the development or expansion of properties of the Company or any of its Subsidiaries, or (B) renewing, refinancing, replacing or extending any of the types of Indebtedness referred to in the preceding clause (A), in each case, as to which the obligee with respect to such Indebtedness has no recourse to the Company or its assets other than the assets which were acquired with the proceeds of such transaction or the project financed with the proceeds of such transaction (and the proceeds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Indebtedness will not fail to qualify as Non-recourse Obligations solely because the Company has indemnified any such obligee against damages resulting from or is otherwise obligated to such obligee in respect of exceptions to non-recourse liability in general usage (as determined in good faith by the Board of Directors or any Senior Officer of the Company) in the relevant industry at the time such Indebtedness is incurred (such as fraud, waste, misapplication of funds, failure to maintain insurance coverage, and environmental liability).</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Default</w:t>
      </w:r>
      <w:r>
        <w:rPr>
          <w:rFonts w:ascii="Arial" w:cs="Arial" w:eastAsia="Arial" w:hAnsi="Arial"/>
          <w:sz w:val="22"/>
          <w:szCs w:val="22"/>
          <w:color w:val="auto"/>
        </w:rPr>
        <w:t>” has the meaning specified in Section 6.01(c).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NYUCC</w:t>
      </w:r>
      <w:r>
        <w:rPr>
          <w:rFonts w:ascii="Arial" w:cs="Arial" w:eastAsia="Arial" w:hAnsi="Arial"/>
          <w:sz w:val="22"/>
          <w:szCs w:val="22"/>
          <w:color w:val="auto"/>
        </w:rPr>
        <w:t>” means the New York Uniform Commercial Code, as in effect from time to time.</w:t>
      </w:r>
    </w:p>
    <w:p>
      <w:pPr>
        <w:spacing w:after="0" w:line="166" w:lineRule="exact"/>
        <w:rPr>
          <w:sz w:val="20"/>
          <w:szCs w:val="20"/>
          <w:color w:val="auto"/>
        </w:rPr>
      </w:pPr>
    </w:p>
    <w:p>
      <w:pPr>
        <w:ind w:right="3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the Chairman of the Board, the Chief Executive Officer, the Chief Financial Officer, the Chief Accounting Officer, the President, any Vice President, the Treasurer, the Assistant Treasurer, the Controller or the Secretary of the Company.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by an Officer of the Company.</w:t>
      </w:r>
    </w:p>
    <w:p>
      <w:pPr>
        <w:spacing w:after="0" w:line="166"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means a written opinion of counsel, which may be an employee of or counsel for the Company, any Subsidiary of the Company or any Person of which the Company is a Subsidiary, and who shall be reasonably acceptable to the Trustee.</w:t>
      </w:r>
    </w:p>
    <w:p>
      <w:pPr>
        <w:spacing w:after="0" w:line="122"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corporation, partnership, limited liability company, joint venture, association, joint-stock company, trust, unincorporated organization or government or political subdivision thereof.</w:t>
      </w:r>
    </w:p>
    <w:p>
      <w:pPr>
        <w:spacing w:after="0" w:line="108"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w:t>
      </w:r>
      <w:r>
        <w:rPr>
          <w:rFonts w:ascii="Arial" w:cs="Arial" w:eastAsia="Arial" w:hAnsi="Arial"/>
          <w:sz w:val="22"/>
          <w:szCs w:val="22"/>
          <w:color w:val="auto"/>
        </w:rPr>
        <w:t xml:space="preserve">” of a debt security means the principal of the security </w:t>
      </w:r>
      <w:r>
        <w:rPr>
          <w:rFonts w:ascii="Arial" w:cs="Arial" w:eastAsia="Arial" w:hAnsi="Arial"/>
          <w:sz w:val="22"/>
          <w:szCs w:val="22"/>
          <w:i w:val="1"/>
          <w:iCs w:val="1"/>
          <w:color w:val="auto"/>
        </w:rPr>
        <w:t>plus</w:t>
      </w:r>
      <w:r>
        <w:rPr>
          <w:rFonts w:ascii="Arial" w:cs="Arial" w:eastAsia="Arial" w:hAnsi="Arial"/>
          <w:sz w:val="22"/>
          <w:szCs w:val="22"/>
          <w:color w:val="auto"/>
        </w:rPr>
        <w:t>, when appropriate, the premium, if any, on the security.</w:t>
      </w:r>
    </w:p>
    <w:p>
      <w:pPr>
        <w:spacing w:after="0" w:line="108" w:lineRule="exact"/>
        <w:rPr>
          <w:sz w:val="20"/>
          <w:szCs w:val="20"/>
          <w:color w:val="auto"/>
        </w:rPr>
      </w:pPr>
    </w:p>
    <w:p>
      <w:pPr>
        <w:jc w:val="both"/>
        <w:ind w:right="20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Property</w:t>
      </w:r>
      <w:r>
        <w:rPr>
          <w:rFonts w:ascii="Arial" w:cs="Arial" w:eastAsia="Arial" w:hAnsi="Arial"/>
          <w:sz w:val="19"/>
          <w:szCs w:val="19"/>
          <w:color w:val="auto"/>
        </w:rPr>
        <w:t>” means the land, improvements, buildings and fixtures constituting any research and development facility or service and support facility that is real property located within the territorial limits of the United States (excluding its territories and possessions and Puerto Rico) owned or leased by the Company or any of its Domestic Subsidiaries and having a net book value which, on the date of determination as to whether a Property is a Principal Property is being made, exceeds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2" w:right="359" w:bottom="1440" w:gutter="0" w:footer="0" w:header="0"/>
        </w:sectPr>
      </w:pPr>
    </w:p>
    <w:bookmarkStart w:id="46" w:name="page47"/>
    <w:bookmarkEnd w:id="46"/>
    <w:p>
      <w:pPr>
        <w:ind w:right="60"/>
        <w:spacing w:after="0" w:line="253" w:lineRule="auto"/>
        <w:rPr>
          <w:sz w:val="20"/>
          <w:szCs w:val="20"/>
          <w:color w:val="auto"/>
        </w:rPr>
      </w:pPr>
      <w:r>
        <w:rPr>
          <w:rFonts w:ascii="Arial" w:cs="Arial" w:eastAsia="Arial" w:hAnsi="Arial"/>
          <w:sz w:val="22"/>
          <w:szCs w:val="22"/>
          <w:color w:val="auto"/>
        </w:rPr>
        <w:t>of Consolidated Total Assets, other than (a) any such facility as any of the Board of Directors determines in good faith is not of material importance to the total business conducted, or assets owned, by the Company and its Subsidiaries, taken as a whole, and (b) the Company’s principal corporate offices.</w:t>
      </w:r>
    </w:p>
    <w:p>
      <w:pPr>
        <w:spacing w:after="0" w:line="125"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any property or asset, whether real, personal or mixed, or tangible or intangible, including shares of capital stock.</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means any securities that are issued under this Base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 as amended.</w:t>
      </w:r>
    </w:p>
    <w:p>
      <w:pPr>
        <w:spacing w:after="0" w:line="166" w:lineRule="exact"/>
        <w:rPr>
          <w:sz w:val="20"/>
          <w:szCs w:val="20"/>
          <w:color w:val="auto"/>
        </w:rPr>
      </w:pPr>
    </w:p>
    <w:p>
      <w:pPr>
        <w:ind w:right="40"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Officer</w:t>
      </w:r>
      <w:r>
        <w:rPr>
          <w:rFonts w:ascii="Arial" w:cs="Arial" w:eastAsia="Arial" w:hAnsi="Arial"/>
          <w:sz w:val="19"/>
          <w:szCs w:val="19"/>
          <w:color w:val="auto"/>
        </w:rPr>
        <w:t>” of any specified Person means the Chief Executive Officer, any President, any Vice President, the Chief Financial Officer, the Treasurer, any Assistant Treasurer, the Secretary or any Assistant Secretary of such Person.</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w:t>
      </w:r>
      <w:r>
        <w:rPr>
          <w:rFonts w:ascii="Arial" w:cs="Arial" w:eastAsia="Arial" w:hAnsi="Arial"/>
          <w:sz w:val="22"/>
          <w:szCs w:val="22"/>
          <w:color w:val="auto"/>
        </w:rPr>
        <w:t>” means a series of Securities established under this Base Indenture.</w:t>
      </w:r>
    </w:p>
    <w:p>
      <w:pPr>
        <w:spacing w:after="0" w:line="166"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any corporation or other entity of which at least a majority of the outstanding capital stock or other equity interests having by the terms thereof ordinary voting power to elect a majority of the directors, managers or trustees of such corporation or other entity, irrespective of whether or not at the time capital stock or other equity securities of any other class or classes of such corporation or other entity shall have or might have voting power by reason of the happening of any contingency, is at the time, directly or indirectly, owned or controlled by the Company or by one or more of its Subsidiaries, or by the Company and one or more of its Subsidiaries.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TIA</w:t>
      </w:r>
      <w:r>
        <w:rPr>
          <w:rFonts w:ascii="Arial" w:cs="Arial" w:eastAsia="Arial" w:hAnsi="Arial"/>
          <w:sz w:val="22"/>
          <w:szCs w:val="22"/>
          <w:color w:val="auto"/>
        </w:rPr>
        <w:t>” means the Trust Indenture Act of 1939, as amended.</w:t>
      </w:r>
    </w:p>
    <w:p>
      <w:pPr>
        <w:spacing w:after="0" w:line="166"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Officer</w:t>
      </w:r>
      <w:r>
        <w:rPr>
          <w:rFonts w:ascii="Arial" w:cs="Arial" w:eastAsia="Arial" w:hAnsi="Arial"/>
          <w:sz w:val="22"/>
          <w:szCs w:val="22"/>
          <w:color w:val="auto"/>
        </w:rPr>
        <w:t>” means, when used with respect to the Trustee, any officer within the corporate trust department of the Trustee, including any vice president, assistant vice president, assistant secretary, senior associate,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in each case, shall have direct responsibility for the administration of this Indenture.</w:t>
      </w:r>
    </w:p>
    <w:p>
      <w:pPr>
        <w:spacing w:after="0" w:line="133" w:lineRule="exact"/>
        <w:rPr>
          <w:sz w:val="20"/>
          <w:szCs w:val="20"/>
          <w:color w:val="auto"/>
        </w:rPr>
      </w:pPr>
    </w:p>
    <w:p>
      <w:pPr>
        <w:ind w:right="16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xml:space="preserve">” means the party named as such in this Base Indenture until a successor replaces it pursuant to this Base Indenture and thereafter means the successor serving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at any time there is more than one such Person, “Trustee” as used with respect to the Securities of any Series shall mean only the Trustee with respect to Securities of that Series.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means the United States of America.</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of any specified Person as of any date means the capital stock of such Person that is at the time entitled to vote generally in the election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47" w:name="page48"/>
    <w:bookmarkEnd w:id="47"/>
    <w:p>
      <w:pPr>
        <w:ind w:right="420"/>
        <w:spacing w:after="0" w:line="263" w:lineRule="auto"/>
        <w:rPr>
          <w:sz w:val="20"/>
          <w:szCs w:val="20"/>
          <w:color w:val="auto"/>
        </w:rPr>
      </w:pPr>
      <w:r>
        <w:rPr>
          <w:rFonts w:ascii="Arial" w:cs="Arial" w:eastAsia="Arial" w:hAnsi="Arial"/>
          <w:sz w:val="22"/>
          <w:szCs w:val="22"/>
          <w:color w:val="auto"/>
        </w:rPr>
        <w:t>directors or managers of such Person (or if such Person is a partnership, the board of directors or other governing body of the general partner of such Person).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660" w:type="dxa"/>
            <w:vAlign w:val="bottom"/>
            <w:gridSpan w:val="2"/>
          </w:tcPr>
          <w:p>
            <w:pPr>
              <w:ind w:left="6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r>
              <w:rPr>
                <w:rFonts w:ascii="Arial" w:cs="Arial" w:eastAsia="Arial" w:hAnsi="Arial"/>
                <w:sz w:val="22"/>
                <w:szCs w:val="22"/>
                <w:color w:val="auto"/>
              </w:rPr>
              <w:t>.</w:t>
            </w:r>
          </w:p>
        </w:tc>
        <w:tc>
          <w:tcPr>
            <w:tcW w:w="5580" w:type="dxa"/>
            <w:vAlign w:val="bottom"/>
          </w:tcPr>
          <w:p>
            <w:pPr>
              <w:spacing w:after="0"/>
              <w:rPr>
                <w:sz w:val="23"/>
                <w:szCs w:val="23"/>
                <w:color w:val="auto"/>
              </w:rPr>
            </w:pPr>
          </w:p>
        </w:tc>
      </w:tr>
      <w:tr>
        <w:trPr>
          <w:trHeight w:val="48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Term</w:t>
            </w:r>
          </w:p>
        </w:tc>
        <w:tc>
          <w:tcPr>
            <w:tcW w:w="10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Defined in Section</w:t>
            </w:r>
          </w:p>
        </w:tc>
      </w:tr>
      <w:tr>
        <w:trPr>
          <w:trHeight w:val="293"/>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Agent Members</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2.15(a)</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Applicable Deficit</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8.01(e)</w:t>
            </w:r>
          </w:p>
        </w:tc>
      </w:tr>
      <w:tr>
        <w:trPr>
          <w:trHeight w:val="310"/>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Base Indenture</w:t>
            </w:r>
          </w:p>
        </w:tc>
        <w:tc>
          <w:tcPr>
            <w:tcW w:w="5580" w:type="dxa"/>
            <w:vAlign w:val="bottom"/>
          </w:tcPr>
          <w:p>
            <w:pPr>
              <w:jc w:val="center"/>
              <w:spacing w:after="0"/>
              <w:rPr>
                <w:sz w:val="20"/>
                <w:szCs w:val="20"/>
                <w:color w:val="auto"/>
              </w:rPr>
            </w:pPr>
            <w:r>
              <w:rPr>
                <w:rFonts w:ascii="Arial" w:cs="Arial" w:eastAsia="Arial" w:hAnsi="Arial"/>
                <w:sz w:val="22"/>
                <w:szCs w:val="22"/>
                <w:color w:val="auto"/>
                <w:w w:val="87"/>
              </w:rPr>
              <w:t>Preamble</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Covenant Defeasance</w:t>
            </w:r>
          </w:p>
        </w:tc>
        <w:tc>
          <w:tcPr>
            <w:tcW w:w="5580" w:type="dxa"/>
            <w:vAlign w:val="bottom"/>
          </w:tcPr>
          <w:p>
            <w:pPr>
              <w:jc w:val="center"/>
              <w:spacing w:after="0"/>
              <w:rPr>
                <w:sz w:val="20"/>
                <w:szCs w:val="20"/>
                <w:color w:val="auto"/>
              </w:rPr>
            </w:pPr>
            <w:r>
              <w:rPr>
                <w:rFonts w:ascii="Arial" w:cs="Arial" w:eastAsia="Arial" w:hAnsi="Arial"/>
                <w:sz w:val="22"/>
                <w:szCs w:val="22"/>
                <w:color w:val="auto"/>
                <w:w w:val="90"/>
              </w:rPr>
              <w:t>8.01(c)</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Event of Default</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6.01</w:t>
            </w:r>
          </w:p>
        </w:tc>
      </w:tr>
      <w:tr>
        <w:trPr>
          <w:trHeight w:val="310"/>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Legal Defeasance</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8.01(b)</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Legal Holiday</w:t>
            </w:r>
          </w:p>
        </w:tc>
        <w:tc>
          <w:tcPr>
            <w:tcW w:w="5580" w:type="dxa"/>
            <w:vAlign w:val="bottom"/>
          </w:tcPr>
          <w:p>
            <w:pPr>
              <w:jc w:val="center"/>
              <w:spacing w:after="0"/>
              <w:rPr>
                <w:sz w:val="20"/>
                <w:szCs w:val="20"/>
                <w:color w:val="auto"/>
              </w:rPr>
            </w:pPr>
            <w:r>
              <w:rPr>
                <w:rFonts w:ascii="Arial" w:cs="Arial" w:eastAsia="Arial" w:hAnsi="Arial"/>
                <w:sz w:val="22"/>
                <w:szCs w:val="22"/>
                <w:color w:val="auto"/>
                <w:w w:val="87"/>
              </w:rPr>
              <w:t>11.07</w:t>
            </w:r>
          </w:p>
        </w:tc>
      </w:tr>
      <w:tr>
        <w:trPr>
          <w:trHeight w:val="310"/>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Paying Agent</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2.03</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Registrar</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2.03</w:t>
            </w:r>
          </w:p>
        </w:tc>
      </w:tr>
      <w:tr>
        <w:trPr>
          <w:trHeight w:val="310"/>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Security Register</w:t>
            </w:r>
          </w:p>
        </w:tc>
        <w:tc>
          <w:tcPr>
            <w:tcW w:w="5580" w:type="dxa"/>
            <w:vAlign w:val="bottom"/>
          </w:tcPr>
          <w:p>
            <w:pPr>
              <w:jc w:val="center"/>
              <w:spacing w:after="0"/>
              <w:rPr>
                <w:sz w:val="20"/>
                <w:szCs w:val="20"/>
                <w:color w:val="auto"/>
              </w:rPr>
            </w:pPr>
            <w:r>
              <w:rPr>
                <w:rFonts w:ascii="Arial" w:cs="Arial" w:eastAsia="Arial" w:hAnsi="Arial"/>
                <w:sz w:val="22"/>
                <w:szCs w:val="22"/>
                <w:color w:val="auto"/>
                <w:w w:val="88"/>
              </w:rPr>
              <w:t>2.03</w:t>
            </w:r>
          </w:p>
        </w:tc>
      </w:tr>
      <w:tr>
        <w:trPr>
          <w:trHeight w:val="311"/>
        </w:trPr>
        <w:tc>
          <w:tcPr>
            <w:tcW w:w="5660" w:type="dxa"/>
            <w:vAlign w:val="bottom"/>
            <w:gridSpan w:val="2"/>
          </w:tcPr>
          <w:p>
            <w:pPr>
              <w:ind w:left="20"/>
              <w:spacing w:after="0"/>
              <w:rPr>
                <w:sz w:val="20"/>
                <w:szCs w:val="20"/>
                <w:color w:val="auto"/>
              </w:rPr>
            </w:pPr>
            <w:r>
              <w:rPr>
                <w:rFonts w:ascii="Arial" w:cs="Arial" w:eastAsia="Arial" w:hAnsi="Arial"/>
                <w:sz w:val="22"/>
                <w:szCs w:val="22"/>
                <w:color w:val="auto"/>
              </w:rPr>
              <w:t>Signature Law</w:t>
            </w:r>
          </w:p>
        </w:tc>
        <w:tc>
          <w:tcPr>
            <w:tcW w:w="5580" w:type="dxa"/>
            <w:vAlign w:val="bottom"/>
          </w:tcPr>
          <w:p>
            <w:pPr>
              <w:jc w:val="center"/>
              <w:spacing w:after="0"/>
              <w:rPr>
                <w:sz w:val="20"/>
                <w:szCs w:val="20"/>
                <w:color w:val="auto"/>
              </w:rPr>
            </w:pPr>
            <w:r>
              <w:rPr>
                <w:rFonts w:ascii="Arial" w:cs="Arial" w:eastAsia="Arial" w:hAnsi="Arial"/>
                <w:sz w:val="22"/>
                <w:szCs w:val="22"/>
                <w:color w:val="auto"/>
                <w:w w:val="87"/>
              </w:rPr>
              <w:t>11.12</w:t>
            </w:r>
          </w:p>
        </w:tc>
      </w:tr>
    </w:tbl>
    <w:p>
      <w:pPr>
        <w:spacing w:after="0" w:line="266"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Incorporation by Reference of Trust Indenture Act</w:t>
      </w:r>
      <w:r>
        <w:rPr>
          <w:rFonts w:ascii="Arial" w:cs="Arial" w:eastAsia="Arial" w:hAnsi="Arial"/>
          <w:sz w:val="22"/>
          <w:szCs w:val="22"/>
          <w:color w:val="auto"/>
        </w:rPr>
        <w:t>. Whenever this Indenture refers to a provision of the TIA, the provision is incorporated by reference in and made a part of this Indenture. The following TIA terms used in this Indenture have the following meanings: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“indenture securities” means the Securities of a particular Series.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“obligor” on the indenture securities means the Company or any other obligor on the Securities of a Series.</w:t>
      </w:r>
    </w:p>
    <w:p>
      <w:pPr>
        <w:spacing w:after="0" w:line="166"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All other TIA terms used in this Indenture that are defined by the TIA, defined by TIA reference to another statute or defined by Commission rule have the meanings so assigned to them.</w:t>
      </w:r>
    </w:p>
    <w:p>
      <w:pPr>
        <w:spacing w:after="0" w:line="12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i w:val="1"/>
          <w:iCs w:val="1"/>
          <w:color w:val="auto"/>
        </w:rPr>
        <w:t>Rules of Construction</w:t>
      </w:r>
      <w:r>
        <w:rPr>
          <w:rFonts w:ascii="Arial" w:cs="Arial" w:eastAsia="Arial" w:hAnsi="Arial"/>
          <w:sz w:val="19"/>
          <w:szCs w:val="19"/>
          <w:color w:val="auto"/>
        </w:rPr>
        <w:t>. Unless the context otherwise requires:</w:t>
      </w:r>
    </w:p>
    <w:p>
      <w:pPr>
        <w:spacing w:after="0" w:line="166" w:lineRule="exact"/>
        <w:rPr>
          <w:sz w:val="20"/>
          <w:szCs w:val="20"/>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term has the meaning assigned to it herein;</w:t>
      </w:r>
    </w:p>
    <w:p>
      <w:pPr>
        <w:spacing w:after="0" w:line="165" w:lineRule="exact"/>
        <w:rPr>
          <w:rFonts w:ascii="Arial" w:cs="Arial" w:eastAsia="Arial" w:hAnsi="Arial"/>
          <w:sz w:val="22"/>
          <w:szCs w:val="22"/>
          <w:color w:val="auto"/>
        </w:rPr>
      </w:pPr>
    </w:p>
    <w:p>
      <w:pPr>
        <w:ind w:right="920" w:firstLine="656"/>
        <w:spacing w:after="0" w:line="263" w:lineRule="auto"/>
        <w:tabs>
          <w:tab w:leader="none" w:pos="1116"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 accounting term not otherwise defined has the meaning assigned to it in accordance with GAAP and all accounting determinations shall be made in accordance with GAAP;</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“or” is not exclusive and “including” means “including without limitation”;</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165" w:lineRule="exact"/>
        <w:rPr>
          <w:rFonts w:ascii="Arial" w:cs="Arial" w:eastAsia="Arial" w:hAnsi="Arial"/>
          <w:sz w:val="22"/>
          <w:szCs w:val="22"/>
          <w:color w:val="auto"/>
        </w:rPr>
      </w:pPr>
    </w:p>
    <w:p>
      <w:pPr>
        <w:ind w:right="160" w:firstLine="656"/>
        <w:spacing w:after="0" w:line="263" w:lineRule="auto"/>
        <w:tabs>
          <w:tab w:leader="none" w:pos="1104" w:val="left"/>
        </w:tabs>
        <w:numPr>
          <w:ilvl w:val="0"/>
          <w:numId w:val="29"/>
        </w:numPr>
        <w:rPr>
          <w:rFonts w:ascii="Arial" w:cs="Arial" w:eastAsia="Arial" w:hAnsi="Arial"/>
          <w:sz w:val="22"/>
          <w:szCs w:val="22"/>
          <w:color w:val="auto"/>
        </w:rPr>
      </w:pPr>
      <w:r>
        <w:rPr>
          <w:rFonts w:ascii="Arial" w:cs="Arial" w:eastAsia="Arial" w:hAnsi="Arial"/>
          <w:sz w:val="22"/>
          <w:szCs w:val="22"/>
          <w:color w:val="auto"/>
        </w:rPr>
        <w:t>“herein,” “hereof” and “hereunder,” and other words of similar import, refer to this Indenture as a whole (including any Authorizing Resolution or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indenture relating to the relevant Series) and not to any particular Article, Section or other subdivision;</w:t>
      </w:r>
    </w:p>
    <w:p>
      <w:pPr>
        <w:spacing w:after="0" w:line="16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all exhibits are incorporated by reference herein and expressly made a part of this Indenture; and</w:t>
      </w:r>
    </w:p>
    <w:p>
      <w:pPr>
        <w:spacing w:after="0" w:line="165" w:lineRule="exact"/>
        <w:rPr>
          <w:rFonts w:ascii="Arial" w:cs="Arial" w:eastAsia="Arial" w:hAnsi="Arial"/>
          <w:sz w:val="22"/>
          <w:szCs w:val="22"/>
          <w:color w:val="auto"/>
        </w:rPr>
      </w:pPr>
    </w:p>
    <w:p>
      <w:pPr>
        <w:ind w:right="40" w:firstLine="656"/>
        <w:spacing w:after="0" w:line="253" w:lineRule="auto"/>
        <w:tabs>
          <w:tab w:leader="none" w:pos="111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transaction or event shall be considered “permitted by” or made “in accordance with” or “in compliance with” this Indenture or any particular provision hereof if such transaction or event is not expressly prohibited by this Indenture or such provision, as the case may be.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S</w:t>
      </w:r>
      <w:r>
        <w:rPr>
          <w:rFonts w:ascii="Arial" w:cs="Arial" w:eastAsia="Arial" w:hAnsi="Arial"/>
          <w:sz w:val="17"/>
          <w:szCs w:val="17"/>
          <w:color w:val="auto"/>
        </w:rPr>
        <w:t>ECURITIES</w:t>
      </w:r>
    </w:p>
    <w:p>
      <w:pPr>
        <w:spacing w:after="0" w:line="14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Form and Dating</w:t>
      </w:r>
      <w:r>
        <w:rPr>
          <w:rFonts w:ascii="Arial" w:cs="Arial" w:eastAsia="Arial" w:hAnsi="Arial"/>
          <w:sz w:val="22"/>
          <w:szCs w:val="22"/>
          <w:color w:val="auto"/>
        </w:rPr>
        <w:t>. The aggregate principal amount of Securities that may be issued under this Base Indenture is unlimited. The Securities may be issued from time to time in one or more Series. Each Series shall be created by an Authorizing Resolution, an Officer’s Certificate or a supplemental indenture that establishes the terms of the Series, which may include the following:</w:t>
      </w:r>
    </w:p>
    <w:p>
      <w:pPr>
        <w:spacing w:after="0" w:line="134" w:lineRule="exact"/>
        <w:rPr>
          <w:sz w:val="20"/>
          <w:szCs w:val="20"/>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title of the Series;</w:t>
      </w:r>
    </w:p>
    <w:p>
      <w:pPr>
        <w:spacing w:after="0" w:line="165" w:lineRule="exact"/>
        <w:rPr>
          <w:rFonts w:ascii="Arial" w:cs="Arial" w:eastAsia="Arial" w:hAnsi="Arial"/>
          <w:sz w:val="22"/>
          <w:szCs w:val="22"/>
          <w:color w:val="auto"/>
        </w:rPr>
      </w:pPr>
    </w:p>
    <w:p>
      <w:pPr>
        <w:ind w:right="120" w:firstLine="656"/>
        <w:spacing w:after="0" w:line="253" w:lineRule="auto"/>
        <w:tabs>
          <w:tab w:leader="none" w:pos="11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aggregate principal amount (or any limit on the aggregate principal amount) of the Series and, if any Securities of a Series are to be issued at a discount from their face amount, or with a premium, the method of computing the accretion of such discount or computing such premium;</w:t>
      </w:r>
    </w:p>
    <w:p>
      <w:pPr>
        <w:spacing w:after="0" w:line="131" w:lineRule="exact"/>
        <w:rPr>
          <w:rFonts w:ascii="Arial" w:cs="Arial" w:eastAsia="Arial" w:hAnsi="Arial"/>
          <w:sz w:val="22"/>
          <w:szCs w:val="22"/>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interest rate or method of calculation of the interest rate;</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date from which interest will accrue;</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record dates for interest payable on Securities of the Series;</w:t>
      </w:r>
    </w:p>
    <w:p>
      <w:pPr>
        <w:spacing w:after="0" w:line="165" w:lineRule="exact"/>
        <w:rPr>
          <w:rFonts w:ascii="Arial" w:cs="Arial" w:eastAsia="Arial" w:hAnsi="Arial"/>
          <w:sz w:val="22"/>
          <w:szCs w:val="22"/>
          <w:color w:val="auto"/>
        </w:rPr>
      </w:pPr>
    </w:p>
    <w:p>
      <w:pPr>
        <w:ind w:left="1080" w:hanging="424"/>
        <w:spacing w:after="0"/>
        <w:tabs>
          <w:tab w:leader="none" w:pos="1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dates when, places where and manner in which principal and interest are payable;</w:t>
      </w:r>
    </w:p>
    <w:p>
      <w:pPr>
        <w:spacing w:after="0" w:line="165" w:lineRule="exact"/>
        <w:rPr>
          <w:rFonts w:ascii="Arial" w:cs="Arial" w:eastAsia="Arial" w:hAnsi="Arial"/>
          <w:sz w:val="22"/>
          <w:szCs w:val="22"/>
          <w:color w:val="auto"/>
        </w:rPr>
      </w:pPr>
    </w:p>
    <w:p>
      <w:pPr>
        <w:ind w:right="40" w:firstLine="656"/>
        <w:spacing w:after="0" w:line="253" w:lineRule="auto"/>
        <w:tabs>
          <w:tab w:leader="none" w:pos="11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there is more than one Trustee or a Trustee other than Wells Fargo Bank, National Association, the identity of the Trustee and, if not the Trustee, the identity of each Registrar, Paying Agent or authenticating agent with respect to such Securities;</w:t>
      </w:r>
    </w:p>
    <w:p>
      <w:pPr>
        <w:spacing w:after="0" w:line="131" w:lineRule="exact"/>
        <w:rPr>
          <w:rFonts w:ascii="Arial" w:cs="Arial" w:eastAsia="Arial" w:hAnsi="Arial"/>
          <w:sz w:val="22"/>
          <w:szCs w:val="22"/>
          <w:color w:val="auto"/>
        </w:rPr>
      </w:pPr>
    </w:p>
    <w:p>
      <w:pPr>
        <w:ind w:left="1120" w:hanging="464"/>
        <w:spacing w:after="0"/>
        <w:tabs>
          <w:tab w:leader="none" w:pos="11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terms of any mandatory (including any sinking fund requirements) or optional redemption by the Company;</w:t>
      </w:r>
    </w:p>
    <w:p>
      <w:pPr>
        <w:spacing w:after="0" w:line="200" w:lineRule="exact"/>
        <w:rPr>
          <w:rFonts w:ascii="Arial" w:cs="Arial" w:eastAsia="Arial" w:hAnsi="Arial"/>
          <w:sz w:val="19"/>
          <w:szCs w:val="19"/>
          <w:color w:val="auto"/>
        </w:rPr>
      </w:pPr>
    </w:p>
    <w:p>
      <w:pPr>
        <w:ind w:left="1080" w:hanging="424"/>
        <w:spacing w:after="0"/>
        <w:tabs>
          <w:tab w:leader="none" w:pos="1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terms of any redemption at the option of Holders;</w:t>
      </w:r>
    </w:p>
    <w:p>
      <w:pPr>
        <w:spacing w:after="0" w:line="165" w:lineRule="exact"/>
        <w:rPr>
          <w:rFonts w:ascii="Arial" w:cs="Arial" w:eastAsia="Arial" w:hAnsi="Arial"/>
          <w:sz w:val="22"/>
          <w:szCs w:val="22"/>
          <w:color w:val="auto"/>
        </w:rPr>
      </w:pPr>
    </w:p>
    <w:p>
      <w:pPr>
        <w:ind w:firstLine="656"/>
        <w:spacing w:after="0" w:line="263" w:lineRule="auto"/>
        <w:tabs>
          <w:tab w:leader="none" w:pos="106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permissible denominations in which Securities of such Series are issuable, if different from $2,000 and multiples of $1,000 in excess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40"/>
          </w:cols>
          <w:pgMar w:left="320" w:top="1428" w:right="439" w:bottom="1440" w:gutter="0" w:footer="0" w:header="0"/>
        </w:sectPr>
      </w:pPr>
    </w:p>
    <w:bookmarkStart w:id="49" w:name="page50"/>
    <w:bookmarkEnd w:id="49"/>
    <w:p>
      <w:pPr>
        <w:ind w:left="1120" w:hanging="464"/>
        <w:spacing w:after="0"/>
        <w:tabs>
          <w:tab w:leader="none" w:pos="11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whether Securities of such Series will be issued in registered or bearer form and the terms of any such forms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w:t>
      </w:r>
    </w:p>
    <w:p>
      <w:pPr>
        <w:spacing w:after="0" w:line="147" w:lineRule="exact"/>
        <w:rPr>
          <w:rFonts w:ascii="Arial" w:cs="Arial" w:eastAsia="Arial" w:hAnsi="Arial"/>
          <w:sz w:val="19"/>
          <w:szCs w:val="19"/>
          <w:color w:val="auto"/>
        </w:rPr>
      </w:pPr>
    </w:p>
    <w:p>
      <w:pPr>
        <w:ind w:firstLine="656"/>
        <w:spacing w:after="0" w:line="248" w:lineRule="auto"/>
        <w:tabs>
          <w:tab w:leader="none" w:pos="1068" w:val="left"/>
        </w:tabs>
        <w:numPr>
          <w:ilvl w:val="0"/>
          <w:numId w:val="32"/>
        </w:numPr>
        <w:rPr>
          <w:rFonts w:ascii="Arial" w:cs="Arial" w:eastAsia="Arial" w:hAnsi="Arial"/>
          <w:sz w:val="22"/>
          <w:szCs w:val="22"/>
          <w:color w:val="auto"/>
        </w:rPr>
      </w:pPr>
      <w:r>
        <w:rPr>
          <w:rFonts w:ascii="Arial" w:cs="Arial" w:eastAsia="Arial" w:hAnsi="Arial"/>
          <w:sz w:val="22"/>
          <w:szCs w:val="22"/>
          <w:color w:val="auto"/>
        </w:rPr>
        <w:t>whether the Securities of the Series shall be issued in whole or in part in the form of a Global Security or Securities; the terms and conditions, if different from those contained in this Base Indenture, upon which such Global Security or Securities may be exchanged in whole or in part for Definitive Securities; the Depositary for such Global Security or Securities; and the form of any legend or legends, if any, to be borne by any such Global Security or Securities in addition to or in lieu of the legends referred to in Section 2.15;</w:t>
      </w:r>
    </w:p>
    <w:p>
      <w:pPr>
        <w:spacing w:after="0" w:line="137" w:lineRule="exact"/>
        <w:rPr>
          <w:rFonts w:ascii="Arial" w:cs="Arial" w:eastAsia="Arial" w:hAnsi="Arial"/>
          <w:sz w:val="22"/>
          <w:szCs w:val="22"/>
          <w:color w:val="auto"/>
        </w:rPr>
      </w:pPr>
    </w:p>
    <w:p>
      <w:pPr>
        <w:ind w:right="320" w:firstLine="656"/>
        <w:spacing w:after="0" w:line="263" w:lineRule="auto"/>
        <w:tabs>
          <w:tab w:leader="none" w:pos="11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currency or currencies (including any composite currency) in which principal or interest or both may be paid and the agency or organization, if any, responsible for overseeing any composite currency;</w:t>
      </w:r>
    </w:p>
    <w:p>
      <w:pPr>
        <w:spacing w:after="0" w:line="120" w:lineRule="exact"/>
        <w:rPr>
          <w:rFonts w:ascii="Arial" w:cs="Arial" w:eastAsia="Arial" w:hAnsi="Arial"/>
          <w:sz w:val="22"/>
          <w:szCs w:val="22"/>
          <w:color w:val="auto"/>
        </w:rPr>
      </w:pPr>
    </w:p>
    <w:p>
      <w:pPr>
        <w:ind w:right="60" w:firstLine="656"/>
        <w:spacing w:after="0" w:line="247" w:lineRule="auto"/>
        <w:tabs>
          <w:tab w:leader="none" w:pos="11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payments of principal or interest may be made in a currency other than that in which Securities of such Series are denominated, the manner for determining such payments, including the time and manner of determining the exchange rate between the currency in which such Securities are denominated and the currency in which such Securities or any of them may be paid, and any deletions from or modifications of or additions to the terms of this Base Indenture to provide for or to facilitate the issuance of Securities denominated or payable, at the election of the Company or a Holder thereof or otherwise, in a Foreign Currency;</w:t>
      </w:r>
    </w:p>
    <w:p>
      <w:pPr>
        <w:spacing w:after="0" w:line="138" w:lineRule="exact"/>
        <w:rPr>
          <w:rFonts w:ascii="Arial" w:cs="Arial" w:eastAsia="Arial" w:hAnsi="Arial"/>
          <w:sz w:val="22"/>
          <w:szCs w:val="22"/>
          <w:color w:val="auto"/>
        </w:rPr>
      </w:pPr>
    </w:p>
    <w:p>
      <w:pPr>
        <w:ind w:right="40" w:firstLine="656"/>
        <w:spacing w:after="0" w:line="302" w:lineRule="auto"/>
        <w:tabs>
          <w:tab w:leader="none" w:pos="11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whether the amount of payments of principal of or any interest on such Securities may be determined with reference to an index, formula, financial or economic measure or other method or methods (which index, formula, measure or method or methods may be based, without limitation, on one or more currencies, commodities, equity indices or other indices) and if so, the terms and conditions upon which and the manner in which such amounts shall be determined and paid or be payable;</w:t>
      </w:r>
    </w:p>
    <w:p>
      <w:pPr>
        <w:spacing w:after="0" w:line="88" w:lineRule="exact"/>
        <w:rPr>
          <w:rFonts w:ascii="Arial" w:cs="Arial" w:eastAsia="Arial" w:hAnsi="Arial"/>
          <w:sz w:val="19"/>
          <w:szCs w:val="19"/>
          <w:color w:val="auto"/>
        </w:rPr>
      </w:pPr>
    </w:p>
    <w:p>
      <w:pPr>
        <w:ind w:left="1120" w:hanging="464"/>
        <w:spacing w:after="0"/>
        <w:tabs>
          <w:tab w:leader="none" w:pos="11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provisions for electronic issuance of Securities or issuance of Securities of such Series in uncertificated form;</w:t>
      </w:r>
    </w:p>
    <w:p>
      <w:pPr>
        <w:spacing w:after="0" w:line="200" w:lineRule="exact"/>
        <w:rPr>
          <w:rFonts w:ascii="Arial" w:cs="Arial" w:eastAsia="Arial" w:hAnsi="Arial"/>
          <w:sz w:val="19"/>
          <w:szCs w:val="19"/>
          <w:color w:val="auto"/>
        </w:rPr>
      </w:pPr>
    </w:p>
    <w:p>
      <w:pPr>
        <w:ind w:right="160" w:firstLine="656"/>
        <w:spacing w:after="0" w:line="263" w:lineRule="auto"/>
        <w:tabs>
          <w:tab w:leader="none" w:pos="11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Events of Default, covenants, defined terms and/or other terms in addition to or in lieu of those set forth in this Base Indenture;</w:t>
      </w:r>
    </w:p>
    <w:p>
      <w:pPr>
        <w:spacing w:after="0" w:line="120" w:lineRule="exact"/>
        <w:rPr>
          <w:rFonts w:ascii="Arial" w:cs="Arial" w:eastAsia="Arial" w:hAnsi="Arial"/>
          <w:sz w:val="22"/>
          <w:szCs w:val="22"/>
          <w:color w:val="auto"/>
        </w:rPr>
      </w:pPr>
    </w:p>
    <w:p>
      <w:pPr>
        <w:ind w:right="920" w:firstLine="656"/>
        <w:spacing w:after="0" w:line="263" w:lineRule="auto"/>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whether and upon what terms Securities of such Series may be defeased or discharged if different from the provisions set forth in this Base Indenture;</w:t>
      </w:r>
    </w:p>
    <w:p>
      <w:pPr>
        <w:spacing w:after="0" w:line="120" w:lineRule="exact"/>
        <w:rPr>
          <w:rFonts w:ascii="Arial" w:cs="Arial" w:eastAsia="Arial" w:hAnsi="Arial"/>
          <w:sz w:val="22"/>
          <w:szCs w:val="22"/>
          <w:color w:val="auto"/>
        </w:rPr>
      </w:pPr>
    </w:p>
    <w:p>
      <w:pPr>
        <w:ind w:right="880" w:firstLine="656"/>
        <w:spacing w:after="0" w:line="263" w:lineRule="auto"/>
        <w:tabs>
          <w:tab w:leader="none" w:pos="109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form of the Securities of such Series, which, unless the Authorizing Resolution, Officer’s Certificate or supplemental indenture otherwise provides, shall be in the form of Exhibit A;</w:t>
      </w:r>
    </w:p>
    <w:p>
      <w:pPr>
        <w:spacing w:after="0" w:line="120"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terms that may be required by or advisable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50" w:name="page51"/>
    <w:bookmarkEnd w:id="50"/>
    <w:p>
      <w:pPr>
        <w:ind w:right="680" w:firstLine="656"/>
        <w:spacing w:after="0" w:line="343" w:lineRule="auto"/>
        <w:tabs>
          <w:tab w:leader="none" w:pos="11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percentage of the principal amount of the Securities of such Series which is payable if the maturity of the Securities of such Series is accelerated in the case of Securities issued at a discount from their face amount;</w:t>
      </w:r>
    </w:p>
    <w:p>
      <w:pPr>
        <w:spacing w:after="0" w:line="50" w:lineRule="exact"/>
        <w:rPr>
          <w:rFonts w:ascii="Arial" w:cs="Arial" w:eastAsia="Arial" w:hAnsi="Arial"/>
          <w:sz w:val="19"/>
          <w:szCs w:val="19"/>
          <w:color w:val="auto"/>
        </w:rPr>
      </w:pPr>
    </w:p>
    <w:p>
      <w:pPr>
        <w:ind w:right="400" w:firstLine="656"/>
        <w:spacing w:after="0" w:line="343" w:lineRule="auto"/>
        <w:tabs>
          <w:tab w:leader="none" w:pos="11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whether Securities of such Series will or will not have the benefit of guarantees and, if applicable, the terms and conditions upon which such guarantees may be subordinated to other indebtedness of the respective guarantors;</w:t>
      </w:r>
    </w:p>
    <w:p>
      <w:pPr>
        <w:spacing w:after="0" w:line="50" w:lineRule="exact"/>
        <w:rPr>
          <w:rFonts w:ascii="Arial" w:cs="Arial" w:eastAsia="Arial" w:hAnsi="Arial"/>
          <w:sz w:val="19"/>
          <w:szCs w:val="19"/>
          <w:color w:val="auto"/>
        </w:rPr>
      </w:pPr>
    </w:p>
    <w:p>
      <w:pPr>
        <w:ind w:right="240" w:firstLine="656"/>
        <w:spacing w:after="0" w:line="263" w:lineRule="auto"/>
        <w:tabs>
          <w:tab w:leader="none" w:pos="1164" w:val="left"/>
        </w:tabs>
        <w:numPr>
          <w:ilvl w:val="0"/>
          <w:numId w:val="33"/>
        </w:numPr>
        <w:rPr>
          <w:rFonts w:ascii="Arial" w:cs="Arial" w:eastAsia="Arial" w:hAnsi="Arial"/>
          <w:sz w:val="22"/>
          <w:szCs w:val="22"/>
          <w:color w:val="auto"/>
        </w:rPr>
      </w:pPr>
      <w:r>
        <w:rPr>
          <w:rFonts w:ascii="Arial" w:cs="Arial" w:eastAsia="Arial" w:hAnsi="Arial"/>
          <w:sz w:val="22"/>
          <w:szCs w:val="22"/>
          <w:color w:val="auto"/>
        </w:rPr>
        <w:t>whether the Securities of such Series are unsubordinated or subordinated debt securities, and if subordinated debt securities, the terms of such subordination;</w:t>
      </w:r>
    </w:p>
    <w:p>
      <w:pPr>
        <w:spacing w:after="0" w:line="120" w:lineRule="exact"/>
        <w:rPr>
          <w:rFonts w:ascii="Arial" w:cs="Arial" w:eastAsia="Arial" w:hAnsi="Arial"/>
          <w:sz w:val="22"/>
          <w:szCs w:val="22"/>
          <w:color w:val="auto"/>
        </w:rPr>
      </w:pPr>
    </w:p>
    <w:p>
      <w:pPr>
        <w:ind w:right="80" w:firstLine="656"/>
        <w:spacing w:after="0" w:line="247" w:lineRule="auto"/>
        <w:tabs>
          <w:tab w:leader="none" w:pos="11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whether the Securities of the Series will be convertible into or exchangeable for other Securities, capital stock or other securities of any kind of the Company or another Person or Persons,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relation thereto; and</w:t>
      </w:r>
    </w:p>
    <w:p>
      <w:pPr>
        <w:spacing w:after="0" w:line="138" w:lineRule="exact"/>
        <w:rPr>
          <w:rFonts w:ascii="Arial" w:cs="Arial" w:eastAsia="Arial" w:hAnsi="Arial"/>
          <w:sz w:val="22"/>
          <w:szCs w:val="22"/>
          <w:color w:val="auto"/>
        </w:rPr>
      </w:pPr>
    </w:p>
    <w:p>
      <w:pPr>
        <w:ind w:left="1120" w:hanging="464"/>
        <w:spacing w:after="0"/>
        <w:tabs>
          <w:tab w:leader="none" w:pos="11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other terms in addition to or different from those contained in this Base Indenture applicable to such Series.</w:t>
      </w:r>
    </w:p>
    <w:p>
      <w:pPr>
        <w:spacing w:after="0" w:line="20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All Securities of one Series need not be issued at the same time and, unless otherwise provided, a Series may be reopened for issuances of additional Securities of such Series pursuant to an Authorizing Resolution, an Officer’s Certificate or in any indenture supplemental hereto.</w:t>
      </w:r>
    </w:p>
    <w:p>
      <w:pPr>
        <w:spacing w:after="0" w:line="131"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The creation and issuance of a Series and the authentication and delivery thereof are not subject to any conditions precedent.</w:t>
      </w:r>
    </w:p>
    <w:p>
      <w:pPr>
        <w:spacing w:after="0" w:line="121"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Execution and Authentication</w:t>
      </w:r>
      <w:r>
        <w:rPr>
          <w:rFonts w:ascii="Arial" w:cs="Arial" w:eastAsia="Arial" w:hAnsi="Arial"/>
          <w:sz w:val="22"/>
          <w:szCs w:val="22"/>
          <w:color w:val="auto"/>
        </w:rPr>
        <w:t>. One Officer shall sign the Securities for the Company by manual or facsimile signature.</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an Officer whose signature is on a Security no longer holds that office at the time the Trustee authenticates the Security, the Security shall nevertheless be valid.</w:t>
      </w:r>
    </w:p>
    <w:p>
      <w:pPr>
        <w:spacing w:after="0" w:line="121" w:lineRule="exact"/>
        <w:rPr>
          <w:sz w:val="20"/>
          <w:szCs w:val="20"/>
          <w:color w:val="auto"/>
        </w:rPr>
      </w:pPr>
    </w:p>
    <w:p>
      <w:pPr>
        <w:ind w:right="720" w:firstLine="648"/>
        <w:spacing w:after="0" w:line="343" w:lineRule="auto"/>
        <w:rPr>
          <w:sz w:val="20"/>
          <w:szCs w:val="20"/>
          <w:color w:val="auto"/>
        </w:rPr>
      </w:pPr>
      <w:r>
        <w:rPr>
          <w:rFonts w:ascii="Arial" w:cs="Arial" w:eastAsia="Arial" w:hAnsi="Arial"/>
          <w:sz w:val="19"/>
          <w:szCs w:val="19"/>
          <w:color w:val="auto"/>
        </w:rPr>
        <w:t>A Security shall not be valid until the Trustee manually signs the certificate of authentication on the Security. The signature shall be conclusive evidence that the Security has been authenticated under this Base Indenture.</w:t>
      </w:r>
    </w:p>
    <w:p>
      <w:pPr>
        <w:spacing w:after="0" w:line="50"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At any time and from time to time after the execution and delivery of this Base Indenture, the Company may deliver Securities of any series executed by the Company to the Trustee for authentication. Each Security shall be dated the date of its authentication. The Trustee shall authenticate Securities for original issue upon receipt of, and shall be fully protected in relying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51" w:name="page52"/>
    <w:bookmarkEnd w:id="51"/>
    <w:p>
      <w:pPr>
        <w:ind w:left="1120" w:hanging="464"/>
        <w:spacing w:after="0"/>
        <w:tabs>
          <w:tab w:leader="none" w:pos="11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order to the Trustee signed by an Officer of the Company directing the Trustee to authenticate the Securities;</w:t>
      </w:r>
    </w:p>
    <w:p>
      <w:pPr>
        <w:spacing w:after="0" w:line="200" w:lineRule="exact"/>
        <w:rPr>
          <w:rFonts w:ascii="Arial" w:cs="Arial" w:eastAsia="Arial" w:hAnsi="Arial"/>
          <w:sz w:val="19"/>
          <w:szCs w:val="19"/>
          <w:color w:val="auto"/>
        </w:rPr>
      </w:pPr>
    </w:p>
    <w:p>
      <w:pPr>
        <w:ind w:left="1120" w:hanging="464"/>
        <w:spacing w:after="0"/>
        <w:tabs>
          <w:tab w:leader="none" w:pos="11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 Officer’s Certificate of the Company delivered in accordance with Section 11.04; and</w:t>
      </w:r>
    </w:p>
    <w:p>
      <w:pPr>
        <w:spacing w:after="0" w:line="165" w:lineRule="exact"/>
        <w:rPr>
          <w:rFonts w:ascii="Arial" w:cs="Arial" w:eastAsia="Arial" w:hAnsi="Arial"/>
          <w:sz w:val="22"/>
          <w:szCs w:val="22"/>
          <w:color w:val="auto"/>
        </w:rPr>
      </w:pPr>
    </w:p>
    <w:p>
      <w:pPr>
        <w:ind w:firstLine="656"/>
        <w:spacing w:after="0" w:line="263" w:lineRule="auto"/>
        <w:tabs>
          <w:tab w:leader="none" w:pos="1104" w:val="left"/>
        </w:tabs>
        <w:numPr>
          <w:ilvl w:val="0"/>
          <w:numId w:val="34"/>
        </w:numPr>
        <w:rPr>
          <w:rFonts w:ascii="Arial" w:cs="Arial" w:eastAsia="Arial" w:hAnsi="Arial"/>
          <w:sz w:val="22"/>
          <w:szCs w:val="22"/>
          <w:color w:val="auto"/>
        </w:rPr>
      </w:pPr>
      <w:r>
        <w:rPr>
          <w:rFonts w:ascii="Arial" w:cs="Arial" w:eastAsia="Arial" w:hAnsi="Arial"/>
          <w:sz w:val="22"/>
          <w:szCs w:val="22"/>
          <w:color w:val="auto"/>
        </w:rPr>
        <w:t>other than in connection with the authentication of the Securities issued on the date hereof pursuant to this Indenture, an Opinion of Counsel delivered in accordance with Section 11.04.</w:t>
      </w:r>
    </w:p>
    <w:p>
      <w:pPr>
        <w:spacing w:after="0" w:line="120" w:lineRule="exact"/>
        <w:rPr>
          <w:rFonts w:ascii="Arial" w:cs="Arial" w:eastAsia="Arial" w:hAnsi="Arial"/>
          <w:sz w:val="22"/>
          <w:szCs w:val="22"/>
          <w:color w:val="auto"/>
        </w:rPr>
      </w:pPr>
    </w:p>
    <w:p>
      <w:pPr>
        <w:ind w:firstLine="656"/>
        <w:spacing w:after="0" w:line="253" w:lineRule="auto"/>
        <w:tabs>
          <w:tab w:leader="none" w:pos="1112"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Trustee shall have the right to decline to authenticate and deliver any Securities under this Section if the Trustee, being advised by counsel, determines that such action may not lawfully be taken or if the Trustee in good faith shall determine that such action would expose the Trustee to personal liability to existing Holders.</w:t>
      </w:r>
    </w:p>
    <w:p>
      <w:pPr>
        <w:spacing w:after="0" w:line="13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Registrar and Paying Agent</w:t>
      </w:r>
      <w:r>
        <w:rPr>
          <w:rFonts w:ascii="Arial" w:cs="Arial" w:eastAsia="Arial" w:hAnsi="Arial"/>
          <w:sz w:val="19"/>
          <w:szCs w:val="19"/>
          <w:color w:val="auto"/>
        </w:rPr>
        <w:t>. The Company shall maintain an office or agency where Securities may be presented for registration of transfer or where Securities of a Series that are convertible or exchangeable may be surrendered for conversion or exchange (“</w:t>
      </w:r>
      <w:r>
        <w:rPr>
          <w:rFonts w:ascii="Arial" w:cs="Arial" w:eastAsia="Arial" w:hAnsi="Arial"/>
          <w:sz w:val="19"/>
          <w:szCs w:val="19"/>
          <w:b w:val="1"/>
          <w:bCs w:val="1"/>
          <w:color w:val="auto"/>
        </w:rPr>
        <w:t>Registrar</w:t>
      </w:r>
      <w:r>
        <w:rPr>
          <w:rFonts w:ascii="Arial" w:cs="Arial" w:eastAsia="Arial" w:hAnsi="Arial"/>
          <w:sz w:val="19"/>
          <w:szCs w:val="19"/>
          <w:color w:val="auto"/>
        </w:rPr>
        <w:t>”), an office or agency where Securities may be presented for payment (“</w:t>
      </w:r>
      <w:r>
        <w:rPr>
          <w:rFonts w:ascii="Arial" w:cs="Arial" w:eastAsia="Arial" w:hAnsi="Arial"/>
          <w:sz w:val="19"/>
          <w:szCs w:val="19"/>
          <w:b w:val="1"/>
          <w:bCs w:val="1"/>
          <w:color w:val="auto"/>
        </w:rPr>
        <w:t>Paying Agent</w:t>
      </w:r>
      <w:r>
        <w:rPr>
          <w:rFonts w:ascii="Arial" w:cs="Arial" w:eastAsia="Arial" w:hAnsi="Arial"/>
          <w:sz w:val="19"/>
          <w:szCs w:val="19"/>
          <w:color w:val="auto"/>
        </w:rPr>
        <w:t>”) and an office or agency where notices and demands to or upon the Company in respect of the Securities and this Indenture may be served. The Registrar shall keep a register of the Securities and of their transfer and exchange (the “</w:t>
      </w:r>
      <w:r>
        <w:rPr>
          <w:rFonts w:ascii="Arial" w:cs="Arial" w:eastAsia="Arial" w:hAnsi="Arial"/>
          <w:sz w:val="19"/>
          <w:szCs w:val="19"/>
          <w:b w:val="1"/>
          <w:bCs w:val="1"/>
          <w:color w:val="auto"/>
        </w:rPr>
        <w:t>Security Register</w:t>
      </w:r>
      <w:r>
        <w:rPr>
          <w:rFonts w:ascii="Arial" w:cs="Arial" w:eastAsia="Arial" w:hAnsi="Arial"/>
          <w:sz w:val="19"/>
          <w:szCs w:val="19"/>
          <w:color w:val="auto"/>
        </w:rPr>
        <w:t>”). The Company may have one or more co-Registrars and one or more additional paying agents. The term “Paying Agent” includes any additional paying agent. The Company may at any time rescind the designation of any Registrar or Paying Agent or approve a change in the office through which the Registrar or Paying Agent acts.</w:t>
      </w:r>
    </w:p>
    <w:p>
      <w:pPr>
        <w:spacing w:after="0" w:line="102"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shall enter into an appropriate agency agreement with any Agent not a party to this Base Indenture. The agreement shall implement the provisions of this Indenture that relate to such Agent. The Company shall promptly notify the Trustee in writing of the name and address of any such Agent, and the Trustee shall have the right to inspect the Security Register at all reasonable times to obtain copies thereof, and the Trustee shall have the right to rely upon such register as to the names and addresses of the Holders and the principal amounts and certificate numbers thereof. If the Company fails to maintain a Registrar or Paying Agent or fails to give the foregoing notice, the Trustee shall act as such.</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initially appoints the Trustee as Registrar and Paying Agent.</w:t>
      </w:r>
    </w:p>
    <w:p>
      <w:pPr>
        <w:spacing w:after="0" w:line="16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Paying Agent to Hold Money in Trust</w:t>
      </w:r>
      <w:r>
        <w:rPr>
          <w:rFonts w:ascii="Arial" w:cs="Arial" w:eastAsia="Arial" w:hAnsi="Arial"/>
          <w:sz w:val="19"/>
          <w:szCs w:val="19"/>
          <w:color w:val="auto"/>
        </w:rPr>
        <w:t>. Each Paying Agent shall hold in trust for the benefit of Securityholders and the Trustee all money held by the Paying Agent for the payment of principal of or interest on the Securities, and shall notify the Trustee of any default by the Company in making any such payment. If the Company or a Subsidiary acts as Paying Agent, it shall segregate the money and hold it as a separate trust fund. The Company at any time may require a Paying Agent to pay all money held by it to the Trustee. Upon doing so the Paying Agent shall have no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52" w:name="page53"/>
    <w:bookmarkEnd w:id="52"/>
    <w:p>
      <w:pPr>
        <w:ind w:right="100"/>
        <w:spacing w:after="0" w:line="263" w:lineRule="auto"/>
        <w:rPr>
          <w:sz w:val="20"/>
          <w:szCs w:val="20"/>
          <w:color w:val="auto"/>
        </w:rPr>
      </w:pPr>
      <w:r>
        <w:rPr>
          <w:rFonts w:ascii="Arial" w:cs="Arial" w:eastAsia="Arial" w:hAnsi="Arial"/>
          <w:sz w:val="22"/>
          <w:szCs w:val="22"/>
          <w:color w:val="auto"/>
        </w:rPr>
        <w:t>liability for the money. Upon an Event of Default under Section 6.01(d) or Section 6.01(e), the Trustee shall automatically be the Paying Agent.</w:t>
      </w:r>
    </w:p>
    <w:p>
      <w:pPr>
        <w:spacing w:after="0" w:line="121"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Securityholder Lists</w:t>
      </w:r>
      <w:r>
        <w:rPr>
          <w:rFonts w:ascii="Arial" w:cs="Arial" w:eastAsia="Arial" w:hAnsi="Arial"/>
          <w:sz w:val="22"/>
          <w:szCs w:val="22"/>
          <w:color w:val="auto"/>
        </w:rPr>
        <w:t>. The Trustee shall preserve in as current a form as is reasonably practicable the most recent list available to it of the names and addresses of Securityholders. If the Trustee is not the Registrar, the Company shall furnish to the Trustee at least five (5) Business Days before each semiannual interest payment date and at such other times as the Trustee may request in writing a list in such form and as of such date as the Trustee may reasonably require of the names and addresses of Securityholders.</w:t>
      </w:r>
    </w:p>
    <w:p>
      <w:pPr>
        <w:spacing w:after="0" w:line="138"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Transfer and Exchange</w:t>
      </w:r>
      <w:r>
        <w:rPr>
          <w:rFonts w:ascii="Arial" w:cs="Arial" w:eastAsia="Arial" w:hAnsi="Arial"/>
          <w:sz w:val="19"/>
          <w:szCs w:val="19"/>
          <w:color w:val="auto"/>
        </w:rPr>
        <w:t>. Where a Security is presented to the Registrar or a co-Registrar with a request to register a transfer, the Registrar shall register the transfer as requested if the requirements of Section 8-401(a) of the NYUCC are met and the other provisions of this Section 2.06 and, to the extent applicable, Section 2.15, are satisfied. Where Securities are presented to the Registrar or a co-Registrar with a request to exchange them for an equal principal amount of Securities of other denominations, the Registrar shall make the exchange as requested if the same requirements are met. To permit transfers and exchanges, the Trustee shall authenticate Securities at the Registrar’s request. The Registrar need not transfer or exchange any Security selected for redemption or transfer or exchange any Security for a period of 15 days before a selection of Securities to be redeemed or repurchased. Any exchange or transfer shall be without charge, except that the Company may require payment of a sum sufficient to cover any tax or other governmental charge that may be imposed in relation thereto, except in the case of exchanges pursuant to Section 2.09, 3.06 or 9.05 not involving any transfer. In connection with the foregoing, the Registrar may require a Holder to furnish appropriate endorsements and transfer documents.</w:t>
      </w:r>
    </w:p>
    <w:p>
      <w:pPr>
        <w:spacing w:after="0" w:line="1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Holder of a Global Security shall, by acceptance of such Global Security, agree that transfers of beneficial interests in such Global Security may be effected only through a book-entry system maintained by the Holder of such Global Security (or its agent), and that ownership of a beneficial interest in the Security shall be required to be reflected in a book entry.</w:t>
      </w:r>
    </w:p>
    <w:p>
      <w:pPr>
        <w:spacing w:after="0" w:line="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i w:val="1"/>
          <w:iCs w:val="1"/>
          <w:color w:val="auto"/>
        </w:rPr>
        <w:t>Replacement Securities</w:t>
      </w:r>
      <w:r>
        <w:rPr>
          <w:rFonts w:ascii="Arial" w:cs="Arial" w:eastAsia="Arial" w:hAnsi="Arial"/>
          <w:sz w:val="21"/>
          <w:szCs w:val="21"/>
          <w:color w:val="auto"/>
        </w:rPr>
        <w:t xml:space="preserve">. If the Holder of a Security claims that the Security has been lost, destroyed, mutilated or wrongfully taken, the Company shall issue and execute a replacement security and, upon written request of any Officer of the Company, the Trustee shall authenticate such replacement Security; </w:t>
      </w:r>
      <w:r>
        <w:rPr>
          <w:rFonts w:ascii="Arial" w:cs="Arial" w:eastAsia="Arial" w:hAnsi="Arial"/>
          <w:sz w:val="21"/>
          <w:szCs w:val="21"/>
          <w:i w:val="1"/>
          <w:iCs w:val="1"/>
          <w:color w:val="auto"/>
        </w:rPr>
        <w:t>provided</w:t>
      </w:r>
      <w:r>
        <w:rPr>
          <w:rFonts w:ascii="Arial" w:cs="Arial" w:eastAsia="Arial" w:hAnsi="Arial"/>
          <w:sz w:val="21"/>
          <w:szCs w:val="21"/>
          <w:color w:val="auto"/>
        </w:rPr>
        <w:t>, in the case of a lost, destroyed or wrongfully taken Security, that the requirements of Section 8-405 of the NYUCC are met. If any such lost, destroyed, mutilated or wrongfully taken Security shall have matured or shall be about to mature, the Company may, instead of issuing a substitute Security therefor, pay such Security without requiring (except in the case of a mutilated Security) the surrender thereof. An indemnity bond must be sufficient in the judgment of the Trustee to protect the Trustee and in the judgment of the Company to protect the Company, the Trustee and any Agent from any loss which any of them may suffer if a Security is replaced, including the acquisition of such Security by a bona fide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purchaser. The Company and the Trustee may charge for their expenses in replacing a Security.</w:t>
      </w:r>
    </w:p>
    <w:p>
      <w:pPr>
        <w:spacing w:after="0" w:line="166"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Outstanding Securities</w:t>
      </w:r>
      <w:r>
        <w:rPr>
          <w:rFonts w:ascii="Arial" w:cs="Arial" w:eastAsia="Arial" w:hAnsi="Arial"/>
          <w:sz w:val="22"/>
          <w:szCs w:val="22"/>
          <w:color w:val="auto"/>
        </w:rPr>
        <w:t>. Securities outstanding at any time are all Securities authenticated by the Trustee except for those cancelled by it and those described in this Section. A Security does not cease to be outstanding because the Company or one of its Affiliates holds the Security.</w:t>
      </w:r>
    </w:p>
    <w:p>
      <w:pPr>
        <w:spacing w:after="0" w:line="131" w:lineRule="exact"/>
        <w:rPr>
          <w:sz w:val="20"/>
          <w:szCs w:val="20"/>
          <w:color w:val="auto"/>
        </w:rPr>
      </w:pPr>
    </w:p>
    <w:p>
      <w:pPr>
        <w:ind w:right="60" w:firstLine="648"/>
        <w:spacing w:after="0" w:line="287" w:lineRule="auto"/>
        <w:rPr>
          <w:sz w:val="20"/>
          <w:szCs w:val="20"/>
          <w:color w:val="auto"/>
        </w:rPr>
      </w:pPr>
      <w:r>
        <w:rPr>
          <w:rFonts w:ascii="Arial" w:cs="Arial" w:eastAsia="Arial" w:hAnsi="Arial"/>
          <w:sz w:val="21"/>
          <w:szCs w:val="21"/>
          <w:color w:val="auto"/>
        </w:rPr>
        <w:t>If a Security is replaced pursuant to Section 2.07, it ceases to be outstanding unless the Trustee receives proof satisfactory to it that the replaced Security is held by a “protected purchaser” (as such term is defined in the NYUCC).</w:t>
      </w:r>
    </w:p>
    <w:p>
      <w:pPr>
        <w:spacing w:after="0" w:line="97" w:lineRule="exact"/>
        <w:rPr>
          <w:sz w:val="20"/>
          <w:szCs w:val="20"/>
          <w:color w:val="auto"/>
        </w:rPr>
      </w:pPr>
    </w:p>
    <w:p>
      <w:pPr>
        <w:ind w:right="40" w:firstLine="648"/>
        <w:spacing w:after="0" w:line="343" w:lineRule="auto"/>
        <w:rPr>
          <w:sz w:val="20"/>
          <w:szCs w:val="20"/>
          <w:color w:val="auto"/>
        </w:rPr>
      </w:pPr>
      <w:r>
        <w:rPr>
          <w:rFonts w:ascii="Arial" w:cs="Arial" w:eastAsia="Arial" w:hAnsi="Arial"/>
          <w:sz w:val="19"/>
          <w:szCs w:val="19"/>
          <w:color w:val="auto"/>
        </w:rPr>
        <w:t>If the Paying Agent holds on a redemption date, purchase date or maturity date money sufficient to pay Securities payable on that date, then on and after that date such Securities cease to be outstanding and interest on them ceases to accrue.</w:t>
      </w:r>
    </w:p>
    <w:p>
      <w:pPr>
        <w:spacing w:after="0" w:line="50"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1"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i w:val="1"/>
          <w:iCs w:val="1"/>
          <w:color w:val="auto"/>
        </w:rPr>
        <w:t>Temporary Securities</w:t>
      </w:r>
      <w:r>
        <w:rPr>
          <w:rFonts w:ascii="Arial" w:cs="Arial" w:eastAsia="Arial" w:hAnsi="Arial"/>
          <w:sz w:val="21"/>
          <w:szCs w:val="21"/>
          <w:color w:val="auto"/>
        </w:rPr>
        <w:t>. Until Definitive Securities are ready for delivery, the Company may execute and the Trustee shall (upon receipt of an order from the Company) authenticate temporary Securities. Temporary Securities shall be substantially in the form of Definitive Securities but may have variations that the Company considers appropriate for temporary Securities. Without unreasonable delay, the Company shall prepare and, upon surrender for cancellation of the temporary Security, the Company shall execute and the Trustee shall authenticate Definitive Securities in exchange for temporary Securities. Until so exchanged, the temporary Securities shall in all respects be entitled to the same benefits under this Indenture as Definitive Securities authenticated and delivered hereunder.</w:t>
      </w:r>
    </w:p>
    <w:p>
      <w:pPr>
        <w:spacing w:after="0" w:line="126"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Cancellation</w:t>
      </w:r>
      <w:r>
        <w:rPr>
          <w:rFonts w:ascii="Arial" w:cs="Arial" w:eastAsia="Arial" w:hAnsi="Arial"/>
          <w:sz w:val="22"/>
          <w:szCs w:val="22"/>
          <w:color w:val="auto"/>
        </w:rPr>
        <w:t>. The Company at any time may deliver Securities to the Trustee for cancellation. The Registrar and Paying Agent shall forward to the Trustee any Securities surrendered to them for registration of transfer, exchange, redemption, purchase or payment. The Trustee and no one else shall cancel and dispose of such cancelled or tendered Securities, or retain in accordance with its standard retention policy, all Securities surrendered for registration of transfer, exchange, redemption, purchase, payment or cancellation. Unless the Authorizing Resolution, Officer’s Certificate or supplemental indenture so provides, the Company may not issue new Securities to replace Securities that it has previously paid or delivered to the Trustee for cancellation.</w:t>
      </w:r>
    </w:p>
    <w:p>
      <w:pPr>
        <w:spacing w:after="0" w:line="14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Defaulted Interest</w:t>
      </w:r>
      <w:r>
        <w:rPr>
          <w:rFonts w:ascii="Arial" w:cs="Arial" w:eastAsia="Arial" w:hAnsi="Arial"/>
          <w:sz w:val="19"/>
          <w:szCs w:val="19"/>
          <w:color w:val="auto"/>
        </w:rPr>
        <w:t>. If the Company defaults in a payment of interest on the Securities of any Series, it shall pay the defaulted interest plus any interest payable on the defaulted interest to the persons who are Securityholders of such Series on a subsequent special record date. The Company shall fix such special record date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54" w:name="page55"/>
    <w:bookmarkEnd w:id="54"/>
    <w:p>
      <w:pPr>
        <w:ind w:right="60"/>
        <w:spacing w:after="0" w:line="247" w:lineRule="auto"/>
        <w:rPr>
          <w:sz w:val="20"/>
          <w:szCs w:val="20"/>
          <w:color w:val="auto"/>
        </w:rPr>
      </w:pPr>
      <w:r>
        <w:rPr>
          <w:rFonts w:ascii="Arial" w:cs="Arial" w:eastAsia="Arial" w:hAnsi="Arial"/>
          <w:sz w:val="22"/>
          <w:szCs w:val="22"/>
          <w:color w:val="auto"/>
        </w:rPr>
        <w:t>payment date. At least 15 days before such special record date, the Company shall send to each Securityholder of the relevant Series (with a copy to the Trustee) a notice that states the record date, the payment date and the amount of defaulted interest to be paid. On or before the date such notice is sent, the Company shall deposit with the Paying Agent money sufficient to pay the amount of defaulted interest to be so paid. The Company may pay defaulted interest in any other lawful manner if, after notice given by the Company to the Trustee of the proposed payment, such manner of payment shall be deemed practicable by the Trustee.</w:t>
      </w:r>
    </w:p>
    <w:p>
      <w:pPr>
        <w:spacing w:after="0" w:line="139"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Treasury Securities</w:t>
      </w:r>
      <w:r>
        <w:rPr>
          <w:rFonts w:ascii="Arial" w:cs="Arial" w:eastAsia="Arial" w:hAnsi="Arial"/>
          <w:sz w:val="22"/>
          <w:szCs w:val="22"/>
          <w:color w:val="auto"/>
        </w:rPr>
        <w:t>. In determining whether the Holders of the required principal amount of Securities of a Series have concurred in any direction, waiver, consent or notice, Securities owned by the Company or any of its Affiliates shall be considered as though they are not outstanding, except that for the purposes of determining whether the Trustee shall be protected in relying on any such direction, waiver or consent, only Securities which a Trust Officer of the Trustee actually knows are so owned shall be so considered.</w:t>
      </w:r>
    </w:p>
    <w:p>
      <w:pPr>
        <w:spacing w:after="0" w:line="138" w:lineRule="exact"/>
        <w:rPr>
          <w:sz w:val="20"/>
          <w:szCs w:val="20"/>
          <w:color w:val="auto"/>
        </w:rPr>
      </w:pPr>
    </w:p>
    <w:p>
      <w:pPr>
        <w:ind w:right="140" w:firstLine="648"/>
        <w:spacing w:after="0" w:line="29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CUSIP/ISIN Numbers</w:t>
      </w:r>
      <w:r>
        <w:rPr>
          <w:rFonts w:ascii="Arial" w:cs="Arial" w:eastAsia="Arial" w:hAnsi="Arial"/>
          <w:sz w:val="19"/>
          <w:szCs w:val="19"/>
          <w:color w:val="auto"/>
        </w:rPr>
        <w:t xml:space="preserve">. The Company in issuing the Securities of any Series may use a “CUSIP” and/or “ISIN” or other similar number, and if so, the Trustee shall use the CUSIP and/or ISIN or other similar number in notices of redemption or exchange as a convenience to Holders of such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representation is hereby deemed to be made by the Trustee as to the correctness or accuracy of any such CUSIP and/or ISIN or other similar number printed in the notice or on such Securities, and that reliance may be placed only on the other identification numbers printed on such Securities. The Company shall promptly notify the Trustee of any change in any CUSIP and/or ISIN or other similar number.</w:t>
      </w:r>
    </w:p>
    <w:p>
      <w:pPr>
        <w:spacing w:after="0" w:line="95" w:lineRule="exact"/>
        <w:rPr>
          <w:sz w:val="20"/>
          <w:szCs w:val="20"/>
          <w:color w:val="auto"/>
        </w:rPr>
      </w:pPr>
    </w:p>
    <w:p>
      <w:pPr>
        <w:ind w:right="120" w:firstLine="648"/>
        <w:spacing w:after="0" w:line="263" w:lineRule="auto"/>
        <w:rPr>
          <w:sz w:val="20"/>
          <w:szCs w:val="20"/>
          <w:color w:val="auto"/>
        </w:rPr>
      </w:pPr>
      <w:r>
        <w:rPr>
          <w:rFonts w:ascii="Arial" w:cs="Arial" w:eastAsia="Arial" w:hAnsi="Arial"/>
          <w:sz w:val="21"/>
          <w:szCs w:val="21"/>
          <w:color w:val="auto"/>
        </w:rPr>
        <w:t xml:space="preserve">Section 2.14. </w:t>
      </w:r>
      <w:r>
        <w:rPr>
          <w:rFonts w:ascii="Arial" w:cs="Arial" w:eastAsia="Arial" w:hAnsi="Arial"/>
          <w:sz w:val="21"/>
          <w:szCs w:val="21"/>
          <w:i w:val="1"/>
          <w:iCs w:val="1"/>
          <w:color w:val="auto"/>
        </w:rPr>
        <w:t>Deposit of Moneys</w:t>
      </w:r>
      <w:r>
        <w:rPr>
          <w:rFonts w:ascii="Arial" w:cs="Arial" w:eastAsia="Arial" w:hAnsi="Arial"/>
          <w:sz w:val="21"/>
          <w:szCs w:val="21"/>
          <w:color w:val="auto"/>
        </w:rPr>
        <w:t>. Prior to 11:00 a.m., New York City time, on each interest payment date and maturity date with respect to each Series of Securities, the Company shall have deposited with the Paying Agent in immediately available funds money in the applicable currency sufficient to make cash payments due on such interest payment date or maturity date, as the case may be, in a timely manner which permits the Paying Agent to remit payment to the Holders of such Series on such interest payment date or maturity date, as the case may be.</w:t>
      </w:r>
    </w:p>
    <w:p>
      <w:pPr>
        <w:spacing w:after="0" w:line="121"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i w:val="1"/>
          <w:iCs w:val="1"/>
          <w:color w:val="auto"/>
        </w:rPr>
        <w:t>Book-Entry Provisions for Global Security</w:t>
      </w:r>
      <w:r>
        <w:rPr>
          <w:rFonts w:ascii="Arial" w:cs="Arial" w:eastAsia="Arial" w:hAnsi="Arial"/>
          <w:sz w:val="22"/>
          <w:szCs w:val="22"/>
          <w:color w:val="auto"/>
        </w:rPr>
        <w:t>. (a) Any Global Security of a Series initially shall (i) be registered in the name of the Depositary or the nominee of such Depositary, (ii) be delivered to the Trustee as custodian for such Depositary and (iii) bear any required legends.</w:t>
      </w:r>
    </w:p>
    <w:p>
      <w:pPr>
        <w:spacing w:after="0" w:line="125"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Members of, or participants in, the Depositary (“</w:t>
      </w:r>
      <w:r>
        <w:rPr>
          <w:rFonts w:ascii="Arial" w:cs="Arial" w:eastAsia="Arial" w:hAnsi="Arial"/>
          <w:sz w:val="19"/>
          <w:szCs w:val="19"/>
          <w:b w:val="1"/>
          <w:bCs w:val="1"/>
          <w:color w:val="auto"/>
        </w:rPr>
        <w:t>Agent Members</w:t>
      </w:r>
      <w:r>
        <w:rPr>
          <w:rFonts w:ascii="Arial" w:cs="Arial" w:eastAsia="Arial" w:hAnsi="Arial"/>
          <w:sz w:val="19"/>
          <w:szCs w:val="19"/>
          <w:color w:val="auto"/>
        </w:rPr>
        <w:t>”)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5" w:name="page56"/>
    <w:bookmarkEnd w:id="55"/>
    <w:p>
      <w:pPr>
        <w:ind w:right="660"/>
        <w:spacing w:after="0" w:line="287" w:lineRule="auto"/>
        <w:rPr>
          <w:sz w:val="20"/>
          <w:szCs w:val="20"/>
          <w:color w:val="auto"/>
        </w:rPr>
      </w:pPr>
      <w:r>
        <w:rPr>
          <w:rFonts w:ascii="Arial" w:cs="Arial" w:eastAsia="Arial" w:hAnsi="Arial"/>
          <w:sz w:val="21"/>
          <w:szCs w:val="21"/>
          <w:color w:val="auto"/>
        </w:rPr>
        <w:t>proxy or other authorization furnished by the Depositary or impair, as between the Depositary and its Agent Members, the operation of customary practices governing the exercise of the rights of a Holder of any Security.</w:t>
      </w:r>
    </w:p>
    <w:p>
      <w:pPr>
        <w:spacing w:after="0" w:line="97" w:lineRule="exact"/>
        <w:rPr>
          <w:sz w:val="20"/>
          <w:szCs w:val="20"/>
          <w:color w:val="auto"/>
        </w:rPr>
      </w:pPr>
    </w:p>
    <w:p>
      <w:pPr>
        <w:ind w:right="20" w:firstLine="656"/>
        <w:spacing w:after="0" w:line="289" w:lineRule="auto"/>
        <w:tabs>
          <w:tab w:leader="none" w:pos="1112" w:val="left"/>
        </w:tabs>
        <w:numPr>
          <w:ilvl w:val="0"/>
          <w:numId w:val="35"/>
        </w:numPr>
        <w:rPr>
          <w:rFonts w:ascii="Arial" w:cs="Arial" w:eastAsia="Arial" w:hAnsi="Arial"/>
          <w:sz w:val="19"/>
          <w:szCs w:val="19"/>
          <w:color w:val="auto"/>
        </w:rPr>
      </w:pPr>
      <w:r>
        <w:rPr>
          <w:rFonts w:ascii="Arial" w:cs="Arial" w:eastAsia="Arial" w:hAnsi="Arial"/>
          <w:sz w:val="19"/>
          <w:szCs w:val="19"/>
          <w:color w:val="auto"/>
        </w:rPr>
        <w:t>Transfers of any Global Security shall be limited to transfers in whole, but not in part, to the Depositary, its successors or their respective nominees. Global Securities of a Series will be exchangeable for Definitive Securities of such Series without interest coupons only in the following limited circumstances: (i) the Depositary (A) notifies the Company that it is unwilling or unable to continue as depositary for such Global Securities of such Series or (B) has ceased to be a clearing agency registered under the Exchange Act, and in either case, the Company fails to appoint a successor Depositary within 90 days; or (ii) the Company notifies the Trustee in writing that the Company has elected to cause the issuance of such Definitive Securities of such Series under the Indenture. In all such cases, Definitive Securities delivered in exchange for any Global Securities or beneficial interests therein will be registered in the names, and issued in any approved denominations, requested by or on behalf of the Depositary (in accordance with its customary procedures).</w:t>
      </w:r>
    </w:p>
    <w:p>
      <w:pPr>
        <w:spacing w:after="0" w:line="102" w:lineRule="exact"/>
        <w:rPr>
          <w:rFonts w:ascii="Arial" w:cs="Arial" w:eastAsia="Arial" w:hAnsi="Arial"/>
          <w:sz w:val="19"/>
          <w:szCs w:val="19"/>
          <w:color w:val="auto"/>
        </w:rPr>
      </w:pPr>
    </w:p>
    <w:p>
      <w:pPr>
        <w:ind w:right="220" w:firstLine="656"/>
        <w:spacing w:after="0" w:line="263" w:lineRule="auto"/>
        <w:tabs>
          <w:tab w:leader="none" w:pos="1104"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 connection with any transfer or exchange of a portion of the beneficial interest in any Global Security to beneficial owners pursuant to paragraph (b), the Registrar shall (if one or more Definitive Securities are to be issued) reflect on its books and records the date and a decrease in the principal amount of the Global Security in an amount equal to the principal amount of the beneficial interest in the Global Security to be transferred, and the Company shall execute, and the Trustee shall authenticate and deliver, one or more Definitive Securities of like Series and amount.</w:t>
      </w:r>
    </w:p>
    <w:p>
      <w:pPr>
        <w:spacing w:after="0" w:line="121" w:lineRule="exact"/>
        <w:rPr>
          <w:rFonts w:ascii="Arial" w:cs="Arial" w:eastAsia="Arial" w:hAnsi="Arial"/>
          <w:sz w:val="21"/>
          <w:szCs w:val="21"/>
          <w:color w:val="auto"/>
        </w:rPr>
      </w:pPr>
    </w:p>
    <w:p>
      <w:pPr>
        <w:ind w:right="60" w:firstLine="656"/>
        <w:spacing w:after="0" w:line="248" w:lineRule="auto"/>
        <w:tabs>
          <w:tab w:leader="none" w:pos="1116"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connection with the transfer of an entire Global Security to beneficial owners pursuant to paragraph (b), the Global Security shall be deemed to be surrendered to the Trustee for cancellation, and the Company shall execute, and the Trustee shall authenticate and deliver, to each beneficial owner identified by the Depositary in exchange for its beneficial interest in the Global Security, an equal aggregate principal amount of Definitive Securities of the same Series in authorized denominations.</w:t>
      </w:r>
    </w:p>
    <w:p>
      <w:pPr>
        <w:spacing w:after="0" w:line="137" w:lineRule="exact"/>
        <w:rPr>
          <w:rFonts w:ascii="Arial" w:cs="Arial" w:eastAsia="Arial" w:hAnsi="Arial"/>
          <w:sz w:val="22"/>
          <w:szCs w:val="22"/>
          <w:color w:val="auto"/>
        </w:rPr>
      </w:pPr>
    </w:p>
    <w:p>
      <w:pPr>
        <w:ind w:firstLine="656"/>
        <w:spacing w:after="0" w:line="253" w:lineRule="auto"/>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Holder of any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31" w:lineRule="exact"/>
        <w:rPr>
          <w:rFonts w:ascii="Arial" w:cs="Arial" w:eastAsia="Arial" w:hAnsi="Arial"/>
          <w:sz w:val="22"/>
          <w:szCs w:val="22"/>
          <w:color w:val="auto"/>
        </w:rPr>
      </w:pPr>
    </w:p>
    <w:p>
      <w:pPr>
        <w:ind w:right="740" w:firstLine="656"/>
        <w:spacing w:after="0" w:line="287" w:lineRule="auto"/>
        <w:tabs>
          <w:tab w:leader="none" w:pos="10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Unless otherwise provided in the Authorizing Resolution or supplemental indenture for a particular Series of Securities, each Global Security of such Series shall bear legends in substantially the following forms:</w:t>
      </w:r>
    </w:p>
    <w:p>
      <w:pPr>
        <w:spacing w:after="0" w:line="97" w:lineRule="exact"/>
        <w:rPr>
          <w:sz w:val="20"/>
          <w:szCs w:val="20"/>
          <w:color w:val="auto"/>
        </w:rPr>
      </w:pPr>
    </w:p>
    <w:p>
      <w:pPr>
        <w:ind w:left="660" w:right="680" w:firstLine="648"/>
        <w:spacing w:after="0" w:line="312" w:lineRule="auto"/>
        <w:rPr>
          <w:sz w:val="20"/>
          <w:szCs w:val="20"/>
          <w:color w:val="auto"/>
        </w:rPr>
      </w:pPr>
      <w:r>
        <w:rPr>
          <w:rFonts w:ascii="Arial" w:cs="Arial" w:eastAsia="Arial" w:hAnsi="Arial"/>
          <w:sz w:val="19"/>
          <w:szCs w:val="19"/>
          <w:color w:val="auto"/>
        </w:rPr>
        <w:t>“THIS GLOBAL SECURITY IS HELD BY THE DEPOSITARY (AS DEFINED IN THE INDENTURE GOVERNING THIS SECURITY) OR ITS NOMINEE IN CUSTODY FOR THE BENEFIT OF THE HOLDERS OF BENEFICIAL INTERESTS HEREIN, AND IS NOT TRANSFERABLE TO ANY PERSON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56" w:name="page57"/>
    <w:bookmarkEnd w:id="56"/>
    <w:p>
      <w:pPr>
        <w:ind w:left="660" w:right="620"/>
        <w:spacing w:after="0" w:line="246" w:lineRule="auto"/>
        <w:rPr>
          <w:sz w:val="20"/>
          <w:szCs w:val="20"/>
          <w:color w:val="auto"/>
        </w:rPr>
      </w:pPr>
      <w:r>
        <w:rPr>
          <w:rFonts w:ascii="Arial" w:cs="Arial" w:eastAsia="Arial" w:hAnsi="Arial"/>
          <w:sz w:val="22"/>
          <w:szCs w:val="22"/>
          <w:color w:val="auto"/>
        </w:rPr>
        <w:t>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142" w:lineRule="exact"/>
        <w:rPr>
          <w:sz w:val="20"/>
          <w:szCs w:val="20"/>
          <w:color w:val="auto"/>
        </w:rPr>
      </w:pPr>
    </w:p>
    <w:p>
      <w:pPr>
        <w:ind w:left="660" w:right="580" w:firstLine="648"/>
        <w:spacing w:after="0" w:line="245"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i w:val="1"/>
          <w:iCs w:val="1"/>
          <w:color w:val="auto"/>
        </w:rPr>
        <w:t>No Duty to Monitor</w:t>
      </w:r>
      <w:r>
        <w:rPr>
          <w:rFonts w:ascii="Arial" w:cs="Arial" w:eastAsia="Arial" w:hAnsi="Arial"/>
          <w:sz w:val="21"/>
          <w:szCs w:val="21"/>
          <w:color w:val="auto"/>
        </w:rPr>
        <w:t>. 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25" w:lineRule="exact"/>
        <w:rPr>
          <w:sz w:val="20"/>
          <w:szCs w:val="20"/>
          <w:color w:val="auto"/>
        </w:rPr>
      </w:pPr>
    </w:p>
    <w:p>
      <w:pPr>
        <w:jc w:val="center"/>
        <w:ind w:left="520" w:right="460"/>
        <w:spacing w:after="0" w:line="328" w:lineRule="auto"/>
        <w:rPr>
          <w:sz w:val="20"/>
          <w:szCs w:val="20"/>
          <w:color w:val="auto"/>
        </w:rPr>
      </w:pPr>
      <w:r>
        <w:rPr>
          <w:rFonts w:ascii="Arial" w:cs="Arial" w:eastAsia="Arial" w:hAnsi="Arial"/>
          <w:sz w:val="22"/>
          <w:szCs w:val="22"/>
          <w:color w:val="auto"/>
        </w:rPr>
        <w:t>Neither the Trustee nor any Agent shall have any responsibility for any actions taken or not taken by the Depositary. ARTICLE 3</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EDEMPTION</w:t>
      </w:r>
    </w:p>
    <w:p>
      <w:pPr>
        <w:spacing w:after="0" w:line="148"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Notices to Trustee</w:t>
      </w:r>
      <w:r>
        <w:rPr>
          <w:rFonts w:ascii="Arial" w:cs="Arial" w:eastAsia="Arial" w:hAnsi="Arial"/>
          <w:sz w:val="22"/>
          <w:szCs w:val="22"/>
          <w:color w:val="auto"/>
        </w:rPr>
        <w:t>. Securities of a Series that are redeemable prior to maturity shall be redeemable in accordance with their terms and, unless the Authorizing Resolution, Officer’s Certificate or supplemental indenture provides otherwise, in accordance with this Article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60"/>
          </w:cols>
          <w:pgMar w:left="320" w:top="1428" w:right="419" w:bottom="1440" w:gutter="0" w:footer="0" w:header="0"/>
        </w:sectPr>
      </w:pPr>
    </w:p>
    <w:bookmarkStart w:id="57" w:name="page58"/>
    <w:bookmarkEnd w:id="57"/>
    <w:p>
      <w:pPr>
        <w:ind w:right="520" w:firstLine="648"/>
        <w:spacing w:after="0" w:line="250" w:lineRule="auto"/>
        <w:rPr>
          <w:sz w:val="20"/>
          <w:szCs w:val="20"/>
          <w:color w:val="auto"/>
        </w:rPr>
      </w:pPr>
      <w:r>
        <w:rPr>
          <w:rFonts w:ascii="Arial" w:cs="Arial" w:eastAsia="Arial" w:hAnsi="Arial"/>
          <w:sz w:val="22"/>
          <w:szCs w:val="22"/>
          <w:color w:val="auto"/>
        </w:rPr>
        <w:t>If the Company wants to redeem Securities pursuant to any provisions of such Securities permitting the Company to redeem such Securities at its option, it shall notify the Trustee in writing of the redemption date and the principal amount of Securities to be redeemed. Any such notice may be cancelled at any time prior to notice of such redemption being sent to Holders. Any such cancelled notice shall be void and of no effect.</w:t>
      </w:r>
    </w:p>
    <w:p>
      <w:pPr>
        <w:spacing w:after="0" w:line="134"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If the Company wants to credit any Securities previously redeemed, retired or acquired against any redemption pursuant to any provisions of such Securities requiring the Company to redeem such Securities, it shall notify the Trustee of the amount of the credit and it shall deliver any Securities not previously delivered to the Trustee for cancellation with such notice.</w:t>
      </w:r>
    </w:p>
    <w:p>
      <w:pPr>
        <w:spacing w:after="0" w:line="79" w:lineRule="exact"/>
        <w:rPr>
          <w:sz w:val="20"/>
          <w:szCs w:val="20"/>
          <w:color w:val="auto"/>
        </w:rPr>
      </w:pPr>
    </w:p>
    <w:p>
      <w:pPr>
        <w:ind w:right="520" w:firstLine="648"/>
        <w:spacing w:after="0" w:line="287" w:lineRule="auto"/>
        <w:rPr>
          <w:sz w:val="20"/>
          <w:szCs w:val="20"/>
          <w:color w:val="auto"/>
        </w:rPr>
      </w:pPr>
      <w:r>
        <w:rPr>
          <w:rFonts w:ascii="Arial" w:cs="Arial" w:eastAsia="Arial" w:hAnsi="Arial"/>
          <w:sz w:val="21"/>
          <w:szCs w:val="21"/>
          <w:color w:val="auto"/>
        </w:rPr>
        <w:t>The Company shall give each notice provided for in this Section 3.01 at least two days before the notice of any such redemption is to be delivered to Holders (unless a shorter notice shall be satisfactory to the Trustee).</w:t>
      </w:r>
    </w:p>
    <w:p>
      <w:pPr>
        <w:spacing w:after="0" w:line="97"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i w:val="1"/>
          <w:iCs w:val="1"/>
          <w:color w:val="auto"/>
        </w:rPr>
        <w:t>Selection of Securities to be Redeemed</w:t>
      </w:r>
      <w:r>
        <w:rPr>
          <w:rFonts w:ascii="Arial" w:cs="Arial" w:eastAsia="Arial" w:hAnsi="Arial"/>
          <w:sz w:val="19"/>
          <w:szCs w:val="19"/>
          <w:color w:val="auto"/>
        </w:rPr>
        <w:t>. If fewer than all of the Securities of a Series are to be redeemed, the Trustee (or Depositary, as applicable) shall select the Securities to be redeemed pro rata, by lot or such other method the Trustee (or Depositary, as applicable) considers fair and appropriate and in a manner that complies with applicable requirements of the Depositary. The Trustee (or Depositary, as applicable) shall make the selection from Securities outstanding not previously called for redemption and shall promptly notify the Company of the serial numbers or other identifying attributes of the Securities so selected. The Trustee (or Depositary, as applicable) may select for redemption portions of the principal of Securities that have denominations larger than the minimum denomination for the Series. Securities and portions of them it selects shall be in amounts equal to a permissible denomination for the Series. Provisions of this Indenture that apply to Securities called for redemption also apply to portions of Securities called for redemption.</w:t>
      </w:r>
    </w:p>
    <w:p>
      <w:pPr>
        <w:spacing w:after="0" w:line="10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Unless otherwise provided in the Authorizing Resolution, Officer’s Certificate or supplemental indenture relating to a Series, if any Security selected for partial redemption is converted into or exchanged for capital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which have been converted or exchanged during a selection of Securities to be redeemed shall be treated by the Trustee as outstanding for the purpose of such selection.</w:t>
      </w:r>
    </w:p>
    <w:p>
      <w:pPr>
        <w:spacing w:after="0" w:line="12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Notice of Redemption</w:t>
      </w:r>
      <w:r>
        <w:rPr>
          <w:rFonts w:ascii="Arial" w:cs="Arial" w:eastAsia="Arial" w:hAnsi="Arial"/>
          <w:sz w:val="22"/>
          <w:szCs w:val="22"/>
          <w:color w:val="auto"/>
        </w:rPr>
        <w:t>. At least 10 days but not more than 60 days before a redemption date, the Company shall send a notice of redemption by first-class mail, postage prepaid (or in the case of Global Securities, deliver electronically in accordance with the applicable procedures of the Depositary), to each Holder of Securities to be redeemed (with a copy to the Trustee).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Securities to be redeemed and shall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58" w:name="page59"/>
    <w:bookmarkEnd w:id="58"/>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redemption date and any conditions precedent to such redemption;</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redemption price or the formula pursuant to which such price will be calculated;</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any Security is being redeemed in part, the portion of the principal amount of such Security to be redeemed;</w:t>
      </w:r>
    </w:p>
    <w:p>
      <w:pPr>
        <w:spacing w:after="0" w:line="200" w:lineRule="exact"/>
        <w:rPr>
          <w:rFonts w:ascii="Arial" w:cs="Arial" w:eastAsia="Arial" w:hAnsi="Arial"/>
          <w:sz w:val="19"/>
          <w:szCs w:val="19"/>
          <w:color w:val="auto"/>
        </w:rPr>
      </w:pPr>
    </w:p>
    <w:p>
      <w:pPr>
        <w:ind w:right="20" w:firstLine="656"/>
        <w:spacing w:after="0" w:line="265" w:lineRule="auto"/>
        <w:tabs>
          <w:tab w:leader="none" w:pos="11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case of Securities of a Series that are convertible or exchangeable into shares of the Company’s capital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w:t>
      </w:r>
    </w:p>
    <w:p>
      <w:pPr>
        <w:spacing w:after="0" w:line="121" w:lineRule="exact"/>
        <w:rPr>
          <w:rFonts w:ascii="Arial" w:cs="Arial" w:eastAsia="Arial" w:hAnsi="Arial"/>
          <w:sz w:val="21"/>
          <w:szCs w:val="21"/>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165" w:lineRule="exact"/>
        <w:rPr>
          <w:rFonts w:ascii="Arial" w:cs="Arial" w:eastAsia="Arial" w:hAnsi="Arial"/>
          <w:sz w:val="22"/>
          <w:szCs w:val="22"/>
          <w:color w:val="auto"/>
        </w:rPr>
      </w:pPr>
    </w:p>
    <w:p>
      <w:pPr>
        <w:ind w:left="1080" w:hanging="424"/>
        <w:spacing w:after="0"/>
        <w:tabs>
          <w:tab w:leader="none" w:pos="10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that Securities called for redemption must be surrendered to the Paying Agent to collect the redemption price;</w:t>
      </w:r>
    </w:p>
    <w:p>
      <w:pPr>
        <w:spacing w:after="0" w:line="200" w:lineRule="exact"/>
        <w:rPr>
          <w:rFonts w:ascii="Arial" w:cs="Arial" w:eastAsia="Arial" w:hAnsi="Arial"/>
          <w:sz w:val="19"/>
          <w:szCs w:val="19"/>
          <w:color w:val="auto"/>
        </w:rPr>
      </w:pPr>
    </w:p>
    <w:p>
      <w:pPr>
        <w:ind w:right="240" w:firstLine="656"/>
        <w:spacing w:after="0" w:line="263" w:lineRule="auto"/>
        <w:tabs>
          <w:tab w:leader="none" w:pos="11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that, unless the Company defaults in payment of the redemption price, interest on Securities called for redemption ceases to accrue on and after the redemption date;</w:t>
      </w:r>
    </w:p>
    <w:p>
      <w:pPr>
        <w:spacing w:after="0" w:line="120" w:lineRule="exact"/>
        <w:rPr>
          <w:rFonts w:ascii="Arial" w:cs="Arial" w:eastAsia="Arial" w:hAnsi="Arial"/>
          <w:sz w:val="22"/>
          <w:szCs w:val="22"/>
          <w:color w:val="auto"/>
        </w:rPr>
      </w:pPr>
    </w:p>
    <w:p>
      <w:pPr>
        <w:ind w:right="80" w:firstLine="656"/>
        <w:spacing w:after="0" w:line="263" w:lineRule="auto"/>
        <w:tabs>
          <w:tab w:leader="none" w:pos="11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that the Securities are being redeemed pursuant to the mandatory redemption or the optional redemption provisions, as applicable; and</w:t>
      </w:r>
    </w:p>
    <w:p>
      <w:pPr>
        <w:spacing w:after="0" w:line="120" w:lineRule="exact"/>
        <w:rPr>
          <w:rFonts w:ascii="Arial" w:cs="Arial" w:eastAsia="Arial" w:hAnsi="Arial"/>
          <w:sz w:val="22"/>
          <w:szCs w:val="22"/>
          <w:color w:val="auto"/>
        </w:rPr>
      </w:pPr>
    </w:p>
    <w:p>
      <w:pPr>
        <w:ind w:right="220" w:firstLine="656"/>
        <w:spacing w:after="0" w:line="271" w:lineRule="auto"/>
        <w:tabs>
          <w:tab w:leader="none" w:pos="1068"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CUSIP number and that no representation is hereby deemed to be made be made by the Trustee as to the correctness or accuracy of any such CUSIP and/or ISIN or other similar number printed in the notice or on such Securities, and that reliance may be placed only on the other identification numbers printed on such Securities.</w:t>
      </w:r>
    </w:p>
    <w:p>
      <w:pPr>
        <w:spacing w:after="0" w:line="113"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At the Company’s request, the Trustee shall give the notice of redemption in the Company’s name and at its expense;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shall deliver to the Trustee at least two days prior to the date on which notice of redemption</w:t>
      </w:r>
      <w:r>
        <w:rPr>
          <w:rFonts w:ascii="Arial" w:cs="Arial" w:eastAsia="Arial" w:hAnsi="Arial"/>
          <w:sz w:val="19"/>
          <w:szCs w:val="19"/>
          <w:i w:val="1"/>
          <w:iCs w:val="1"/>
          <w:color w:val="auto"/>
        </w:rPr>
        <w:t xml:space="preserve"> </w:t>
      </w:r>
      <w:r>
        <w:rPr>
          <w:rFonts w:ascii="Arial" w:cs="Arial" w:eastAsia="Arial" w:hAnsi="Arial"/>
          <w:sz w:val="19"/>
          <w:szCs w:val="19"/>
          <w:color w:val="auto"/>
        </w:rPr>
        <w:t>is to be sent or such shorter period as may be satisfactory to the Trustee, such notice and an Officer’s Certificate requesting that the Trustee give such notice and setting forth the information to be stated in such notice as provided in the preceding paragraph.</w:t>
      </w:r>
    </w:p>
    <w:p>
      <w:pPr>
        <w:spacing w:after="0" w:line="88" w:lineRule="exact"/>
        <w:rPr>
          <w:sz w:val="20"/>
          <w:szCs w:val="20"/>
          <w:color w:val="auto"/>
        </w:rPr>
      </w:pPr>
    </w:p>
    <w:p>
      <w:pPr>
        <w:ind w:right="580" w:firstLine="648"/>
        <w:spacing w:after="0" w:line="265"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i w:val="1"/>
          <w:iCs w:val="1"/>
          <w:color w:val="auto"/>
        </w:rPr>
        <w:t>Effect of Notice of Redemption</w:t>
      </w:r>
      <w:r>
        <w:rPr>
          <w:rFonts w:ascii="Arial" w:cs="Arial" w:eastAsia="Arial" w:hAnsi="Arial"/>
          <w:sz w:val="21"/>
          <w:szCs w:val="21"/>
          <w:color w:val="auto"/>
        </w:rPr>
        <w:t xml:space="preserve">. Once notice of redemption is sent, Securities called for redemption become due and payable on the redemption date and at the redemption price as set forth in the notice of redemption, unless otherwise specified in such notice of redemption. Upon surrender to the Paying Agent, such Securities shall be paid at the redemption price, </w:t>
      </w:r>
      <w:r>
        <w:rPr>
          <w:rFonts w:ascii="Arial" w:cs="Arial" w:eastAsia="Arial" w:hAnsi="Arial"/>
          <w:sz w:val="21"/>
          <w:szCs w:val="21"/>
          <w:i w:val="1"/>
          <w:iCs w:val="1"/>
          <w:color w:val="auto"/>
        </w:rPr>
        <w:t>plus</w:t>
      </w:r>
      <w:r>
        <w:rPr>
          <w:rFonts w:ascii="Arial" w:cs="Arial" w:eastAsia="Arial" w:hAnsi="Arial"/>
          <w:sz w:val="21"/>
          <w:szCs w:val="21"/>
          <w:color w:val="auto"/>
        </w:rPr>
        <w:t xml:space="preserve"> accrued and unpaid interest to the redemption date.</w:t>
      </w:r>
    </w:p>
    <w:p>
      <w:pPr>
        <w:spacing w:after="0" w:line="12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Any notice of redemption of any Series of Securities may, at the Company’s discretion, be subject to one or more conditions precedent with respect to completion of a corporate transaction (including, but not limited to, any merger, acquisition,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28" w:right="35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21"/>
          <w:szCs w:val="21"/>
          <w:color w:val="auto"/>
        </w:rPr>
        <w:t>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a redemption is subject to satisfaction of one or more conditions precedent, the notice shall describe each condition, and the notice may be rescinded in the event that any or all of the conditions shall not have been satisfied on or prior to the redemption date; provided, however that in no event may such notice be rescinded later than 10:00 a.m. New York City time on the redemption date. Any notice of redemption may provide that payment of the redemption price and the Company’s obligations with respect to the redemption may be performed by another Person.</w:t>
      </w:r>
    </w:p>
    <w:p>
      <w:pPr>
        <w:spacing w:after="0" w:line="1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i w:val="1"/>
          <w:iCs w:val="1"/>
          <w:color w:val="auto"/>
        </w:rPr>
        <w:t>Deposit of Redemption Price</w:t>
      </w:r>
      <w:r>
        <w:rPr>
          <w:rFonts w:ascii="Arial" w:cs="Arial" w:eastAsia="Arial" w:hAnsi="Arial"/>
          <w:sz w:val="19"/>
          <w:szCs w:val="19"/>
          <w:color w:val="auto"/>
        </w:rPr>
        <w:t>. On or before the redemption date, the Company shall deposit with the Paying Agent immediately available funds in the applicable currency sufficient to pay the redemption price of and accrued interest on all Securities to be redeemed on that date. Unless the Company defaults in payment of the redemption price, on and after the redemption date interest will cease to accrue on the Securities, or portions thereof, called for redemption.</w:t>
      </w:r>
    </w:p>
    <w:p>
      <w:pPr>
        <w:spacing w:after="0" w:line="8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Securities Redeemed in Part</w:t>
      </w:r>
      <w:r>
        <w:rPr>
          <w:rFonts w:ascii="Arial" w:cs="Arial" w:eastAsia="Arial" w:hAnsi="Arial"/>
          <w:sz w:val="19"/>
          <w:szCs w:val="19"/>
          <w:color w:val="auto"/>
        </w:rPr>
        <w:t>. Upon surrender of a Definitive Security that is redeemed in part, the Company shall execute and the Trustee shall authenticate for each Holder a new Definitive Security of the same Series equal in principal amount to the unredeemed portion of the Definitive Security surrendered. If any Global Security is redeemed in part, the records of the Trustee shall reflect such decrease in the principal amount of such Global Security.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p>
    <w:p>
      <w:pPr>
        <w:spacing w:after="0" w:line="14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Payment of Securities</w:t>
      </w:r>
      <w:r>
        <w:rPr>
          <w:rFonts w:ascii="Arial" w:cs="Arial" w:eastAsia="Arial" w:hAnsi="Arial"/>
          <w:sz w:val="22"/>
          <w:szCs w:val="22"/>
          <w:color w:val="auto"/>
        </w:rPr>
        <w:t>. The Company shall pay the principal of and interest on a Series on the dates, in the currency and in the manner provided in the Securities of the Series. An installment of principal or interest shall be considered paid on the date it is due if the Paying Agent holds on that date money in the applicable currency designated for and sufficient to pay the installment.</w:t>
      </w:r>
    </w:p>
    <w:p>
      <w:pPr>
        <w:spacing w:after="0" w:line="134"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The Company shall pay interest on overdue principal at the rate borne by the Series; it shall pay interest on overdue installments of interest at the same rate.</w:t>
      </w:r>
    </w:p>
    <w:p>
      <w:pPr>
        <w:spacing w:after="0" w:line="121"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Maintenance of Office or Agency</w:t>
      </w:r>
      <w:r>
        <w:rPr>
          <w:rFonts w:ascii="Arial" w:cs="Arial" w:eastAsia="Arial" w:hAnsi="Arial"/>
          <w:sz w:val="19"/>
          <w:szCs w:val="19"/>
          <w:color w:val="auto"/>
        </w:rPr>
        <w:t xml:space="preserve">. The Company shall maintain the office or agency required under Section 2.03. The Company shall give prior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Trustee shall not be the agent for service of legal process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60" w:name="page61"/>
    <w:bookmarkEnd w:id="60"/>
    <w:p>
      <w:pPr>
        <w:ind w:firstLine="648"/>
        <w:spacing w:after="0" w:line="250" w:lineRule="auto"/>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Compliance Certificate</w:t>
      </w:r>
      <w:r>
        <w:rPr>
          <w:rFonts w:ascii="Arial" w:cs="Arial" w:eastAsia="Arial" w:hAnsi="Arial"/>
          <w:sz w:val="22"/>
          <w:szCs w:val="22"/>
          <w:color w:val="auto"/>
        </w:rPr>
        <w:t>. The Company shall deliver to the Trustee within 120 days after the end of each fiscal year of the Company an Officer’s Certificate stating whether or not the signer knows of any continuing Default by the Company in performing any of its obligations under this Indenture. If the signer does know of such a Default, the certificate shall describe the Default.</w:t>
      </w:r>
    </w:p>
    <w:p>
      <w:pPr>
        <w:spacing w:after="0" w:line="134" w:lineRule="exact"/>
        <w:rPr>
          <w:sz w:val="20"/>
          <w:szCs w:val="20"/>
          <w:color w:val="auto"/>
        </w:rPr>
      </w:pPr>
    </w:p>
    <w:p>
      <w:pPr>
        <w:ind w:right="100" w:firstLine="648"/>
        <w:spacing w:after="0" w:line="259" w:lineRule="auto"/>
        <w:rPr>
          <w:sz w:val="20"/>
          <w:szCs w:val="20"/>
          <w:color w:val="auto"/>
        </w:rPr>
      </w:pPr>
      <w:r>
        <w:rPr>
          <w:rFonts w:ascii="Arial" w:cs="Arial" w:eastAsia="Arial" w:hAnsi="Arial"/>
          <w:sz w:val="21"/>
          <w:szCs w:val="21"/>
          <w:color w:val="auto"/>
        </w:rPr>
        <w:t xml:space="preserve">Section 4.04. </w:t>
      </w:r>
      <w:r>
        <w:rPr>
          <w:rFonts w:ascii="Arial" w:cs="Arial" w:eastAsia="Arial" w:hAnsi="Arial"/>
          <w:sz w:val="21"/>
          <w:szCs w:val="21"/>
          <w:i w:val="1"/>
          <w:iCs w:val="1"/>
          <w:color w:val="auto"/>
        </w:rPr>
        <w:t>Waiver of Stay, Extension or Usury Laws</w:t>
      </w:r>
      <w:r>
        <w:rPr>
          <w:rFonts w:ascii="Arial" w:cs="Arial" w:eastAsia="Arial" w:hAnsi="Arial"/>
          <w:sz w:val="21"/>
          <w:szCs w:val="21"/>
          <w:color w:val="auto"/>
        </w:rPr>
        <w:t>. The Company covenants (to the extent that it may lawfully do so) that it will not at any time insist upon, plead or in any manner whatsoever claim or take the benefit or advantage of any stay or extension law or any usury law or other law that would prohibit or forgive the Company from paying all or any portion of the principal of or interest on the Securities of any Series as contemplated herein, wherever enacted, now or at any time hereafter in force, or which may affect the covenants or the performance of this Indenture; and (to the extent that it may lawfully do so) the Company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i w:val="1"/>
          <w:iCs w:val="1"/>
          <w:color w:val="auto"/>
        </w:rPr>
        <w:t>Commission Reports</w:t>
      </w:r>
      <w:r>
        <w:rPr>
          <w:rFonts w:ascii="Arial" w:cs="Arial" w:eastAsia="Arial" w:hAnsi="Arial"/>
          <w:sz w:val="19"/>
          <w:szCs w:val="19"/>
          <w:color w:val="auto"/>
        </w:rPr>
        <w:t>.</w:t>
      </w:r>
    </w:p>
    <w:p>
      <w:pPr>
        <w:spacing w:after="0" w:line="166" w:lineRule="exact"/>
        <w:rPr>
          <w:sz w:val="20"/>
          <w:szCs w:val="20"/>
          <w:color w:val="auto"/>
        </w:rPr>
      </w:pPr>
    </w:p>
    <w:p>
      <w:pPr>
        <w:ind w:firstLine="656"/>
        <w:spacing w:after="0" w:line="289" w:lineRule="auto"/>
        <w:tabs>
          <w:tab w:leader="none" w:pos="1104"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any time period in which the TIA applies to the Indenture or Securities of any Series, the Company shall file with the Trustee and the Commission, such information, documents and other reports, and such summaries thereof, as may be required pursuant to the TIA at the times and in the manner provided pursuant to the TIA; provided that any such information, documents or reports required to be filed with the Commission pursuant to Section 13 or 15(d) of the Exchange Act shall be filed with the Trustee within 15 days after the same is so required to be filed with the Commission. The Company will be deemed to have complied with the obligations described in the immediately previous sentence to the extent that the information, documents and reports are filed with the Commission via EDGAR (or any successor electronic delivery procedure) and posted on the Company’s website or otherwise publicly available. For the avoidance of doubt, neither this Base Indenture nor the Securities will initially be qualified under the TIA as of the date hereof.</w:t>
      </w:r>
    </w:p>
    <w:p>
      <w:pPr>
        <w:spacing w:after="0" w:line="102" w:lineRule="exact"/>
        <w:rPr>
          <w:rFonts w:ascii="Arial" w:cs="Arial" w:eastAsia="Arial" w:hAnsi="Arial"/>
          <w:sz w:val="19"/>
          <w:szCs w:val="19"/>
          <w:color w:val="auto"/>
        </w:rPr>
      </w:pPr>
    </w:p>
    <w:p>
      <w:pPr>
        <w:ind w:right="140" w:firstLine="656"/>
        <w:spacing w:after="0" w:line="248" w:lineRule="auto"/>
        <w:tabs>
          <w:tab w:leader="none" w:pos="1116" w:val="left"/>
        </w:tabs>
        <w:numPr>
          <w:ilvl w:val="0"/>
          <w:numId w:val="37"/>
        </w:numPr>
        <w:rPr>
          <w:rFonts w:ascii="Arial" w:cs="Arial" w:eastAsia="Arial" w:hAnsi="Arial"/>
          <w:sz w:val="22"/>
          <w:szCs w:val="22"/>
          <w:color w:val="auto"/>
        </w:rPr>
      </w:pPr>
      <w:r>
        <w:rPr>
          <w:rFonts w:ascii="Arial" w:cs="Arial" w:eastAsia="Arial" w:hAnsi="Arial"/>
          <w:sz w:val="22"/>
          <w:szCs w:val="22"/>
          <w:color w:val="auto"/>
        </w:rPr>
        <w:t>Delivery of the reports, information and documents to the Trustee is for informational purposes only and the Trustee’s receipt shall not constitute constructive notice of any information contained therein or determinable from information contained therein, including the Company’s compliance with any of its covenants under the Indenture as to which the Trustee is entitled to rely conclusively on an Officer’s Certificate. The Trustee shall have no liability or responsibility for the filing, timeliness or content of such reports.</w:t>
      </w:r>
    </w:p>
    <w:p>
      <w:pPr>
        <w:spacing w:after="0" w:line="137" w:lineRule="exact"/>
        <w:rPr>
          <w:rFonts w:ascii="Arial" w:cs="Arial" w:eastAsia="Arial" w:hAnsi="Arial"/>
          <w:sz w:val="22"/>
          <w:szCs w:val="22"/>
          <w:color w:val="auto"/>
        </w:rPr>
      </w:pPr>
    </w:p>
    <w:p>
      <w:pPr>
        <w:ind w:firstLine="656"/>
        <w:spacing w:after="0" w:line="271" w:lineRule="auto"/>
        <w:tabs>
          <w:tab w:leader="none" w:pos="1104" w:val="left"/>
        </w:tabs>
        <w:numPr>
          <w:ilvl w:val="0"/>
          <w:numId w:val="37"/>
        </w:numPr>
        <w:rPr>
          <w:rFonts w:ascii="Arial" w:cs="Arial" w:eastAsia="Arial" w:hAnsi="Arial"/>
          <w:sz w:val="21"/>
          <w:szCs w:val="21"/>
          <w:color w:val="auto"/>
        </w:rPr>
      </w:pPr>
      <w:r>
        <w:rPr>
          <w:rFonts w:ascii="Arial" w:cs="Arial" w:eastAsia="Arial" w:hAnsi="Arial"/>
          <w:sz w:val="21"/>
          <w:szCs w:val="21"/>
          <w:color w:val="auto"/>
        </w:rPr>
        <w:t>During any time period in which the TIA does not apply to the Indenture or Securities of any Series, for so long as any such Securities remain outstanding, the Company will furnish to the Holders and to prospective investors, upon their request, the information required to be delivered pursuant to Rule 144A(d)(4)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80"/>
          </w:cols>
          <w:pgMar w:left="320" w:top="1428" w:right="399" w:bottom="1440" w:gutter="0" w:footer="0" w:header="0"/>
        </w:sectPr>
      </w:pPr>
    </w:p>
    <w:bookmarkStart w:id="61" w:name="page62"/>
    <w:bookmarkEnd w:id="61"/>
    <w:p>
      <w:pPr>
        <w:ind w:left="640"/>
        <w:spacing w:after="0"/>
        <w:tabs>
          <w:tab w:leader="none" w:pos="196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Limitation on Liens</w:t>
      </w:r>
      <w:r>
        <w:rPr>
          <w:rFonts w:ascii="Arial" w:cs="Arial" w:eastAsia="Arial" w:hAnsi="Arial"/>
          <w:sz w:val="19"/>
          <w:szCs w:val="19"/>
          <w:color w:val="auto"/>
        </w:rPr>
        <w:t>.</w:t>
      </w:r>
    </w:p>
    <w:p>
      <w:pPr>
        <w:spacing w:after="0" w:line="166" w:lineRule="exact"/>
        <w:rPr>
          <w:sz w:val="20"/>
          <w:szCs w:val="20"/>
          <w:color w:val="auto"/>
        </w:rPr>
      </w:pPr>
    </w:p>
    <w:p>
      <w:pPr>
        <w:ind w:left="-20" w:right="140" w:firstLine="656"/>
        <w:spacing w:after="0" w:line="250" w:lineRule="auto"/>
        <w:tabs>
          <w:tab w:leader="none" w:pos="108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the Company or any of its Domestic Subsidiaries incurs, issues, assumes or guarantees any Indebtedness and that Indebtedness is secured by a Lien on any of the Principal Properties of the Company or any of its Domestic Subsidiaries, the Company will secure the Securities of each Series equally and ratably with, or prior to, such secured Indebtedness, so long as such secured Indebtedness shall be so secured.</w:t>
      </w:r>
    </w:p>
    <w:p>
      <w:pPr>
        <w:spacing w:after="0" w:line="133" w:lineRule="exact"/>
        <w:rPr>
          <w:rFonts w:ascii="Arial" w:cs="Arial" w:eastAsia="Arial" w:hAnsi="Arial"/>
          <w:sz w:val="22"/>
          <w:szCs w:val="22"/>
          <w:color w:val="auto"/>
        </w:rPr>
      </w:pPr>
    </w:p>
    <w:p>
      <w:pPr>
        <w:ind w:left="1100" w:hanging="464"/>
        <w:spacing w:after="0"/>
        <w:tabs>
          <w:tab w:leader="none" w:pos="11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foregoing restriction shall not apply, with respect to any Series, to:</w:t>
      </w:r>
    </w:p>
    <w:p>
      <w:pPr>
        <w:spacing w:after="0" w:line="165" w:lineRule="exact"/>
        <w:rPr>
          <w:rFonts w:ascii="Arial" w:cs="Arial" w:eastAsia="Arial" w:hAnsi="Arial"/>
          <w:sz w:val="22"/>
          <w:szCs w:val="22"/>
          <w:color w:val="auto"/>
        </w:rPr>
      </w:pPr>
    </w:p>
    <w:p>
      <w:pPr>
        <w:jc w:val="both"/>
        <w:ind w:left="640" w:right="240" w:firstLine="968"/>
        <w:spacing w:after="0" w:line="248" w:lineRule="auto"/>
        <w:tabs>
          <w:tab w:leader="none" w:pos="2032"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Liens on Property of a Person existing at the time such Person is merged into or consolidated with the Company or any of its Subsidiaries, at the time such Person becomes a Subsidiary of the Company, or at the time of a sale, lease or other disposition of all or substantially all of the Properties or assets of a Person to the Company or any of the Company’s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 was not incurred in anticipation of the merger, consolidation, sale, lease, or other disposition;</w:t>
      </w:r>
    </w:p>
    <w:p>
      <w:pPr>
        <w:spacing w:after="0" w:line="137" w:lineRule="exact"/>
        <w:rPr>
          <w:rFonts w:ascii="Arial" w:cs="Arial" w:eastAsia="Arial" w:hAnsi="Arial"/>
          <w:sz w:val="22"/>
          <w:szCs w:val="22"/>
          <w:color w:val="auto"/>
        </w:rPr>
      </w:pPr>
    </w:p>
    <w:p>
      <w:pPr>
        <w:ind w:left="640" w:firstLine="968"/>
        <w:spacing w:after="0" w:line="271" w:lineRule="auto"/>
        <w:tabs>
          <w:tab w:leader="none" w:pos="2092"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Liens on Property existing at the time of acquisition by the Company or any of its Subsidiaries of such Property (which may include Property previously leased by the Company or any of its Subsidiaries and leasehold interests on such Property,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lease terminates prior to or upon the acquisition);</w:t>
      </w:r>
    </w:p>
    <w:p>
      <w:pPr>
        <w:spacing w:after="0" w:line="113" w:lineRule="exact"/>
        <w:rPr>
          <w:rFonts w:ascii="Arial" w:cs="Arial" w:eastAsia="Arial" w:hAnsi="Arial"/>
          <w:sz w:val="21"/>
          <w:szCs w:val="21"/>
          <w:color w:val="auto"/>
        </w:rPr>
      </w:pPr>
    </w:p>
    <w:p>
      <w:pPr>
        <w:ind w:left="640" w:right="80" w:firstLine="968"/>
        <w:spacing w:after="0" w:line="263" w:lineRule="auto"/>
        <w:tabs>
          <w:tab w:leader="none" w:pos="2152"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Liens on Property to secure the payment of all or any part of the cost of acquisition, construction, development or improvement of such Property, or to secure Indebtedness incurred to provide funds for any such purpose,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commitment of the creditor to extend the credit secured by any such Lien shall have been obtained not</w:t>
      </w:r>
      <w:r>
        <w:rPr>
          <w:rFonts w:ascii="Arial" w:cs="Arial" w:eastAsia="Arial" w:hAnsi="Arial"/>
          <w:sz w:val="21"/>
          <w:szCs w:val="21"/>
          <w:i w:val="1"/>
          <w:iCs w:val="1"/>
          <w:color w:val="auto"/>
        </w:rPr>
        <w:t xml:space="preserve"> </w:t>
      </w:r>
      <w:r>
        <w:rPr>
          <w:rFonts w:ascii="Arial" w:cs="Arial" w:eastAsia="Arial" w:hAnsi="Arial"/>
          <w:sz w:val="21"/>
          <w:szCs w:val="21"/>
          <w:color w:val="auto"/>
        </w:rPr>
        <w:t>later than 18 months after the later of (a) the completion of the acquisition, construction, development or improvement of such Property or (b) the placing in operation of such Property;</w:t>
      </w:r>
    </w:p>
    <w:p>
      <w:pPr>
        <w:spacing w:after="0" w:line="121" w:lineRule="exact"/>
        <w:rPr>
          <w:rFonts w:ascii="Arial" w:cs="Arial" w:eastAsia="Arial" w:hAnsi="Arial"/>
          <w:sz w:val="21"/>
          <w:szCs w:val="21"/>
          <w:color w:val="auto"/>
        </w:rPr>
      </w:pPr>
    </w:p>
    <w:p>
      <w:pPr>
        <w:ind w:left="2140" w:hanging="532"/>
        <w:spacing w:after="0"/>
        <w:tabs>
          <w:tab w:leader="none" w:pos="21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Liens in favor of the Company or any of its Subsidiaries;</w:t>
      </w:r>
    </w:p>
    <w:p>
      <w:pPr>
        <w:spacing w:after="0" w:line="165" w:lineRule="exact"/>
        <w:rPr>
          <w:rFonts w:ascii="Arial" w:cs="Arial" w:eastAsia="Arial" w:hAnsi="Arial"/>
          <w:sz w:val="22"/>
          <w:szCs w:val="22"/>
          <w:color w:val="auto"/>
        </w:rPr>
      </w:pPr>
    </w:p>
    <w:p>
      <w:pPr>
        <w:ind w:left="640" w:right="740" w:firstLine="968"/>
        <w:spacing w:after="0" w:line="263" w:lineRule="auto"/>
        <w:tabs>
          <w:tab w:leader="none" w:pos="20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Liens existing on the date of the initial Issue Date of the Securities of such Series (other than any additional Securities of such Series);</w:t>
      </w:r>
    </w:p>
    <w:p>
      <w:pPr>
        <w:spacing w:after="0" w:line="120" w:lineRule="exact"/>
        <w:rPr>
          <w:rFonts w:ascii="Arial" w:cs="Arial" w:eastAsia="Arial" w:hAnsi="Arial"/>
          <w:sz w:val="22"/>
          <w:szCs w:val="22"/>
          <w:color w:val="auto"/>
        </w:rPr>
      </w:pPr>
    </w:p>
    <w:p>
      <w:pPr>
        <w:ind w:left="2140" w:hanging="532"/>
        <w:spacing w:after="0"/>
        <w:tabs>
          <w:tab w:leader="none" w:pos="21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Liens created to secure the Securities of such Series;</w:t>
      </w:r>
    </w:p>
    <w:p>
      <w:pPr>
        <w:spacing w:after="0" w:line="165" w:lineRule="exact"/>
        <w:rPr>
          <w:rFonts w:ascii="Arial" w:cs="Arial" w:eastAsia="Arial" w:hAnsi="Arial"/>
          <w:sz w:val="22"/>
          <w:szCs w:val="22"/>
          <w:color w:val="auto"/>
        </w:rPr>
      </w:pPr>
    </w:p>
    <w:p>
      <w:pPr>
        <w:ind w:left="2200" w:hanging="592"/>
        <w:spacing w:after="0"/>
        <w:tabs>
          <w:tab w:leader="none" w:pos="22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Liens incurred in connection with pollution control, industrial revenue or similar financings;</w:t>
      </w:r>
    </w:p>
    <w:p>
      <w:pPr>
        <w:spacing w:after="0" w:line="165" w:lineRule="exact"/>
        <w:rPr>
          <w:rFonts w:ascii="Arial" w:cs="Arial" w:eastAsia="Arial" w:hAnsi="Arial"/>
          <w:sz w:val="22"/>
          <w:szCs w:val="22"/>
          <w:color w:val="auto"/>
        </w:rPr>
      </w:pPr>
    </w:p>
    <w:p>
      <w:pPr>
        <w:jc w:val="both"/>
        <w:ind w:left="640" w:firstLine="968"/>
        <w:spacing w:after="0" w:line="302" w:lineRule="auto"/>
        <w:tabs>
          <w:tab w:leader="none" w:pos="2260" w:val="left"/>
        </w:tabs>
        <w:numPr>
          <w:ilvl w:val="1"/>
          <w:numId w:val="38"/>
        </w:numPr>
        <w:rPr>
          <w:rFonts w:ascii="Arial" w:cs="Arial" w:eastAsia="Arial" w:hAnsi="Arial"/>
          <w:sz w:val="19"/>
          <w:szCs w:val="19"/>
          <w:color w:val="auto"/>
        </w:rPr>
      </w:pPr>
      <w:r>
        <w:rPr>
          <w:rFonts w:ascii="Arial" w:cs="Arial" w:eastAsia="Arial" w:hAnsi="Arial"/>
          <w:sz w:val="19"/>
          <w:szCs w:val="19"/>
          <w:color w:val="auto"/>
        </w:rPr>
        <w:t>Liens on Property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Company or any of its Subsidiaries to perform a contract or to secure Indebtedness incurred for the purpose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40" w:top="1428" w:right="359" w:bottom="1440" w:gutter="0" w:footer="0" w:header="0"/>
        </w:sectPr>
      </w:pPr>
    </w:p>
    <w:bookmarkStart w:id="62" w:name="page63"/>
    <w:bookmarkEnd w:id="62"/>
    <w:p>
      <w:pPr>
        <w:ind w:left="620" w:right="160"/>
        <w:spacing w:after="0" w:line="253" w:lineRule="auto"/>
        <w:rPr>
          <w:sz w:val="20"/>
          <w:szCs w:val="20"/>
          <w:color w:val="auto"/>
        </w:rPr>
      </w:pPr>
      <w:r>
        <w:rPr>
          <w:rFonts w:ascii="Arial" w:cs="Arial" w:eastAsia="Arial" w:hAnsi="Arial"/>
          <w:sz w:val="22"/>
          <w:szCs w:val="22"/>
          <w:color w:val="auto"/>
        </w:rPr>
        <w:t>all or any part of the purchase price for the cost of constructing or improving the Property subject to such security interests or which is required by law or regulation as a condition to the transaction of any business or the exercise of any privilege, franchise or license;</w:t>
      </w:r>
    </w:p>
    <w:p>
      <w:pPr>
        <w:spacing w:after="0" w:line="131" w:lineRule="exact"/>
        <w:rPr>
          <w:sz w:val="20"/>
          <w:szCs w:val="20"/>
          <w:color w:val="auto"/>
        </w:rPr>
      </w:pPr>
    </w:p>
    <w:p>
      <w:pPr>
        <w:ind w:left="620" w:firstLine="968"/>
        <w:spacing w:after="0" w:line="291" w:lineRule="auto"/>
        <w:tabs>
          <w:tab w:leader="none" w:pos="21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any extension, renewal or replacement (or successive extensions, renewals or replacements), as a whole or in part, of any Indebtedness secured by any Lien referred to in clauses (i) through (viii) and (x), inclusive,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ind w:left="620" w:right="20" w:hanging="4"/>
        <w:spacing w:after="0" w:line="257" w:lineRule="auto"/>
        <w:tabs>
          <w:tab w:leader="none" w:pos="926" w:val="left"/>
        </w:tabs>
        <w:numPr>
          <w:ilvl w:val="0"/>
          <w:numId w:val="40"/>
        </w:numPr>
        <w:rPr>
          <w:rFonts w:ascii="Arial" w:cs="Arial" w:eastAsia="Arial" w:hAnsi="Arial"/>
          <w:sz w:val="21"/>
          <w:szCs w:val="21"/>
          <w:color w:val="auto"/>
        </w:rPr>
      </w:pPr>
      <w:r>
        <w:rPr>
          <w:rFonts w:ascii="Arial" w:cs="Arial" w:eastAsia="Arial" w:hAnsi="Arial"/>
          <w:sz w:val="21"/>
          <w:szCs w:val="21"/>
          <w:color w:val="auto"/>
        </w:rPr>
        <w:t>such extension, renewal or replacement Lien shall be limited to all or a part of the same Property that secured the Lien extended, renewed or replaced (plus improvements on such Property, and plus any Property relating to a specific project, the completion of which is funded pursuant to clause (2)(b) below), and (2) the Indebtedness secured by such Lien at such time is not increased (other than (a) by an amount equal to any related financing costs (including, but not limited to, the accrued interest and premium, if any, on the Indebtedness being refinanced) and (b) where an additional principal amount of Indebtedness is incurred to provide funds for the completion of a specific project or Property that is subject to a Lien securing the Indebtedness being extended, refinanced or renewed, by an amount equal to such additional principal amount); or</w:t>
      </w:r>
    </w:p>
    <w:p>
      <w:pPr>
        <w:spacing w:after="0" w:line="127" w:lineRule="exact"/>
        <w:rPr>
          <w:rFonts w:ascii="Arial" w:cs="Arial" w:eastAsia="Arial" w:hAnsi="Arial"/>
          <w:sz w:val="21"/>
          <w:szCs w:val="21"/>
          <w:color w:val="auto"/>
        </w:rPr>
      </w:pPr>
    </w:p>
    <w:p>
      <w:pPr>
        <w:ind w:left="2060" w:hanging="472"/>
        <w:spacing w:after="0"/>
        <w:tabs>
          <w:tab w:leader="none" w:pos="20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Liens created in substitution of any Liens permitted by clauses (i) through (ix), inclusive,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55" w:lineRule="exact"/>
        <w:rPr>
          <w:rFonts w:ascii="Arial" w:cs="Arial" w:eastAsia="Arial" w:hAnsi="Arial"/>
          <w:sz w:val="19"/>
          <w:szCs w:val="19"/>
          <w:color w:val="auto"/>
        </w:rPr>
      </w:pPr>
    </w:p>
    <w:p>
      <w:pPr>
        <w:ind w:left="620" w:right="220" w:hanging="4"/>
        <w:spacing w:after="0" w:line="288" w:lineRule="auto"/>
        <w:tabs>
          <w:tab w:leader="none" w:pos="926" w:val="left"/>
        </w:tabs>
        <w:numPr>
          <w:ilvl w:val="0"/>
          <w:numId w:val="41"/>
        </w:numPr>
        <w:rPr>
          <w:rFonts w:ascii="Arial" w:cs="Arial" w:eastAsia="Arial" w:hAnsi="Arial"/>
          <w:sz w:val="19"/>
          <w:szCs w:val="19"/>
          <w:color w:val="auto"/>
        </w:rPr>
      </w:pPr>
      <w:r>
        <w:rPr>
          <w:rFonts w:ascii="Arial" w:cs="Arial" w:eastAsia="Arial" w:hAnsi="Arial"/>
          <w:sz w:val="19"/>
          <w:szCs w:val="19"/>
          <w:color w:val="auto"/>
        </w:rPr>
        <w:t>based on a good faith determination of a Senior Officer of the Company, the Principal Property encumbered by such substitute or replacement Lien is substantially similar in nature to the Principal Property encumbered by the otherwise permitted Lien that is being replaced, and (2) the Indebtedness secured by such Lien at such time is not increased (other than (a) by an amount equal to any related financing costs (including, but not limited to, the accrued interest and premium, if any, on the Indebtedness being refinanced) and (b) where an additional principal amount of Indebtedness is incurred to provide funds for the completion of a specific project or property that is subject to a Lien securing the Indebtedness being extended, refinanced or renewed, by an amount equal to such additional principal amount).</w:t>
      </w:r>
    </w:p>
    <w:p>
      <w:pPr>
        <w:spacing w:after="0" w:line="104" w:lineRule="exact"/>
        <w:rPr>
          <w:sz w:val="20"/>
          <w:szCs w:val="20"/>
          <w:color w:val="auto"/>
        </w:rPr>
      </w:pPr>
    </w:p>
    <w:p>
      <w:pPr>
        <w:ind w:left="-40" w:right="80" w:firstLine="656"/>
        <w:spacing w:after="0" w:line="289" w:lineRule="auto"/>
        <w:tabs>
          <w:tab w:leader="none" w:pos="106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Notwithstanding the restrictions set forth in Section 4.06(a) and Section 4.06(b), the Company and its Domestic Subsidiaries may incur secured Indebtedness which would otherwise be subject to such restrictions without equally and ratably securing the Securities of any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such secured Indebtedness, the outstanding aggregate principal amount of all such secured Indebtedness (not including Liens permitted under clauses (i) through (x) of Section 4.06(b) with respect to such Series) does not exceed the greater of (i) 15% of Consolidated Total Assets calculated as of the date of the creation or incurrence of the Lien and (ii) 15% of Consolidated Total Assets calculated as of the date of initial Issue Date of the Securities of such Series. The Company or its Domestic Subsidiaries may also, without equally and ratably securing the Securities of any Series, create or incur Liens that renew, substitute or replace (including successive renewals, substitutions or replacements), in whole or in part, any Lien permitted pursuant to the preceding sentence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180"/>
          </w:cols>
          <w:pgMar w:left="360" w:top="1428" w:right="3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UCCESSOR</w:t>
      </w:r>
      <w:r>
        <w:rPr>
          <w:rFonts w:ascii="Arial" w:cs="Arial" w:eastAsia="Arial" w:hAnsi="Arial"/>
          <w:sz w:val="22"/>
          <w:szCs w:val="22"/>
          <w:color w:val="auto"/>
        </w:rPr>
        <w:t xml:space="preserve"> P</w:t>
      </w:r>
      <w:r>
        <w:rPr>
          <w:rFonts w:ascii="Arial" w:cs="Arial" w:eastAsia="Arial" w:hAnsi="Arial"/>
          <w:sz w:val="17"/>
          <w:szCs w:val="17"/>
          <w:color w:val="auto"/>
        </w:rPr>
        <w:t>ERSON</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When Company May Merge, etc</w:t>
      </w:r>
      <w:r>
        <w:rPr>
          <w:rFonts w:ascii="Arial" w:cs="Arial" w:eastAsia="Arial" w:hAnsi="Arial"/>
          <w:sz w:val="19"/>
          <w:szCs w:val="19"/>
          <w:color w:val="auto"/>
        </w:rPr>
        <w:t>.</w:t>
      </w:r>
    </w:p>
    <w:p>
      <w:pPr>
        <w:spacing w:after="0" w:line="166" w:lineRule="exact"/>
        <w:rPr>
          <w:sz w:val="20"/>
          <w:szCs w:val="20"/>
          <w:color w:val="auto"/>
        </w:rPr>
      </w:pPr>
    </w:p>
    <w:p>
      <w:pPr>
        <w:ind w:firstLine="656"/>
        <w:spacing w:after="0" w:line="263" w:lineRule="auto"/>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 may consolidate with or merge into another Person or sell, convey, transfer, lease or otherwise dispose of all or substantially all of its Property to any other Person, provided that:</w:t>
      </w:r>
    </w:p>
    <w:p>
      <w:pPr>
        <w:spacing w:after="0" w:line="120" w:lineRule="exact"/>
        <w:rPr>
          <w:rFonts w:ascii="Arial" w:cs="Arial" w:eastAsia="Arial" w:hAnsi="Arial"/>
          <w:sz w:val="22"/>
          <w:szCs w:val="22"/>
          <w:color w:val="auto"/>
        </w:rPr>
      </w:pPr>
    </w:p>
    <w:p>
      <w:pPr>
        <w:ind w:left="660" w:right="140" w:firstLine="968"/>
        <w:spacing w:after="0" w:line="302" w:lineRule="auto"/>
        <w:tabs>
          <w:tab w:leader="none" w:pos="2052" w:val="left"/>
        </w:tabs>
        <w:numPr>
          <w:ilvl w:val="1"/>
          <w:numId w:val="43"/>
        </w:numPr>
        <w:rPr>
          <w:rFonts w:ascii="Arial" w:cs="Arial" w:eastAsia="Arial" w:hAnsi="Arial"/>
          <w:sz w:val="19"/>
          <w:szCs w:val="19"/>
          <w:color w:val="auto"/>
        </w:rPr>
      </w:pPr>
      <w:r>
        <w:rPr>
          <w:rFonts w:ascii="Arial" w:cs="Arial" w:eastAsia="Arial" w:hAnsi="Arial"/>
          <w:sz w:val="19"/>
          <w:szCs w:val="19"/>
          <w:color w:val="auto"/>
        </w:rPr>
        <w:t>(A) the Company is the continuing Person, or (B) the successor formed from the consolidation or merger or the Person that received the transfer of or leases the Property (the “</w:t>
      </w:r>
      <w:r>
        <w:rPr>
          <w:rFonts w:ascii="Arial" w:cs="Arial" w:eastAsia="Arial" w:hAnsi="Arial"/>
          <w:sz w:val="19"/>
          <w:szCs w:val="19"/>
          <w:b w:val="1"/>
          <w:bCs w:val="1"/>
          <w:color w:val="auto"/>
        </w:rPr>
        <w:t>Continuing Entity</w:t>
      </w:r>
      <w:r>
        <w:rPr>
          <w:rFonts w:ascii="Arial" w:cs="Arial" w:eastAsia="Arial" w:hAnsi="Arial"/>
          <w:sz w:val="19"/>
          <w:szCs w:val="19"/>
          <w:color w:val="auto"/>
        </w:rPr>
        <w:t>”) is a Person organized and existing under the laws of the United States of America, any State thereof or the District of Columbia and expressly assumes, by an indenture supplemental hereto, all of the Company’s obligations under the Securities and the Indenture;</w:t>
      </w:r>
    </w:p>
    <w:p>
      <w:pPr>
        <w:spacing w:after="0" w:line="88" w:lineRule="exact"/>
        <w:rPr>
          <w:rFonts w:ascii="Arial" w:cs="Arial" w:eastAsia="Arial" w:hAnsi="Arial"/>
          <w:sz w:val="19"/>
          <w:szCs w:val="19"/>
          <w:color w:val="auto"/>
        </w:rPr>
      </w:pPr>
    </w:p>
    <w:p>
      <w:pPr>
        <w:ind w:left="660" w:right="740" w:firstLine="968"/>
        <w:spacing w:after="0" w:line="263" w:lineRule="auto"/>
        <w:tabs>
          <w:tab w:leader="none" w:pos="2112" w:val="left"/>
        </w:tabs>
        <w:numPr>
          <w:ilvl w:val="1"/>
          <w:numId w:val="43"/>
        </w:numPr>
        <w:rPr>
          <w:rFonts w:ascii="Arial" w:cs="Arial" w:eastAsia="Arial" w:hAnsi="Arial"/>
          <w:sz w:val="22"/>
          <w:szCs w:val="22"/>
          <w:color w:val="auto"/>
        </w:rPr>
      </w:pPr>
      <w:r>
        <w:rPr>
          <w:rFonts w:ascii="Arial" w:cs="Arial" w:eastAsia="Arial" w:hAnsi="Arial"/>
          <w:sz w:val="22"/>
          <w:szCs w:val="22"/>
          <w:color w:val="auto"/>
        </w:rPr>
        <w:t>immediately after giving effect to the transaction, no Event of Default shall have occurred and be continuing under this Indenture; and</w:t>
      </w:r>
    </w:p>
    <w:p>
      <w:pPr>
        <w:spacing w:after="0" w:line="120" w:lineRule="exact"/>
        <w:rPr>
          <w:rFonts w:ascii="Arial" w:cs="Arial" w:eastAsia="Arial" w:hAnsi="Arial"/>
          <w:sz w:val="22"/>
          <w:szCs w:val="22"/>
          <w:color w:val="auto"/>
        </w:rPr>
      </w:pPr>
    </w:p>
    <w:p>
      <w:pPr>
        <w:ind w:left="660" w:right="80" w:firstLine="968"/>
        <w:spacing w:after="0" w:line="302" w:lineRule="auto"/>
        <w:tabs>
          <w:tab w:leader="none" w:pos="2172"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Company or the Continuing Entity delivers to the Trustee an Officer’s Certificate and an Opinion of Counsel, subject to customary qualifications and exceptions, each stating that the transaction and (if a supplemental indenture is required in connection with such transaction) the supplemental indenture complies with this Section 5.01 and that all conditions precedent in this Indenture relating to the transaction have been satisfied.</w:t>
      </w:r>
    </w:p>
    <w:p>
      <w:pPr>
        <w:spacing w:after="0" w:line="88" w:lineRule="exact"/>
        <w:rPr>
          <w:rFonts w:ascii="Arial" w:cs="Arial" w:eastAsia="Arial" w:hAnsi="Arial"/>
          <w:sz w:val="19"/>
          <w:szCs w:val="19"/>
          <w:color w:val="auto"/>
        </w:rPr>
      </w:pPr>
    </w:p>
    <w:p>
      <w:pPr>
        <w:ind w:right="20" w:firstLine="656"/>
        <w:spacing w:after="0" w:line="248" w:lineRule="auto"/>
        <w:tabs>
          <w:tab w:leader="none" w:pos="11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Upon satisfaction of the foregoing conditions, if the Company is not the continuing Person, then the Continuing Entity shall succeed to, and be substituted for, and may exercise every right and power of the Company under the Indenture and the Company will be released from all obligations and covenants under the Indenture and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the case of a lease of all or substantially all of the Company’s Property, the Company will not be released from any of the obligations or covenants under the Indenture and the Securities.</w:t>
      </w:r>
    </w:p>
    <w:p>
      <w:pPr>
        <w:spacing w:after="0" w:line="137" w:lineRule="exact"/>
        <w:rPr>
          <w:rFonts w:ascii="Arial" w:cs="Arial" w:eastAsia="Arial" w:hAnsi="Arial"/>
          <w:sz w:val="22"/>
          <w:szCs w:val="22"/>
          <w:color w:val="auto"/>
        </w:rPr>
      </w:pPr>
    </w:p>
    <w:p>
      <w:pPr>
        <w:ind w:right="160" w:firstLine="656"/>
        <w:spacing w:after="0" w:line="287" w:lineRule="auto"/>
        <w:tabs>
          <w:tab w:leader="none" w:pos="1104" w:val="left"/>
        </w:tabs>
        <w:numPr>
          <w:ilvl w:val="0"/>
          <w:numId w:val="43"/>
        </w:numPr>
        <w:rPr>
          <w:rFonts w:ascii="Arial" w:cs="Arial" w:eastAsia="Arial" w:hAnsi="Arial"/>
          <w:sz w:val="21"/>
          <w:szCs w:val="21"/>
          <w:color w:val="auto"/>
        </w:rPr>
      </w:pPr>
      <w:r>
        <w:rPr>
          <w:rFonts w:ascii="Arial" w:cs="Arial" w:eastAsia="Arial" w:hAnsi="Arial"/>
          <w:sz w:val="21"/>
          <w:szCs w:val="21"/>
          <w:color w:val="auto"/>
        </w:rPr>
        <w:t>Notwithstanding anything in this Section 5.01, any sale, conveyance, transfer, lease or other disposition of Property between or among the Company and its Subsidiaries will not be prohibited under the Indenture.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EFAULTS AND</w:t>
      </w:r>
      <w:r>
        <w:rPr>
          <w:rFonts w:ascii="Arial" w:cs="Arial" w:eastAsia="Arial" w:hAnsi="Arial"/>
          <w:sz w:val="22"/>
          <w:szCs w:val="22"/>
          <w:color w:val="auto"/>
        </w:rPr>
        <w:t xml:space="preserve"> R</w:t>
      </w:r>
      <w:r>
        <w:rPr>
          <w:rFonts w:ascii="Arial" w:cs="Arial" w:eastAsia="Arial" w:hAnsi="Arial"/>
          <w:sz w:val="17"/>
          <w:szCs w:val="17"/>
          <w:color w:val="auto"/>
        </w:rPr>
        <w:t>EMEDIES</w:t>
      </w:r>
    </w:p>
    <w:p>
      <w:pPr>
        <w:spacing w:after="0" w:line="1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r>
        <w:rPr>
          <w:rFonts w:ascii="Arial" w:cs="Arial" w:eastAsia="Arial" w:hAnsi="Arial"/>
          <w:sz w:val="19"/>
          <w:szCs w:val="19"/>
          <w:color w:val="auto"/>
        </w:rPr>
        <w:t>. Each of the following events shall constitute an “</w:t>
      </w:r>
      <w:r>
        <w:rPr>
          <w:rFonts w:ascii="Arial" w:cs="Arial" w:eastAsia="Arial" w:hAnsi="Arial"/>
          <w:sz w:val="19"/>
          <w:szCs w:val="19"/>
          <w:b w:val="1"/>
          <w:bCs w:val="1"/>
          <w:color w:val="auto"/>
        </w:rPr>
        <w:t>Event of Default</w:t>
      </w:r>
      <w:r>
        <w:rPr>
          <w:rFonts w:ascii="Arial" w:cs="Arial" w:eastAsia="Arial" w:hAnsi="Arial"/>
          <w:sz w:val="19"/>
          <w:szCs w:val="19"/>
          <w:color w:val="auto"/>
        </w:rPr>
        <w:t>” with respect to 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Series of Securities:</w:t>
      </w:r>
    </w:p>
    <w:p>
      <w:pPr>
        <w:spacing w:after="0" w:line="148" w:lineRule="exact"/>
        <w:rPr>
          <w:sz w:val="20"/>
          <w:szCs w:val="20"/>
          <w:color w:val="auto"/>
        </w:rPr>
      </w:pPr>
    </w:p>
    <w:p>
      <w:pPr>
        <w:ind w:right="280" w:firstLine="656"/>
        <w:spacing w:after="0" w:line="263" w:lineRule="auto"/>
        <w:tabs>
          <w:tab w:leader="none" w:pos="1104" w:val="left"/>
        </w:tabs>
        <w:numPr>
          <w:ilvl w:val="0"/>
          <w:numId w:val="44"/>
        </w:numPr>
        <w:rPr>
          <w:rFonts w:ascii="Arial" w:cs="Arial" w:eastAsia="Arial" w:hAnsi="Arial"/>
          <w:sz w:val="22"/>
          <w:szCs w:val="22"/>
          <w:color w:val="auto"/>
        </w:rPr>
      </w:pPr>
      <w:r>
        <w:rPr>
          <w:rFonts w:ascii="Arial" w:cs="Arial" w:eastAsia="Arial" w:hAnsi="Arial"/>
          <w:sz w:val="22"/>
          <w:szCs w:val="22"/>
          <w:color w:val="auto"/>
        </w:rPr>
        <w:t>default in the payment of the principal of or premium, if any, on any Security of such Series when due at its stated maturity date, upon any optional or mandatory redemption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64" w:name="page65"/>
    <w:bookmarkEnd w:id="64"/>
    <w:p>
      <w:pPr>
        <w:ind w:firstLine="656"/>
        <w:spacing w:after="0" w:line="287" w:lineRule="auto"/>
        <w:tabs>
          <w:tab w:leader="none" w:pos="1116" w:val="left"/>
        </w:tabs>
        <w:numPr>
          <w:ilvl w:val="0"/>
          <w:numId w:val="45"/>
        </w:numPr>
        <w:rPr>
          <w:rFonts w:ascii="Arial" w:cs="Arial" w:eastAsia="Arial" w:hAnsi="Arial"/>
          <w:sz w:val="21"/>
          <w:szCs w:val="21"/>
          <w:color w:val="auto"/>
        </w:rPr>
      </w:pPr>
      <w:r>
        <w:rPr>
          <w:rFonts w:ascii="Arial" w:cs="Arial" w:eastAsia="Arial" w:hAnsi="Arial"/>
          <w:sz w:val="21"/>
          <w:szCs w:val="21"/>
          <w:color w:val="auto"/>
        </w:rPr>
        <w:t>default in the payment of any interest upon any Security of such Series when it becomes due and payable (if the time of payment has not been extended or deferred), and continuance of such default for a period of 30 days;</w:t>
      </w:r>
    </w:p>
    <w:p>
      <w:pPr>
        <w:spacing w:after="0" w:line="97" w:lineRule="exact"/>
        <w:rPr>
          <w:rFonts w:ascii="Arial" w:cs="Arial" w:eastAsia="Arial" w:hAnsi="Arial"/>
          <w:sz w:val="21"/>
          <w:szCs w:val="21"/>
          <w:color w:val="auto"/>
        </w:rPr>
      </w:pPr>
    </w:p>
    <w:p>
      <w:pPr>
        <w:ind w:right="40" w:firstLine="656"/>
        <w:spacing w:after="0" w:line="294" w:lineRule="auto"/>
        <w:tabs>
          <w:tab w:leader="none" w:pos="1104" w:val="left"/>
        </w:tabs>
        <w:numPr>
          <w:ilvl w:val="0"/>
          <w:numId w:val="45"/>
        </w:numPr>
        <w:rPr>
          <w:rFonts w:ascii="Arial" w:cs="Arial" w:eastAsia="Arial" w:hAnsi="Arial"/>
          <w:sz w:val="19"/>
          <w:szCs w:val="19"/>
          <w:color w:val="auto"/>
        </w:rPr>
      </w:pPr>
      <w:r>
        <w:rPr>
          <w:rFonts w:ascii="Arial" w:cs="Arial" w:eastAsia="Arial" w:hAnsi="Arial"/>
          <w:sz w:val="19"/>
          <w:szCs w:val="19"/>
          <w:color w:val="auto"/>
        </w:rPr>
        <w:t>default in the performance, or breach, of any covenant of the Company in the Indenture relating to the Securities of such Series (other than a covenant a default in whose performance or whose breach is elsewhere in this Section 6.01 specifically dealt with), and continuance of such default or breach for a period of 90 days after there has been given, by registered or certified mail, or overnight delivery service to the Company by the Trustee or to the Company and the Trustee by the Holders of at least 25% in aggregate principal amount of the outstanding Securities of such Series a written notice specifying such default or breach and stating that such notice is a “</w:t>
      </w:r>
      <w:r>
        <w:rPr>
          <w:rFonts w:ascii="Arial" w:cs="Arial" w:eastAsia="Arial" w:hAnsi="Arial"/>
          <w:sz w:val="19"/>
          <w:szCs w:val="19"/>
          <w:b w:val="1"/>
          <w:bCs w:val="1"/>
          <w:color w:val="auto"/>
        </w:rPr>
        <w:t>Notice of Default</w:t>
      </w:r>
      <w:r>
        <w:rPr>
          <w:rFonts w:ascii="Arial" w:cs="Arial" w:eastAsia="Arial" w:hAnsi="Arial"/>
          <w:sz w:val="19"/>
          <w:szCs w:val="19"/>
          <w:color w:val="auto"/>
        </w:rPr>
        <w:t>” under the Indenture;</w:t>
      </w:r>
    </w:p>
    <w:p>
      <w:pPr>
        <w:spacing w:after="0" w:line="95" w:lineRule="exact"/>
        <w:rPr>
          <w:rFonts w:ascii="Arial" w:cs="Arial" w:eastAsia="Arial" w:hAnsi="Arial"/>
          <w:sz w:val="19"/>
          <w:szCs w:val="19"/>
          <w:color w:val="auto"/>
        </w:rPr>
      </w:pPr>
    </w:p>
    <w:p>
      <w:pPr>
        <w:ind w:firstLine="656"/>
        <w:spacing w:after="0" w:line="292" w:lineRule="auto"/>
        <w:tabs>
          <w:tab w:leader="none" w:pos="11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entry by a court having jurisdiction in the premises of (i) a decree or order for relief in respect of the Company in an involuntary case or proceeding under any applicable Federal or State bankruptcy, insolvency, reorganization or other similar law or (ii)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all or substantially all of its Property, or ordering the winding up or liquidation of its affairs, and the continuance of any such decree or order for relief or any such other decree or order unstayed and in effect for a period of 90 consecutive days; and</w:t>
      </w:r>
    </w:p>
    <w:p>
      <w:pPr>
        <w:spacing w:after="0" w:line="96" w:lineRule="exact"/>
        <w:rPr>
          <w:rFonts w:ascii="Arial" w:cs="Arial" w:eastAsia="Arial" w:hAnsi="Arial"/>
          <w:sz w:val="19"/>
          <w:szCs w:val="19"/>
          <w:color w:val="auto"/>
        </w:rPr>
      </w:pPr>
    </w:p>
    <w:p>
      <w:pPr>
        <w:ind w:right="160" w:firstLine="656"/>
        <w:spacing w:after="0" w:line="289" w:lineRule="auto"/>
        <w:tabs>
          <w:tab w:leader="none" w:pos="1104"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all or substantially all of its Property, or the making by it of a general assignment for the benefit of creditors, or the admission by it in writing of its inability to pay its debts generally as they become due.</w:t>
      </w:r>
    </w:p>
    <w:p>
      <w:pPr>
        <w:spacing w:after="0" w:line="103"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Acceleration</w:t>
      </w:r>
      <w:r>
        <w:rPr>
          <w:rFonts w:ascii="Arial" w:cs="Arial" w:eastAsia="Arial" w:hAnsi="Arial"/>
          <w:sz w:val="22"/>
          <w:szCs w:val="22"/>
          <w:color w:val="auto"/>
        </w:rPr>
        <w:t>. If an Event of Default (other than an Event of Default pursuant to Section 6.01(d) or Section 6.01(e)) occurs and is continuing with respect to a Series of Securities, then the Trustee or the Holders of not less than 25% in aggregate principal amount of the outstanding Securities of such Series may, by a notice in writing to the Company (and to the Trustee if given by Holders), declare the principal amount of all such Securities of such Series, plus accrued and unpaid interest, if any, on such Securities of such Series to be due and payable immediately, and upon any such declaration such principal amount and accrued and unpaid interest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20"/>
          </w:cols>
          <w:pgMar w:left="320" w:top="1428" w:right="359" w:bottom="1440" w:gutter="0" w:footer="0" w:header="0"/>
        </w:sectPr>
      </w:pPr>
    </w:p>
    <w:bookmarkStart w:id="65" w:name="page66"/>
    <w:bookmarkEnd w:id="65"/>
    <w:p>
      <w:pPr>
        <w:ind w:right="80"/>
        <w:spacing w:after="0" w:line="250" w:lineRule="auto"/>
        <w:rPr>
          <w:sz w:val="20"/>
          <w:szCs w:val="20"/>
          <w:color w:val="auto"/>
        </w:rPr>
      </w:pPr>
      <w:r>
        <w:rPr>
          <w:rFonts w:ascii="Arial" w:cs="Arial" w:eastAsia="Arial" w:hAnsi="Arial"/>
          <w:sz w:val="22"/>
          <w:szCs w:val="22"/>
          <w:color w:val="auto"/>
        </w:rPr>
        <w:t>immediately due and payable. However, upon an Event of Default pursuant to Section 6.01(d) or Section 6.01(e), the principal amount of all outstanding Securities of such Series, plus accrued and unpaid interest, if any, on all outstanding Securities of such Series to the acceleration date, shall be due and payable immediately without any declaration or other act on the part of the Trustee or any Holder.</w:t>
      </w:r>
    </w:p>
    <w:p>
      <w:pPr>
        <w:spacing w:after="0" w:line="134"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At any time after such a declaration of acceleration with respect to the Securities of a Series has been made but before a judgment or decree for payment of the money due has been obtained by the Trustee, the Holders of a majority in aggregate principal amount of the outstanding Securities of such Series, by written notice to the Trustee, may rescind and annul such declaration and its consequences if all Events of Default, other than the non-payment of the principal and interest, if any, of Securities of such Series which have become due solely as a result of such declaration of acceleration, have been cured or waived as provided in Section 6.04 hereof. No such rescission shall affect any subsequent Default or impair any right consequent thereon.</w:t>
      </w:r>
    </w:p>
    <w:p>
      <w:pPr>
        <w:spacing w:after="0" w:line="142" w:lineRule="exact"/>
        <w:rPr>
          <w:sz w:val="20"/>
          <w:szCs w:val="20"/>
          <w:color w:val="auto"/>
        </w:rPr>
      </w:pPr>
    </w:p>
    <w:p>
      <w:pPr>
        <w:jc w:val="both"/>
        <w:ind w:right="160" w:firstLine="648"/>
        <w:spacing w:after="0" w:line="248" w:lineRule="auto"/>
        <w:rPr>
          <w:sz w:val="20"/>
          <w:szCs w:val="20"/>
          <w:color w:val="auto"/>
        </w:rPr>
      </w:pPr>
      <w:r>
        <w:rPr>
          <w:rFonts w:ascii="Arial" w:cs="Arial" w:eastAsia="Arial" w:hAnsi="Arial"/>
          <w:sz w:val="22"/>
          <w:szCs w:val="22"/>
          <w:color w:val="auto"/>
        </w:rPr>
        <w:t>In case the Trustee shall have proceeded to enforce any right under the Indenture and such proceedings shall have been discontinued or been abandoned because of such rescission or annulment or for any other reason or shall have been determined adversely to the Trustee, then and in every such case the Company and the Trustee shall be restored respectively to their several positions and rights hereunder, and all rights, remedies and powers of the Company and the Trustee shall continue as though no such proceedings had been taken.</w:t>
      </w:r>
    </w:p>
    <w:p>
      <w:pPr>
        <w:spacing w:after="0" w:line="13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i w:val="1"/>
          <w:iCs w:val="1"/>
          <w:color w:val="auto"/>
        </w:rPr>
        <w:t>Other Remedies</w:t>
      </w:r>
      <w:r>
        <w:rPr>
          <w:rFonts w:ascii="Arial" w:cs="Arial" w:eastAsia="Arial" w:hAnsi="Arial"/>
          <w:sz w:val="19"/>
          <w:szCs w:val="19"/>
          <w:color w:val="auto"/>
        </w:rPr>
        <w:t>. If an Event of Default with respect to a Series occurs and is continuing, the Trustee may pursue any available remedy by proceeding at law or in equity to collect the payment of principal of or interest on such Series or to enforce the performance of any provision in the Securities of such Series or this Indenture applicable to the Series.</w:t>
      </w:r>
    </w:p>
    <w:p>
      <w:pPr>
        <w:spacing w:after="0" w:line="7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The Trustee may maintain a proceeding even if it does not possess any of the Securities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i w:val="1"/>
          <w:iCs w:val="1"/>
          <w:color w:val="auto"/>
        </w:rPr>
        <w:t>Waiver of Existing Defaults</w:t>
      </w:r>
      <w:r>
        <w:rPr>
          <w:rFonts w:ascii="Arial" w:cs="Arial" w:eastAsia="Arial" w:hAnsi="Arial"/>
          <w:sz w:val="19"/>
          <w:szCs w:val="19"/>
          <w:color w:val="auto"/>
        </w:rPr>
        <w:t>. Subject to the last sentence of the first paragraph of Section 9.02, the Holders of a majority in aggregate principal amount of the outstanding Securities of a Series affected by a waiver on behalf of all the Holders of such Series by notice to the Trustee have the right to waive an existing Default on such Series and its consequences. When a Default is waived, it is cured and stops continuing, and any Event of Default arising therefrom shall be deemed to have been cured; but no such waiver shall extend to any subsequent or other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28" w:right="379" w:bottom="1440" w:gutter="0" w:footer="0" w:header="0"/>
        </w:sectPr>
      </w:pPr>
    </w:p>
    <w:bookmarkStart w:id="66" w:name="page67"/>
    <w:bookmarkEnd w:id="66"/>
    <w:p>
      <w:pPr>
        <w:ind w:firstLine="648"/>
        <w:spacing w:after="0" w:line="288"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i w:val="1"/>
          <w:iCs w:val="1"/>
          <w:color w:val="auto"/>
        </w:rPr>
        <w:t>Control by Majority</w:t>
      </w:r>
      <w:r>
        <w:rPr>
          <w:rFonts w:ascii="Arial" w:cs="Arial" w:eastAsia="Arial" w:hAnsi="Arial"/>
          <w:sz w:val="19"/>
          <w:szCs w:val="19"/>
          <w:color w:val="auto"/>
        </w:rPr>
        <w:t>. The Holders of a majority in principal amount of the outstanding Securities of a Series may direct the time, method and place of conducting any proceeding for any remedy available to the Trustee or exercising any trust or power conferred on the Trustee with respect to such Series. The Trustee, however, may refuse to follow any direction</w:t>
      </w:r>
    </w:p>
    <w:p>
      <w:pPr>
        <w:spacing w:after="0" w:line="1" w:lineRule="exact"/>
        <w:rPr>
          <w:sz w:val="20"/>
          <w:szCs w:val="20"/>
          <w:color w:val="auto"/>
        </w:rPr>
      </w:pPr>
    </w:p>
    <w:p>
      <w:pPr>
        <w:ind w:right="220" w:firstLine="8"/>
        <w:spacing w:after="0" w:line="244" w:lineRule="auto"/>
        <w:tabs>
          <w:tab w:leader="none" w:pos="2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that conflicts with law or this Indenture, (b) that, subject to Section 7.01, the Trustee determines is unduly prejudicial to the rights of other Securityholders, (c) that would involve the Trustee in personal liability, if there shall be reasonable grounds for believing that adequate indemnity against such liability is not reasonably assured to it, or (d) if the Trustee shall not have been provided with indemnity satisfactory to it.</w:t>
      </w:r>
    </w:p>
    <w:p>
      <w:pPr>
        <w:spacing w:after="0" w:line="141"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i w:val="1"/>
          <w:iCs w:val="1"/>
          <w:color w:val="auto"/>
        </w:rPr>
        <w:t>Limitation on Suits</w:t>
      </w:r>
      <w:r>
        <w:rPr>
          <w:rFonts w:ascii="Arial" w:cs="Arial" w:eastAsia="Arial" w:hAnsi="Arial"/>
          <w:sz w:val="22"/>
          <w:szCs w:val="22"/>
          <w:color w:val="auto"/>
        </w:rPr>
        <w:t>. No Securityholder of any Security of any Series will have any right to institute any proceeding, judicial or otherwise, with respect to the Indenture or for the appointment of a receiver or trustee, or for any remedy under the Indenture unless:</w:t>
      </w:r>
    </w:p>
    <w:p>
      <w:pPr>
        <w:spacing w:after="0" w:line="131" w:lineRule="exact"/>
        <w:rPr>
          <w:sz w:val="20"/>
          <w:szCs w:val="20"/>
          <w:color w:val="auto"/>
        </w:rPr>
      </w:pPr>
    </w:p>
    <w:p>
      <w:pPr>
        <w:ind w:right="140" w:firstLine="656"/>
        <w:spacing w:after="0" w:line="263" w:lineRule="auto"/>
        <w:tabs>
          <w:tab w:leader="none" w:pos="110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that Holder has previously given to the Trustee written notice of a continuing Event of Default with respect to such Series of Securities;</w:t>
      </w:r>
    </w:p>
    <w:p>
      <w:pPr>
        <w:spacing w:after="0" w:line="120" w:lineRule="exact"/>
        <w:rPr>
          <w:rFonts w:ascii="Arial" w:cs="Arial" w:eastAsia="Arial" w:hAnsi="Arial"/>
          <w:sz w:val="22"/>
          <w:szCs w:val="22"/>
          <w:color w:val="auto"/>
        </w:rPr>
      </w:pPr>
    </w:p>
    <w:p>
      <w:pPr>
        <w:ind w:firstLine="656"/>
        <w:spacing w:after="0" w:line="253" w:lineRule="auto"/>
        <w:tabs>
          <w:tab w:leader="none" w:pos="11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outstanding Securities of such Series have made a written request to the Trustee, and offered indemnity reasonably satisfactory to the Trustee, to institute the proceeding as Trustee; and</w:t>
      </w:r>
    </w:p>
    <w:p>
      <w:pPr>
        <w:spacing w:after="0" w:line="131" w:lineRule="exact"/>
        <w:rPr>
          <w:rFonts w:ascii="Arial" w:cs="Arial" w:eastAsia="Arial" w:hAnsi="Arial"/>
          <w:sz w:val="22"/>
          <w:szCs w:val="22"/>
          <w:color w:val="auto"/>
        </w:rPr>
      </w:pPr>
    </w:p>
    <w:p>
      <w:pPr>
        <w:ind w:right="340" w:firstLine="656"/>
        <w:spacing w:after="0" w:line="253" w:lineRule="auto"/>
        <w:tabs>
          <w:tab w:leader="none" w:pos="110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Trustee has failed to comply with the request for at least 60 days after receipt of the request and the offer of indemnity, and has not received from the Holders of a majority in aggregate principal amount of the outstanding Securities of such Series a direction inconsistent with that request.</w:t>
      </w:r>
    </w:p>
    <w:p>
      <w:pPr>
        <w:spacing w:after="0" w:line="131"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A Securityholder may not use this Indenture to prejudice the rights of another Holder of Securities of the same Series or to obtain a preference or priority over another Holder of Securities of the same Series (it being understood that the Trustee does not have an affirmative duty to ascertain whether or not such actions or forbearances by such Holder are unduly prejudicial to another Holder).</w:t>
      </w:r>
    </w:p>
    <w:p>
      <w:pPr>
        <w:spacing w:after="0" w:line="134"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Section 6.07. </w:t>
      </w:r>
      <w:r>
        <w:rPr>
          <w:rFonts w:ascii="Arial" w:cs="Arial" w:eastAsia="Arial" w:hAnsi="Arial"/>
          <w:sz w:val="21"/>
          <w:szCs w:val="21"/>
          <w:i w:val="1"/>
          <w:iCs w:val="1"/>
          <w:color w:val="auto"/>
        </w:rPr>
        <w:t>Rights of Holders to Receive Payment</w:t>
      </w:r>
      <w:r>
        <w:rPr>
          <w:rFonts w:ascii="Arial" w:cs="Arial" w:eastAsia="Arial" w:hAnsi="Arial"/>
          <w:sz w:val="21"/>
          <w:szCs w:val="21"/>
          <w:color w:val="auto"/>
        </w:rPr>
        <w:t>. Notwithstanding any other provision of this Indenture, the right of any Holder to receive payment of principal of and interest on any Security, on or after the respective due dates expressed in the Security, or to bring suit for the enforcement of any such payment on or after such respective dates, is absolute and unconditional and shall not be impaired or affected without the consent of the Holder.</w:t>
      </w:r>
    </w:p>
    <w:p>
      <w:pPr>
        <w:spacing w:after="0" w:line="121"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i w:val="1"/>
          <w:iCs w:val="1"/>
          <w:color w:val="auto"/>
        </w:rPr>
        <w:t>Collection Suit by Trustee</w:t>
      </w:r>
      <w:r>
        <w:rPr>
          <w:rFonts w:ascii="Arial" w:cs="Arial" w:eastAsia="Arial" w:hAnsi="Arial"/>
          <w:sz w:val="22"/>
          <w:szCs w:val="22"/>
          <w:color w:val="auto"/>
        </w:rPr>
        <w:t>. If an Event of Default in payment of interest or principal specified in Section 6.01(a) or (b) occurs and is continuing, the Trustee may recover judgment in its own name and as trustee of an express trust against the Company for the whole amount of principal and interest remaining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180"/>
          </w:cols>
          <w:pgMar w:left="320" w:top="1428" w:right="399" w:bottom="1440" w:gutter="0" w:footer="0" w:header="0"/>
        </w:sectPr>
      </w:pPr>
    </w:p>
    <w:bookmarkStart w:id="67" w:name="page68"/>
    <w:bookmarkEnd w:id="67"/>
    <w:p>
      <w:pPr>
        <w:ind w:right="20" w:firstLine="648"/>
        <w:spacing w:after="0" w:line="288"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i w:val="1"/>
          <w:iCs w:val="1"/>
          <w:color w:val="auto"/>
        </w:rPr>
        <w:t>Trustee May File Proofs of Claim</w:t>
      </w:r>
      <w:r>
        <w:rPr>
          <w:rFonts w:ascii="Arial" w:cs="Arial" w:eastAsia="Arial" w:hAnsi="Arial"/>
          <w:sz w:val="19"/>
          <w:szCs w:val="19"/>
          <w:color w:val="auto"/>
        </w:rPr>
        <w:t>.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its creditors or Property, and unless prohibited by applicable law or regulation, may vote on behalf of the Holders in any election of a custodian, and shall be entitled and empowered to collect and receive any moneys or other Property payable or deliverable on any such claims and to distribute the same and any custodian in any such judicial proceeding is hereby authorized by each Securityholder to make such payments to the Trustee. Nothing herein shall be deemed to authorize the Trustee to authorize or consent to or vote for or accept or adopt on behalf of any Securityholder any plan of reorganization, arrangement, adjustment or composition affecting the Securities or the rights of any Holder or to authorize the Trustee to vote in respect of the claim of any Securityholder except as aforesaid for the election of the custodian.</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i w:val="1"/>
          <w:iCs w:val="1"/>
          <w:color w:val="auto"/>
        </w:rPr>
        <w:t>Priorities</w:t>
      </w:r>
      <w:r>
        <w:rPr>
          <w:rFonts w:ascii="Arial" w:cs="Arial" w:eastAsia="Arial" w:hAnsi="Arial"/>
          <w:sz w:val="22"/>
          <w:szCs w:val="22"/>
          <w:color w:val="auto"/>
        </w:rPr>
        <w:t>. If the Trustee collects any money or Property pursuant to this Article with respect to Securities of any Series, it shall pay out the money in the following order:</w:t>
      </w:r>
    </w:p>
    <w:p>
      <w:pPr>
        <w:spacing w:after="0" w:line="12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to the Trustee (acting in its capacity as such) for all amounts due under Section 7.07;</w:t>
      </w:r>
    </w:p>
    <w:p>
      <w:pPr>
        <w:spacing w:after="0" w:line="166" w:lineRule="exact"/>
        <w:rPr>
          <w:sz w:val="20"/>
          <w:szCs w:val="20"/>
          <w:color w:val="auto"/>
        </w:rPr>
      </w:pPr>
    </w:p>
    <w:p>
      <w:pPr>
        <w:jc w:val="both"/>
        <w:ind w:left="1560" w:right="280" w:hanging="1295"/>
        <w:spacing w:after="0" w:line="253" w:lineRule="auto"/>
        <w:tabs>
          <w:tab w:leader="none" w:pos="1540" w:val="left"/>
        </w:tabs>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to Securityholders of the Series for amounts due and unpaid on the Series for principal and interest, ratably, without preference or priority of any kind, according to the amounts due and payable on the Series for principal and interest, respectively; and</w:t>
      </w:r>
    </w:p>
    <w:p>
      <w:pPr>
        <w:spacing w:after="0" w:line="131"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to the Company or as a court of competent jurisdiction shall direct.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Securityholders pursuant to this Section 6.10.</w:t>
      </w:r>
    </w:p>
    <w:p>
      <w:pPr>
        <w:spacing w:after="0" w:line="20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i w:val="1"/>
          <w:iCs w:val="1"/>
          <w:color w:val="auto"/>
        </w:rPr>
        <w:t>Undertaking for Costs</w:t>
      </w:r>
      <w:r>
        <w:rPr>
          <w:rFonts w:ascii="Arial" w:cs="Arial" w:eastAsia="Arial" w:hAnsi="Arial"/>
          <w:sz w:val="19"/>
          <w:szCs w:val="19"/>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the due regard to the merits and good faith of the claims or defenses made by the party litigant. This Section does not apply to a suit by the Trustee, a suit by a Holder pursuant to Section 6.07 or a suit by Holders of more than 10% in principal amount of the Series.</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RUSTEE</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120"/>
          </w:cols>
          <w:pgMar w:left="320" w:top="1428" w:right="459" w:bottom="1440" w:gutter="0" w:footer="0" w:header="0"/>
        </w:sectPr>
      </w:pPr>
    </w:p>
    <w:bookmarkStart w:id="68" w:name="page69"/>
    <w:bookmarkEnd w:id="68"/>
    <w:p>
      <w:pPr>
        <w:jc w:val="both"/>
        <w:ind w:left="-20" w:firstLine="656"/>
        <w:spacing w:after="0" w:line="250" w:lineRule="auto"/>
        <w:tabs>
          <w:tab w:leader="none" w:pos="1084"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with respect to Securities of any Series, the Trustee shall, prior to the receipt of direction from the Holders of a majority in principal amount of the Securities of the Series, exercise its rights and powers and use the same degree of care and skill in their exercise as a prudent person would exercise or use under the circumstances in the conduct of such person’s own affairs.</w:t>
      </w:r>
    </w:p>
    <w:p>
      <w:pPr>
        <w:spacing w:after="0" w:line="133" w:lineRule="exact"/>
        <w:rPr>
          <w:rFonts w:ascii="Arial" w:cs="Arial" w:eastAsia="Arial" w:hAnsi="Arial"/>
          <w:sz w:val="22"/>
          <w:szCs w:val="22"/>
          <w:color w:val="auto"/>
        </w:rPr>
      </w:pPr>
    </w:p>
    <w:p>
      <w:pPr>
        <w:ind w:left="1100" w:hanging="464"/>
        <w:spacing w:after="0"/>
        <w:tabs>
          <w:tab w:leader="none" w:pos="11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165" w:lineRule="exact"/>
        <w:rPr>
          <w:rFonts w:ascii="Arial" w:cs="Arial" w:eastAsia="Arial" w:hAnsi="Arial"/>
          <w:sz w:val="22"/>
          <w:szCs w:val="22"/>
          <w:color w:val="auto"/>
        </w:rPr>
      </w:pPr>
    </w:p>
    <w:p>
      <w:pPr>
        <w:ind w:left="640" w:right="220" w:firstLine="968"/>
        <w:spacing w:after="0" w:line="287" w:lineRule="auto"/>
        <w:tabs>
          <w:tab w:leader="none" w:pos="2028"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Trustee need perform only those duties that are specifically set forth in this Indenture and no others and no implied covenants or obligations shall be read into this Indenture against the Trustee.</w:t>
      </w:r>
    </w:p>
    <w:p>
      <w:pPr>
        <w:spacing w:after="0" w:line="97" w:lineRule="exact"/>
        <w:rPr>
          <w:rFonts w:ascii="Arial" w:cs="Arial" w:eastAsia="Arial" w:hAnsi="Arial"/>
          <w:sz w:val="21"/>
          <w:szCs w:val="21"/>
          <w:color w:val="auto"/>
        </w:rPr>
      </w:pPr>
    </w:p>
    <w:p>
      <w:pPr>
        <w:ind w:left="640" w:right="40" w:firstLine="968"/>
        <w:spacing w:after="0" w:line="261" w:lineRule="auto"/>
        <w:tabs>
          <w:tab w:leader="none" w:pos="2092" w:val="left"/>
        </w:tabs>
        <w:numPr>
          <w:ilvl w:val="1"/>
          <w:numId w:val="48"/>
        </w:numPr>
        <w:rPr>
          <w:rFonts w:ascii="Arial" w:cs="Arial" w:eastAsia="Arial" w:hAnsi="Arial"/>
          <w:sz w:val="21"/>
          <w:szCs w:val="21"/>
          <w:color w:val="auto"/>
        </w:rPr>
      </w:pPr>
      <w:r>
        <w:rPr>
          <w:rFonts w:ascii="Arial" w:cs="Arial" w:eastAsia="Arial" w:hAnsi="Arial"/>
          <w:sz w:val="21"/>
          <w:szCs w:val="21"/>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in the case of certificates or opinions specifically required by any provision hereof to be furnished to it, shall examine the certificates and opinions to determine whether or not they conform to the requirements of this Indenture but need not confirm or investigate the accuracy of mathematical calculations or other facts or matters stated therein.</w:t>
      </w:r>
    </w:p>
    <w:p>
      <w:pPr>
        <w:spacing w:after="0" w:line="125" w:lineRule="exact"/>
        <w:rPr>
          <w:rFonts w:ascii="Arial" w:cs="Arial" w:eastAsia="Arial" w:hAnsi="Arial"/>
          <w:sz w:val="21"/>
          <w:szCs w:val="21"/>
          <w:color w:val="auto"/>
        </w:rPr>
      </w:pPr>
    </w:p>
    <w:p>
      <w:pPr>
        <w:ind w:left="-20" w:right="20" w:firstLine="656"/>
        <w:spacing w:after="0" w:line="343" w:lineRule="auto"/>
        <w:tabs>
          <w:tab w:leader="none" w:pos="108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Trustee may not be relieved from liability for its own grossly negligent action, its grossly negligent failure to act or its own willful misconduct, as determined by a final non-appealable order of a court of competent jurisdiction, except that:</w:t>
      </w:r>
    </w:p>
    <w:p>
      <w:pPr>
        <w:spacing w:after="0" w:line="50" w:lineRule="exact"/>
        <w:rPr>
          <w:rFonts w:ascii="Arial" w:cs="Arial" w:eastAsia="Arial" w:hAnsi="Arial"/>
          <w:sz w:val="19"/>
          <w:szCs w:val="19"/>
          <w:color w:val="auto"/>
        </w:rPr>
      </w:pPr>
    </w:p>
    <w:p>
      <w:pPr>
        <w:ind w:left="2020" w:hanging="412"/>
        <w:spacing w:after="0"/>
        <w:tabs>
          <w:tab w:leader="none" w:pos="20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 7.01.</w:t>
      </w:r>
    </w:p>
    <w:p>
      <w:pPr>
        <w:spacing w:after="0" w:line="165" w:lineRule="exact"/>
        <w:rPr>
          <w:rFonts w:ascii="Arial" w:cs="Arial" w:eastAsia="Arial" w:hAnsi="Arial"/>
          <w:sz w:val="22"/>
          <w:szCs w:val="22"/>
          <w:color w:val="auto"/>
        </w:rPr>
      </w:pPr>
    </w:p>
    <w:p>
      <w:pPr>
        <w:ind w:left="640" w:right="160" w:firstLine="968"/>
        <w:spacing w:after="0" w:line="263" w:lineRule="auto"/>
        <w:tabs>
          <w:tab w:leader="none" w:pos="208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Trust Officer, unless it is proved that the Trustee was negligent in ascertaining the pertinent facts.</w:t>
      </w:r>
    </w:p>
    <w:p>
      <w:pPr>
        <w:spacing w:after="0" w:line="120" w:lineRule="exact"/>
        <w:rPr>
          <w:rFonts w:ascii="Arial" w:cs="Arial" w:eastAsia="Arial" w:hAnsi="Arial"/>
          <w:sz w:val="22"/>
          <w:szCs w:val="22"/>
          <w:color w:val="auto"/>
        </w:rPr>
      </w:pPr>
    </w:p>
    <w:p>
      <w:pPr>
        <w:jc w:val="both"/>
        <w:ind w:left="640" w:right="700" w:firstLine="968"/>
        <w:spacing w:after="0" w:line="253" w:lineRule="auto"/>
        <w:tabs>
          <w:tab w:leader="none" w:pos="2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or any other direction of the Holders permitted hereunder.</w:t>
      </w:r>
    </w:p>
    <w:p>
      <w:pPr>
        <w:spacing w:after="0" w:line="131" w:lineRule="exact"/>
        <w:rPr>
          <w:rFonts w:ascii="Arial" w:cs="Arial" w:eastAsia="Arial" w:hAnsi="Arial"/>
          <w:sz w:val="22"/>
          <w:szCs w:val="22"/>
          <w:color w:val="auto"/>
        </w:rPr>
      </w:pPr>
    </w:p>
    <w:p>
      <w:pPr>
        <w:ind w:left="-20" w:firstLine="656"/>
        <w:spacing w:after="0" w:line="263" w:lineRule="auto"/>
        <w:tabs>
          <w:tab w:leader="none" w:pos="10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Every provision of this Indenture that in any way relates to the Trustee is subject to paragraphs (a), (b) and (c) of this Section 7.01.</w:t>
      </w:r>
    </w:p>
    <w:p>
      <w:pPr>
        <w:spacing w:after="0" w:line="120" w:lineRule="exact"/>
        <w:rPr>
          <w:rFonts w:ascii="Arial" w:cs="Arial" w:eastAsia="Arial" w:hAnsi="Arial"/>
          <w:sz w:val="22"/>
          <w:szCs w:val="22"/>
          <w:color w:val="auto"/>
        </w:rPr>
      </w:pPr>
    </w:p>
    <w:p>
      <w:pPr>
        <w:ind w:left="-20" w:right="100" w:firstLine="656"/>
        <w:spacing w:after="0" w:line="250" w:lineRule="auto"/>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Trustee may refuse to perform any duty or exercise any right or power if the Trustee has reasonable grounds to believe that such performance or exercise (i) would require the Trustee to expend or risk its own funds or otherwise incur any financial liability in the performance, unless it receives indemnity satisfactory to it against any loss, liability or expense, or (ii) is not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00"/>
          </w:cols>
          <w:pgMar w:left="340" w:top="1428" w:right="359" w:bottom="1440" w:gutter="0" w:footer="0" w:header="0"/>
        </w:sectPr>
      </w:pPr>
    </w:p>
    <w:bookmarkStart w:id="69" w:name="page70"/>
    <w:bookmarkEnd w:id="69"/>
    <w:p>
      <w:pPr>
        <w:ind w:left="-40" w:right="440" w:firstLine="656"/>
        <w:spacing w:after="0" w:line="343" w:lineRule="auto"/>
        <w:tabs>
          <w:tab w:leader="none" w:pos="103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with the Company. Money held in trust by the Trustee need not be segregated from other funds except to the extent required by law.</w:t>
      </w:r>
    </w:p>
    <w:p>
      <w:pPr>
        <w:spacing w:after="0" w:line="50"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r>
        <w:rPr>
          <w:rFonts w:ascii="Arial" w:cs="Arial" w:eastAsia="Arial" w:hAnsi="Arial"/>
          <w:sz w:val="19"/>
          <w:szCs w:val="19"/>
          <w:color w:val="auto"/>
        </w:rPr>
        <w:t>. Subject to Section 7.01:</w:t>
      </w:r>
    </w:p>
    <w:p>
      <w:pPr>
        <w:spacing w:after="0" w:line="166" w:lineRule="exact"/>
        <w:rPr>
          <w:sz w:val="20"/>
          <w:szCs w:val="20"/>
          <w:color w:val="auto"/>
        </w:rPr>
      </w:pPr>
    </w:p>
    <w:p>
      <w:pPr>
        <w:ind w:left="-40" w:right="100" w:firstLine="656"/>
        <w:spacing w:after="0" w:line="250" w:lineRule="auto"/>
        <w:tabs>
          <w:tab w:leader="none" w:pos="10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may conclusively rely and shall be fully protected in acting or refraining from acting on any document, resolution, certificate, instrument, report, or direction believed by it to be genuine and to have been signed or presented by the proper person. The Trustee need not investigate any fact or matter stated in the document, resolution, certificate, instrument, report, or direction.</w:t>
      </w:r>
    </w:p>
    <w:p>
      <w:pPr>
        <w:spacing w:after="0" w:line="133" w:lineRule="exact"/>
        <w:rPr>
          <w:rFonts w:ascii="Arial" w:cs="Arial" w:eastAsia="Arial" w:hAnsi="Arial"/>
          <w:sz w:val="22"/>
          <w:szCs w:val="22"/>
          <w:color w:val="auto"/>
        </w:rPr>
      </w:pPr>
    </w:p>
    <w:p>
      <w:pPr>
        <w:jc w:val="both"/>
        <w:ind w:left="-40" w:firstLine="656"/>
        <w:spacing w:after="0" w:line="250" w:lineRule="auto"/>
        <w:tabs>
          <w:tab w:leader="none" w:pos="1076" w:val="left"/>
        </w:tabs>
        <w:numPr>
          <w:ilvl w:val="0"/>
          <w:numId w:val="50"/>
        </w:numPr>
        <w:rPr>
          <w:rFonts w:ascii="Arial" w:cs="Arial" w:eastAsia="Arial" w:hAnsi="Arial"/>
          <w:sz w:val="22"/>
          <w:szCs w:val="22"/>
          <w:color w:val="auto"/>
        </w:rPr>
      </w:pPr>
      <w:r>
        <w:rPr>
          <w:rFonts w:ascii="Arial" w:cs="Arial" w:eastAsia="Arial" w:hAnsi="Arial"/>
          <w:sz w:val="22"/>
          <w:szCs w:val="22"/>
          <w:color w:val="auto"/>
        </w:rPr>
        <w:t>Before the Trustee acts or refrains from acting at the request of the Company, it may require an Officer’s Certificate or an Opinion of Counsel or both, which shall conform to Sections 11.04 and 11.05 hereof. The Trustee shall not be liable for any action it takes or omits to take in good faith in reliance on the Officer’s Certificate, Opinion of Counsel or any other direction of the Company permitted hereunder.</w:t>
      </w:r>
    </w:p>
    <w:p>
      <w:pPr>
        <w:spacing w:after="0" w:line="133" w:lineRule="exact"/>
        <w:rPr>
          <w:rFonts w:ascii="Arial" w:cs="Arial" w:eastAsia="Arial" w:hAnsi="Arial"/>
          <w:sz w:val="22"/>
          <w:szCs w:val="22"/>
          <w:color w:val="auto"/>
        </w:rPr>
      </w:pPr>
    </w:p>
    <w:p>
      <w:pPr>
        <w:ind w:left="-40" w:right="520" w:firstLine="656"/>
        <w:spacing w:after="0" w:line="263" w:lineRule="auto"/>
        <w:tabs>
          <w:tab w:leader="none" w:pos="10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may act through agents and shall not be responsible for the misconduct or negligence of any agent appointed with due care.</w:t>
      </w:r>
    </w:p>
    <w:p>
      <w:pPr>
        <w:spacing w:after="0" w:line="120" w:lineRule="exact"/>
        <w:rPr>
          <w:rFonts w:ascii="Arial" w:cs="Arial" w:eastAsia="Arial" w:hAnsi="Arial"/>
          <w:sz w:val="22"/>
          <w:szCs w:val="22"/>
          <w:color w:val="auto"/>
        </w:rPr>
      </w:pPr>
    </w:p>
    <w:p>
      <w:pPr>
        <w:ind w:left="-40" w:right="260" w:firstLine="656"/>
        <w:spacing w:after="0" w:line="263" w:lineRule="auto"/>
        <w:tabs>
          <w:tab w:leader="none" w:pos="1072"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shall not be liable for any action taken, suffered or omitted by it in good faith and believed by it to be authorized or within the discretion or rights or powers conferred upon it by this Indenture.</w:t>
      </w:r>
    </w:p>
    <w:p>
      <w:pPr>
        <w:spacing w:after="0" w:line="120" w:lineRule="exact"/>
        <w:rPr>
          <w:rFonts w:ascii="Arial" w:cs="Arial" w:eastAsia="Arial" w:hAnsi="Arial"/>
          <w:sz w:val="22"/>
          <w:szCs w:val="22"/>
          <w:color w:val="auto"/>
        </w:rPr>
      </w:pPr>
    </w:p>
    <w:p>
      <w:pPr>
        <w:jc w:val="both"/>
        <w:ind w:left="-40" w:right="140" w:firstLine="656"/>
        <w:spacing w:after="0" w:line="271" w:lineRule="auto"/>
        <w:tabs>
          <w:tab w:leader="none" w:pos="10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Trustee may consult with counsel of its selection, and the advice of such counsel or any Opinion of Counsel as to matters of law shall be full and complete authorization and protection in respect of any action taken, omitted or suffered by it hereunder in good faith and in accordance with the advice or opinion of such counsel.</w:t>
      </w:r>
    </w:p>
    <w:p>
      <w:pPr>
        <w:spacing w:after="0" w:line="113" w:lineRule="exact"/>
        <w:rPr>
          <w:rFonts w:ascii="Arial" w:cs="Arial" w:eastAsia="Arial" w:hAnsi="Arial"/>
          <w:sz w:val="21"/>
          <w:szCs w:val="21"/>
          <w:color w:val="auto"/>
        </w:rPr>
      </w:pPr>
    </w:p>
    <w:p>
      <w:pPr>
        <w:ind w:left="-40" w:right="60" w:firstLine="656"/>
        <w:spacing w:after="0" w:line="263" w:lineRule="auto"/>
        <w:tabs>
          <w:tab w:leader="none" w:pos="1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Unless otherwise specifically provided in the Indenture, any demand, request, direction or notice from the Company shall be sufficient if signed by an Officer of the Company.</w:t>
      </w:r>
    </w:p>
    <w:p>
      <w:pPr>
        <w:spacing w:after="0" w:line="120" w:lineRule="exact"/>
        <w:rPr>
          <w:rFonts w:ascii="Arial" w:cs="Arial" w:eastAsia="Arial" w:hAnsi="Arial"/>
          <w:sz w:val="22"/>
          <w:szCs w:val="22"/>
          <w:color w:val="auto"/>
        </w:rPr>
      </w:pPr>
    </w:p>
    <w:p>
      <w:pPr>
        <w:ind w:left="-40" w:right="160" w:firstLine="656"/>
        <w:spacing w:after="0" w:line="271" w:lineRule="auto"/>
        <w:tabs>
          <w:tab w:leader="none" w:pos="1076" w:val="left"/>
        </w:tabs>
        <w:numPr>
          <w:ilvl w:val="0"/>
          <w:numId w:val="50"/>
        </w:numPr>
        <w:rPr>
          <w:rFonts w:ascii="Arial" w:cs="Arial" w:eastAsia="Arial" w:hAnsi="Arial"/>
          <w:sz w:val="21"/>
          <w:szCs w:val="21"/>
          <w:color w:val="auto"/>
        </w:rPr>
      </w:pPr>
      <w:r>
        <w:rPr>
          <w:rFonts w:ascii="Arial" w:cs="Arial" w:eastAsia="Arial" w:hAnsi="Arial"/>
          <w:sz w:val="21"/>
          <w:szCs w:val="21"/>
          <w:color w:val="auto"/>
        </w:rPr>
        <w:t>For all purposes under this Indenture, the Trustee shall not be deemed to have notice or knowledge of any Event of Default unless written notice of any Event of Default is received by a Trust Officer of the Trustee at its address specified in Section 11.02 hereof and such notice references the Securities generally, the Company and this Indenture.</w:t>
      </w:r>
    </w:p>
    <w:p>
      <w:pPr>
        <w:spacing w:after="0" w:line="113" w:lineRule="exact"/>
        <w:rPr>
          <w:rFonts w:ascii="Arial" w:cs="Arial" w:eastAsia="Arial" w:hAnsi="Arial"/>
          <w:sz w:val="21"/>
          <w:szCs w:val="21"/>
          <w:color w:val="auto"/>
        </w:rPr>
      </w:pPr>
    </w:p>
    <w:p>
      <w:pPr>
        <w:ind w:left="-40" w:right="180" w:firstLine="656"/>
        <w:spacing w:after="0" w:line="312" w:lineRule="auto"/>
        <w:tabs>
          <w:tab w:leader="none" w:pos="1072"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 request or direction of any of the Holders pursuant to this Indenture, unless such Trustee receives indemnity satisfactory to the Trustee against the costs, expenses and liabilities which might be incurred by it in compliance with such request or direction.</w:t>
      </w:r>
    </w:p>
    <w:p>
      <w:pPr>
        <w:spacing w:after="0" w:line="79" w:lineRule="exact"/>
        <w:rPr>
          <w:rFonts w:ascii="Arial" w:cs="Arial" w:eastAsia="Arial" w:hAnsi="Arial"/>
          <w:sz w:val="19"/>
          <w:szCs w:val="19"/>
          <w:color w:val="auto"/>
        </w:rPr>
      </w:pPr>
    </w:p>
    <w:p>
      <w:pPr>
        <w:ind w:left="-40" w:firstLine="656"/>
        <w:spacing w:after="0" w:line="263" w:lineRule="auto"/>
        <w:tabs>
          <w:tab w:leader="none" w:pos="10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opinion, report,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160"/>
          </w:cols>
          <w:pgMar w:left="360" w:top="1428" w:right="379" w:bottom="1440" w:gutter="0" w:footer="0" w:header="0"/>
        </w:sectPr>
      </w:pPr>
    </w:p>
    <w:bookmarkStart w:id="70" w:name="page71"/>
    <w:bookmarkEnd w:id="70"/>
    <w:p>
      <w:pPr>
        <w:ind w:right="340"/>
        <w:spacing w:after="0" w:line="263" w:lineRule="auto"/>
        <w:rPr>
          <w:sz w:val="20"/>
          <w:szCs w:val="20"/>
          <w:color w:val="auto"/>
        </w:rPr>
      </w:pPr>
      <w:r>
        <w:rPr>
          <w:rFonts w:ascii="Arial" w:cs="Arial" w:eastAsia="Arial" w:hAnsi="Arial"/>
          <w:sz w:val="21"/>
          <w:szCs w:val="21"/>
          <w:color w:val="auto"/>
        </w:rPr>
        <w:t>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21" w:lineRule="exact"/>
        <w:rPr>
          <w:sz w:val="20"/>
          <w:szCs w:val="20"/>
          <w:color w:val="auto"/>
        </w:rPr>
      </w:pPr>
    </w:p>
    <w:p>
      <w:pPr>
        <w:jc w:val="both"/>
        <w:ind w:right="220" w:firstLine="656"/>
        <w:spacing w:after="0" w:line="253" w:lineRule="auto"/>
        <w:tabs>
          <w:tab w:leader="none" w:pos="106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31" w:lineRule="exact"/>
        <w:rPr>
          <w:rFonts w:ascii="Arial" w:cs="Arial" w:eastAsia="Arial" w:hAnsi="Arial"/>
          <w:sz w:val="22"/>
          <w:szCs w:val="22"/>
          <w:color w:val="auto"/>
        </w:rPr>
      </w:pPr>
    </w:p>
    <w:p>
      <w:pPr>
        <w:ind w:right="340" w:firstLine="656"/>
        <w:spacing w:after="0" w:line="253" w:lineRule="auto"/>
        <w:tabs>
          <w:tab w:leader="none" w:pos="111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31" w:lineRule="exact"/>
        <w:rPr>
          <w:rFonts w:ascii="Arial" w:cs="Arial" w:eastAsia="Arial" w:hAnsi="Arial"/>
          <w:sz w:val="22"/>
          <w:szCs w:val="22"/>
          <w:color w:val="auto"/>
        </w:rPr>
      </w:pPr>
    </w:p>
    <w:p>
      <w:pPr>
        <w:ind w:right="120" w:firstLine="656"/>
        <w:spacing w:after="0" w:line="263" w:lineRule="auto"/>
        <w:tabs>
          <w:tab w:leader="none" w:pos="1064"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 certificate setting forth the names of individuals and/or titles of officers authorized at such time to take specified actions pursuant to this Indenture.</w:t>
      </w:r>
    </w:p>
    <w:p>
      <w:pPr>
        <w:spacing w:after="0" w:line="120" w:lineRule="exact"/>
        <w:rPr>
          <w:rFonts w:ascii="Arial" w:cs="Arial" w:eastAsia="Arial" w:hAnsi="Arial"/>
          <w:sz w:val="22"/>
          <w:szCs w:val="22"/>
          <w:color w:val="auto"/>
        </w:rPr>
      </w:pPr>
    </w:p>
    <w:p>
      <w:pPr>
        <w:ind w:firstLine="656"/>
        <w:spacing w:after="0" w:line="259" w:lineRule="auto"/>
        <w:tabs>
          <w:tab w:leader="none" w:pos="1176"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(i) any act or provision of any present or future law or regulation or governmental authority, (ii) any act of God, (iii) natural catastrophes, (iv) war, (v) terrorism, (vi) civil disturbances, (vii) accidents, (viii) labor dispute, (ix) disease, (x) epidemic or pandemic, (xi) quarantine, (xii) national emergency, (xiii) loss or malfunction of utility or computer software or hardware, (xiv) communications system failure, (xv) malware or ransomware or (xvi) unavailability of the Federal Reserve Bank wire or telex system or other wire or other funds transfer systems, or (xvii) unavailability of any securities clearing system; it being understood that the Trustee shall use reasonable efforts which are consistent with accepted practices in the banking industry to resume performance as soon as practicable under the circumstances.</w:t>
      </w:r>
    </w:p>
    <w:p>
      <w:pPr>
        <w:spacing w:after="0" w:line="125" w:lineRule="exact"/>
        <w:rPr>
          <w:rFonts w:ascii="Arial" w:cs="Arial" w:eastAsia="Arial" w:hAnsi="Arial"/>
          <w:sz w:val="21"/>
          <w:szCs w:val="21"/>
          <w:color w:val="auto"/>
        </w:rPr>
      </w:pPr>
    </w:p>
    <w:p>
      <w:pPr>
        <w:ind w:left="1120" w:hanging="464"/>
        <w:spacing w:after="0"/>
        <w:tabs>
          <w:tab w:leader="none" w:pos="11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permissive rights of the Trustee enumerated herein shall not be construed as duties.</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4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i w:val="1"/>
          <w:iCs w:val="1"/>
          <w:color w:val="auto"/>
        </w:rPr>
        <w:t>Individual Rights of Trustee</w:t>
      </w:r>
      <w:r>
        <w:rPr>
          <w:rFonts w:ascii="Arial" w:cs="Arial" w:eastAsia="Arial" w:hAnsi="Arial"/>
          <w:sz w:val="19"/>
          <w:szCs w:val="19"/>
          <w:color w:val="auto"/>
        </w:rPr>
        <w:t>. The Trustee in its individual or any other capacity may become the owner or pledgee of Securities and may otherwise deal with the Company or its affiliates with the same rights it would have if it were not Trustee. Any Agent may do the same with like rights. The Trustee, however, must comply with Sections 7.10 and 7.11.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28" w:right="359" w:bottom="1440" w:gutter="0" w:footer="0" w:header="0"/>
        </w:sectPr>
      </w:pPr>
    </w:p>
    <w:bookmarkStart w:id="71" w:name="page72"/>
    <w:bookmarkEnd w:id="71"/>
    <w:p>
      <w:pPr>
        <w:ind w:firstLine="648"/>
        <w:spacing w:after="0" w:line="294"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i w:val="1"/>
          <w:iCs w:val="1"/>
          <w:color w:val="auto"/>
        </w:rPr>
        <w:t>Trustee’s Disclaimer</w:t>
      </w:r>
      <w:r>
        <w:rPr>
          <w:rFonts w:ascii="Arial" w:cs="Arial" w:eastAsia="Arial" w:hAnsi="Arial"/>
          <w:sz w:val="19"/>
          <w:szCs w:val="19"/>
          <w:color w:val="auto"/>
        </w:rPr>
        <w:t>. The Trustee makes no representation as to the validity or adequacy of this Indenture, the Securities or of any prospectus used to sell the Securities of any Series; it shall not be accountable for the Company’s use of the proceeds from the Securities; it shall not be accountable for any money paid to the Company, or upon the Company’s direction, if made under and in accordance with any provision of this Indenture; it shall not be responsible for the use or application of any money received by any Paying Agent other than the Trustee; and it shall not be responsible for any statement of the Company in this Indenture or in the Securities other than its certificate of authentication.</w:t>
      </w:r>
    </w:p>
    <w:p>
      <w:pPr>
        <w:spacing w:after="0" w:line="95"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i w:val="1"/>
          <w:iCs w:val="1"/>
          <w:color w:val="auto"/>
        </w:rPr>
        <w:t>Notice of Defaults</w:t>
      </w:r>
      <w:r>
        <w:rPr>
          <w:rFonts w:ascii="Arial" w:cs="Arial" w:eastAsia="Arial" w:hAnsi="Arial"/>
          <w:sz w:val="19"/>
          <w:szCs w:val="19"/>
          <w:color w:val="auto"/>
        </w:rPr>
        <w:t xml:space="preserve">. If a Default occurs and is continuing hereunder with respect to a Series of Securities and a Trust Officer of the Trustee has received written notice thereof at the corporate trust office of the Trustee and such notice references the Securities of such Series or the Securities generally and the Indenture and states that it is a “Notice of Default,” the Trustee shall give the Holders of Securities of such Series notice of all Defaults known to the Trustee which have occurred with respect to such Securities within 45 days after receipt thereof, unless such Defaults shall have been cured before the giving of such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except in the case of a Default in the payment of principal or redemption price of (or premium, if any) or interest on any Securities, the Trustee shall be protected in withholding such notice if and so long as its board of directors, executive committee, or trust committee of directors or trustees and/or Trust Officers of the Trustee in good faith determine that the withholding of such notice is in the interests of the Holders of Securities of such Series.</w:t>
      </w:r>
    </w:p>
    <w:p>
      <w:pPr>
        <w:spacing w:after="0" w:line="103"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Reports by Trustee to Holders</w:t>
      </w:r>
      <w:r>
        <w:rPr>
          <w:rFonts w:ascii="Arial" w:cs="Arial" w:eastAsia="Arial" w:hAnsi="Arial"/>
          <w:sz w:val="19"/>
          <w:szCs w:val="19"/>
          <w:color w:val="auto"/>
        </w:rPr>
        <w:t>. Within 60 days after each May 15 beginning with the May 15 following the date of this Base Indenture, the Trustee shall send to each Securityholder a brief report dated as of such May 15 that complies with TIA § 313(a) (but if no event described in TIA §§ 313(a)(1) through (8) has occurred within the twelve months preceding the reporting date no report in relation thereto need be transmitted). The Trustee also shall comply with TIA § 313(b).</w:t>
      </w:r>
    </w:p>
    <w:p>
      <w:pPr>
        <w:spacing w:after="0" w:line="88" w:lineRule="exact"/>
        <w:rPr>
          <w:sz w:val="20"/>
          <w:szCs w:val="20"/>
          <w:color w:val="auto"/>
        </w:rPr>
      </w:pPr>
    </w:p>
    <w:p>
      <w:pPr>
        <w:ind w:right="260" w:firstLine="648"/>
        <w:spacing w:after="0" w:line="271" w:lineRule="auto"/>
        <w:rPr>
          <w:sz w:val="20"/>
          <w:szCs w:val="20"/>
          <w:color w:val="auto"/>
        </w:rPr>
      </w:pPr>
      <w:r>
        <w:rPr>
          <w:rFonts w:ascii="Arial" w:cs="Arial" w:eastAsia="Arial" w:hAnsi="Arial"/>
          <w:sz w:val="21"/>
          <w:szCs w:val="21"/>
          <w:color w:val="auto"/>
        </w:rPr>
        <w:t>A copy of each report at the time of its sending to Securityholders shall be delivered to the Company and filed by the Trustee with the Commission and each national securities exchange on which the Securities are listed. The Company agrees to notify the Trustee of each national securities exchange on which the Securities are listed.</w:t>
      </w:r>
    </w:p>
    <w:p>
      <w:pPr>
        <w:spacing w:after="0" w:line="113"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i w:val="1"/>
          <w:iCs w:val="1"/>
          <w:color w:val="auto"/>
        </w:rPr>
        <w:t>Compensation and Indemnity</w:t>
      </w:r>
      <w:r>
        <w:rPr>
          <w:rFonts w:ascii="Arial" w:cs="Arial" w:eastAsia="Arial" w:hAnsi="Arial"/>
          <w:sz w:val="19"/>
          <w:szCs w:val="19"/>
          <w:color w:val="auto"/>
        </w:rPr>
        <w:t>. The Company shall pay to the Trustee from time to time reasonable compensation for its services subject to any written agreement between the Trustee and the Company (which compensation shall not be limited by any provision of law in regard to the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the Trustee, its officers, directors, employees and agents and hold it harmless against any loss, liability, fee, cost, damage or expense incurred or made by or on behalf of it in connection with the administration of this Indenture or the trust hereunder and its duties hereunder including the costs and expenses of defending itself against or investigating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00"/>
          </w:cols>
          <w:pgMar w:left="320" w:top="1428" w:right="37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21"/>
          <w:szCs w:val="21"/>
          <w:color w:val="auto"/>
        </w:rPr>
        <w:t>any claim in the premises and the costs and expenses (including reasonable attorneys’ fees and expenses and court costs) incurred in connection with any action, claim or suit brought to enforce the Trustee’s right to indemnification. The Trustee shall notify the Company promptly of any claim of which it has received written notice and for which it may seek indemnity, but failure by the Trustee to so notify the Company shall not relieve the Company of its obligations hereunder. The Company need not reimburse any expense or indemnify against any loss, liability, fee, cost or damage incurred by the Trustee through the Trustee’s, or its officers’, directors’ or employees’ gross negligence or willful misconduct as determined by a final non-appealable order of a court of competent jurisdiction.</w:t>
      </w:r>
    </w:p>
    <w:p>
      <w:pPr>
        <w:spacing w:after="0" w:line="126"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Unless otherwise provided in any supplemental indenture, Officer’s Certificate or Authorizing Resolution relating to any Series, to ensure the Company’s payment obligations in this Section, the Trustee shall have a lien prior to the Securities of all Series on all money or Property held or collected by the Trustee, except that held in trust to pay principal of or interest on particular Securities. When the Trustee incurs expenses or renders services in connection with an Event of Default specified in Section 6.01 or in connection with Article 6 hereof, the expenses (including the reasonable fees and expenses of its counsel) and the compensation for services in connection therewith are to constitute expenses of administration under any Bankruptcy Law. This Section 7.07 shall survive the discharge of the Indenture or the resignation or removal of the Trustee.</w:t>
      </w:r>
    </w:p>
    <w:p>
      <w:pPr>
        <w:spacing w:after="0" w:line="97"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i w:val="1"/>
          <w:iCs w:val="1"/>
          <w:color w:val="auto"/>
        </w:rPr>
        <w:t>Replacement of Trustee</w:t>
      </w:r>
      <w:r>
        <w:rPr>
          <w:rFonts w:ascii="Arial" w:cs="Arial" w:eastAsia="Arial" w:hAnsi="Arial"/>
          <w:sz w:val="21"/>
          <w:szCs w:val="21"/>
          <w:color w:val="auto"/>
        </w:rPr>
        <w:t>. The Trustee may resign with respect to Securities of any or all Series by so notifying the Company. The Holders of a majority in principal amount of the outstanding Securities (or of the relevant Series) may remove the Trustee by so notifying the removed Trustee in writing and may appoint a successor trustee with the Company’s consent. The Trustee for one or more Series of Securities may be removed by the Company, so long as no Event of Default has occurred and is continuing with respect to such Series. The Trustee may also be removed by the Company for purposes of the Base Indenture. Such resignation or removal shall not take effect until the appointment by the Securityholders of the relevant Series or the Company as hereinafter provided of a successor trustee and the acceptance of such appointment by such successor trustee. The Company may remove the Trustee and appoint a successor trustee, and any Securityholder may petition any court of competent jurisdiction for the removal of the Trustee and the appointment of a successor trustee, for any or no reason, including if:</w:t>
      </w:r>
    </w:p>
    <w:p>
      <w:pPr>
        <w:spacing w:after="0" w:line="131" w:lineRule="exact"/>
        <w:rPr>
          <w:sz w:val="20"/>
          <w:szCs w:val="20"/>
          <w:color w:val="auto"/>
        </w:rPr>
      </w:pPr>
    </w:p>
    <w:p>
      <w:pPr>
        <w:ind w:right="160" w:firstLine="656"/>
        <w:spacing w:after="0" w:line="263" w:lineRule="auto"/>
        <w:tabs>
          <w:tab w:leader="none" w:pos="110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Trustee fails to comply with Section 7.10 after written request by the Company or any bona fide Securityholder who has been a Securityholder for at least six months;</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20"/>
          </w:cols>
          <w:pgMar w:left="320" w:top="1428" w:right="359" w:bottom="1440" w:gutter="0" w:footer="0" w:header="0"/>
        </w:sectPr>
      </w:pPr>
    </w:p>
    <w:bookmarkStart w:id="73" w:name="page74"/>
    <w:bookmarkEnd w:id="73"/>
    <w:p>
      <w:pPr>
        <w:jc w:val="both"/>
        <w:ind w:right="520" w:firstLine="648"/>
        <w:spacing w:after="0" w:line="302" w:lineRule="auto"/>
        <w:rPr>
          <w:sz w:val="20"/>
          <w:szCs w:val="20"/>
          <w:color w:val="auto"/>
        </w:rPr>
      </w:pPr>
      <w:r>
        <w:rPr>
          <w:rFonts w:ascii="Arial" w:cs="Arial" w:eastAsia="Arial" w:hAnsi="Arial"/>
          <w:sz w:val="19"/>
          <w:szCs w:val="19"/>
          <w:color w:val="auto"/>
        </w:rPr>
        <w:t>If the Trustee resigns or is removed or if a vacancy exists in the office of Trustee for any reason, the Company shall promptly appoint a successor trustee with respect to the Securities of the relevant Series. If a successor trustee does not take office within 30 days after the retiring Trustee resigns or is removed, the retiring Trustee at the expense of the Company, the Company or any Holder may petition any court of competent jurisdiction for the appointment of a successor trustee.</w:t>
      </w:r>
    </w:p>
    <w:p>
      <w:pPr>
        <w:spacing w:after="0" w:line="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A successor trustee shall deliver a written acceptance of its appointment to the retiring Trustee and to the Company. Immediately after that, the retiring Trustee shall, upon payment of its charges hereunder, transfer all Property held by it as Trustee to the successor trustee, the resignation or removal of the retiring Trustee shall become effective, and the successor trustee shall have all the rights, powers and duties of the Trustee under this Indenture. A successor trustee shall send notice of its succession to each Securityholder.</w:t>
      </w:r>
    </w:p>
    <w:p>
      <w:pPr>
        <w:spacing w:after="0" w:line="138"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i w:val="1"/>
          <w:iCs w:val="1"/>
          <w:color w:val="auto"/>
        </w:rPr>
        <w:t>Successor Trustee by Merger, etc</w:t>
      </w:r>
      <w:r>
        <w:rPr>
          <w:rFonts w:ascii="Arial" w:cs="Arial" w:eastAsia="Arial" w:hAnsi="Arial"/>
          <w:sz w:val="22"/>
          <w:szCs w:val="22"/>
          <w:color w:val="auto"/>
        </w:rPr>
        <w:t>. If the Trustee consolidates with, merges with or into or converts into, or transfers all or substantially all of its corporate trust business to, another corporation, the successor corporation without any further act shall be the successor trustee.</w:t>
      </w:r>
    </w:p>
    <w:p>
      <w:pPr>
        <w:spacing w:after="0" w:line="131"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Eligibility; Disqualification</w:t>
      </w:r>
      <w:r>
        <w:rPr>
          <w:rFonts w:ascii="Arial" w:cs="Arial" w:eastAsia="Arial" w:hAnsi="Arial"/>
          <w:sz w:val="22"/>
          <w:szCs w:val="22"/>
          <w:color w:val="auto"/>
        </w:rPr>
        <w:t>. This Indenture shall always have a Trustee who satisfies the requirements of TIA § 310(a)(1). The Trustee shall have a combined capital and surplus of at least $10,000,000 as set forth in its most recent published annual report of condition. The Trustee shall comply with TIA § 310(b).</w:t>
      </w:r>
    </w:p>
    <w:p>
      <w:pPr>
        <w:spacing w:after="0" w:line="13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Preferential Collection of Claims Against Company</w:t>
      </w:r>
      <w:r>
        <w:rPr>
          <w:rFonts w:ascii="Arial" w:cs="Arial" w:eastAsia="Arial" w:hAnsi="Arial"/>
          <w:sz w:val="22"/>
          <w:szCs w:val="22"/>
          <w:color w:val="auto"/>
        </w:rPr>
        <w:t>. The Trustee shall comply with TIA § 311(a), excluding any creditor relationship listed in TIA § 311(b). A Trustee who has resigned or been removed shall be subject to TIA § 311(a) to the extent indicated therein.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ISCHARGE OF</w:t>
      </w:r>
      <w:r>
        <w:rPr>
          <w:rFonts w:ascii="Arial" w:cs="Arial" w:eastAsia="Arial" w:hAnsi="Arial"/>
          <w:sz w:val="22"/>
          <w:szCs w:val="22"/>
          <w:color w:val="auto"/>
        </w:rPr>
        <w:t xml:space="preserve"> I</w:t>
      </w:r>
      <w:r>
        <w:rPr>
          <w:rFonts w:ascii="Arial" w:cs="Arial" w:eastAsia="Arial" w:hAnsi="Arial"/>
          <w:sz w:val="17"/>
          <w:szCs w:val="17"/>
          <w:color w:val="auto"/>
        </w:rPr>
        <w:t>NDENTURE</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Defeasance upon Deposit of Moneys or Government Obligations; Satisfaction and Discharge</w:t>
      </w:r>
      <w:r>
        <w:rPr>
          <w:rFonts w:ascii="Arial" w:cs="Arial" w:eastAsia="Arial" w:hAnsi="Arial"/>
          <w:sz w:val="19"/>
          <w:szCs w:val="19"/>
          <w:color w:val="auto"/>
        </w:rPr>
        <w:t>.</w:t>
      </w:r>
    </w:p>
    <w:p>
      <w:pPr>
        <w:spacing w:after="0" w:line="166" w:lineRule="exact"/>
        <w:rPr>
          <w:sz w:val="20"/>
          <w:szCs w:val="20"/>
          <w:color w:val="auto"/>
        </w:rPr>
      </w:pPr>
    </w:p>
    <w:p>
      <w:pPr>
        <w:ind w:right="40" w:firstLine="656"/>
        <w:spacing w:after="0" w:line="343"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Company may, at its option and at any time, elect to have either paragraph (b) or paragraph (c) below be applied to the outstanding Securities of any Series upon compliance with the applicable conditions set forth in paragraph (d) below.</w:t>
      </w:r>
    </w:p>
    <w:p>
      <w:pPr>
        <w:spacing w:after="0" w:line="50" w:lineRule="exact"/>
        <w:rPr>
          <w:rFonts w:ascii="Arial" w:cs="Arial" w:eastAsia="Arial" w:hAnsi="Arial"/>
          <w:sz w:val="19"/>
          <w:szCs w:val="19"/>
          <w:color w:val="auto"/>
        </w:rPr>
      </w:pPr>
    </w:p>
    <w:p>
      <w:pPr>
        <w:ind w:firstLine="656"/>
        <w:spacing w:after="0" w:line="297" w:lineRule="auto"/>
        <w:tabs>
          <w:tab w:leader="none" w:pos="1116" w:val="left"/>
        </w:tabs>
        <w:numPr>
          <w:ilvl w:val="0"/>
          <w:numId w:val="53"/>
        </w:numPr>
        <w:rPr>
          <w:rFonts w:ascii="Arial" w:cs="Arial" w:eastAsia="Arial" w:hAnsi="Arial"/>
          <w:sz w:val="19"/>
          <w:szCs w:val="19"/>
          <w:color w:val="auto"/>
        </w:rPr>
      </w:pPr>
      <w:r>
        <w:rPr>
          <w:rFonts w:ascii="Arial" w:cs="Arial" w:eastAsia="Arial" w:hAnsi="Arial"/>
          <w:sz w:val="19"/>
          <w:szCs w:val="19"/>
          <w:color w:val="auto"/>
        </w:rPr>
        <w:t>Upon the Company’s exercise under paragraph (a) above of the option applicable to this paragraph (b) with respect to any Series, the Company shall be deemed to have been released and discharged from its obligations with respect to the outstanding Securities of such Series on the date the applicable conditions set forth below are satisfied (hereinafter, “</w:t>
      </w:r>
      <w:r>
        <w:rPr>
          <w:rFonts w:ascii="Arial" w:cs="Arial" w:eastAsia="Arial" w:hAnsi="Arial"/>
          <w:sz w:val="19"/>
          <w:szCs w:val="19"/>
          <w:b w:val="1"/>
          <w:bCs w:val="1"/>
          <w:color w:val="auto"/>
        </w:rPr>
        <w:t>Legal</w:t>
      </w:r>
      <w:r>
        <w:rPr>
          <w:rFonts w:ascii="Arial" w:cs="Arial" w:eastAsia="Arial" w:hAnsi="Arial"/>
          <w:sz w:val="19"/>
          <w:szCs w:val="19"/>
          <w:color w:val="auto"/>
        </w:rPr>
        <w:t xml:space="preserve"> </w:t>
      </w:r>
      <w:r>
        <w:rPr>
          <w:rFonts w:ascii="Arial" w:cs="Arial" w:eastAsia="Arial" w:hAnsi="Arial"/>
          <w:sz w:val="19"/>
          <w:szCs w:val="19"/>
          <w:b w:val="1"/>
          <w:bCs w:val="1"/>
          <w:color w:val="auto"/>
        </w:rPr>
        <w:t>Defeasance</w:t>
      </w:r>
      <w:r>
        <w:rPr>
          <w:rFonts w:ascii="Arial" w:cs="Arial" w:eastAsia="Arial" w:hAnsi="Arial"/>
          <w:sz w:val="19"/>
          <w:szCs w:val="19"/>
          <w:color w:val="auto"/>
        </w:rPr>
        <w:t>”). For this purpose, such Legal Defeasance means that the Company shall be deemed to have paid and discharged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indebtedness represented by the outstanding Securities of such Series, which shall thereafter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74" w:name="page75"/>
    <w:bookmarkEnd w:id="74"/>
    <w:p>
      <w:pPr>
        <w:spacing w:after="0" w:line="288" w:lineRule="auto"/>
        <w:rPr>
          <w:sz w:val="20"/>
          <w:szCs w:val="20"/>
          <w:color w:val="auto"/>
        </w:rPr>
      </w:pPr>
      <w:r>
        <w:rPr>
          <w:rFonts w:ascii="Arial" w:cs="Arial" w:eastAsia="Arial" w:hAnsi="Arial"/>
          <w:sz w:val="19"/>
          <w:szCs w:val="19"/>
          <w:color w:val="auto"/>
        </w:rPr>
        <w:t>deemed to be “outstanding” only for the purposes of the Sections and matters under this Indenture referred to in (i) and (ii) below, and the Company shall be deemed to have satisfied all its other obligations under such Securities and this Indenture insofar as such Securities are concerned, except for the following which shall survive until otherwise terminated or discharged hereunder:</w:t>
      </w:r>
    </w:p>
    <w:p>
      <w:pPr>
        <w:spacing w:after="0" w:line="1" w:lineRule="exact"/>
        <w:rPr>
          <w:sz w:val="20"/>
          <w:szCs w:val="20"/>
          <w:color w:val="auto"/>
        </w:rPr>
      </w:pPr>
    </w:p>
    <w:p>
      <w:pPr>
        <w:ind w:right="140" w:firstLine="8"/>
        <w:spacing w:after="0" w:line="281" w:lineRule="auto"/>
        <w:tabs>
          <w:tab w:leader="none" w:pos="258"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rights of Holders of outstanding Securities of such Series to receive solely from the trust fund described in paragraph (d) below and as more fully set forth in such paragraph, payments in respect of the principal of and interest on such Securities when such payments are due, (ii) the Company’s obligations with respect to such Securities under Section 2.06, Section 2.07, Section</w:t>
      </w:r>
    </w:p>
    <w:p>
      <w:pPr>
        <w:spacing w:after="0" w:line="2" w:lineRule="exact"/>
        <w:rPr>
          <w:rFonts w:ascii="Arial" w:cs="Arial" w:eastAsia="Arial" w:hAnsi="Arial"/>
          <w:sz w:val="19"/>
          <w:szCs w:val="19"/>
          <w:color w:val="auto"/>
        </w:rPr>
      </w:pPr>
    </w:p>
    <w:p>
      <w:pPr>
        <w:spacing w:after="0" w:line="262" w:lineRule="auto"/>
        <w:rPr>
          <w:rFonts w:ascii="Arial" w:cs="Arial" w:eastAsia="Arial" w:hAnsi="Arial"/>
          <w:sz w:val="19"/>
          <w:szCs w:val="19"/>
          <w:color w:val="auto"/>
        </w:rPr>
      </w:pPr>
      <w:r>
        <w:rPr>
          <w:rFonts w:ascii="Arial" w:cs="Arial" w:eastAsia="Arial" w:hAnsi="Arial"/>
          <w:sz w:val="21"/>
          <w:szCs w:val="21"/>
          <w:color w:val="auto"/>
        </w:rPr>
        <w:t>2.09 and Section 4.02, (iii) the rights, powers, trusts, duties, immunities and other provisions in respect of the Trustee hereunder and (iv) this Article 8. The Company may exercise its option under this paragraph (b) with respect to a Series notwithstanding the prior exercise of its option under paragraph (c) below with respect to the Securities of such Series.</w:t>
      </w:r>
    </w:p>
    <w:p>
      <w:pPr>
        <w:spacing w:after="0" w:line="122" w:lineRule="exact"/>
        <w:rPr>
          <w:rFonts w:ascii="Arial" w:cs="Arial" w:eastAsia="Arial" w:hAnsi="Arial"/>
          <w:sz w:val="19"/>
          <w:szCs w:val="19"/>
          <w:color w:val="auto"/>
        </w:rPr>
      </w:pPr>
    </w:p>
    <w:p>
      <w:pPr>
        <w:ind w:right="100" w:firstLine="656"/>
        <w:spacing w:after="0" w:line="286" w:lineRule="auto"/>
        <w:tabs>
          <w:tab w:leader="none" w:pos="1104" w:val="left"/>
        </w:tabs>
        <w:numPr>
          <w:ilvl w:val="1"/>
          <w:numId w:val="54"/>
        </w:numPr>
        <w:rPr>
          <w:rFonts w:ascii="Arial" w:cs="Arial" w:eastAsia="Arial" w:hAnsi="Arial"/>
          <w:sz w:val="19"/>
          <w:szCs w:val="19"/>
          <w:color w:val="auto"/>
        </w:rPr>
      </w:pPr>
      <w:r>
        <w:rPr>
          <w:rFonts w:ascii="Arial" w:cs="Arial" w:eastAsia="Arial" w:hAnsi="Arial"/>
          <w:sz w:val="19"/>
          <w:szCs w:val="19"/>
          <w:color w:val="auto"/>
        </w:rPr>
        <w:t>Upon the Company’s exercise under paragraph (a) above of the option applicable to this paragraph (c) with respect to any Series, the Company shall be released and discharged from the obligations with respect to such Series under Section 4.05, Section 4.06 and Section 5.01 and any other covenant contained in or referenced in the Authorizing Resolution, Officer’s Certificate or supplemental indenture relating to such Series (to the extent such release and discharge shall not be prohibited thereby), on and after the date the conditions set forth below are satisfied (hereinafter, “</w:t>
      </w:r>
      <w:r>
        <w:rPr>
          <w:rFonts w:ascii="Arial" w:cs="Arial" w:eastAsia="Arial" w:hAnsi="Arial"/>
          <w:sz w:val="19"/>
          <w:szCs w:val="19"/>
          <w:b w:val="1"/>
          <w:bCs w:val="1"/>
          <w:color w:val="auto"/>
        </w:rPr>
        <w:t>Covenant Defeasance</w:t>
      </w:r>
      <w:r>
        <w:rPr>
          <w:rFonts w:ascii="Arial" w:cs="Arial" w:eastAsia="Arial" w:hAnsi="Arial"/>
          <w:sz w:val="19"/>
          <w:szCs w:val="19"/>
          <w:color w:val="auto"/>
        </w:rPr>
        <w:t>”), and the Securities of such Series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6.01(c) or otherwise, but, except as specified above, the remainder of this Indenture and such Securities shall be unaffected thereby.</w:t>
      </w:r>
    </w:p>
    <w:p>
      <w:pPr>
        <w:spacing w:after="0" w:line="111" w:lineRule="exact"/>
        <w:rPr>
          <w:rFonts w:ascii="Arial" w:cs="Arial" w:eastAsia="Arial" w:hAnsi="Arial"/>
          <w:sz w:val="19"/>
          <w:szCs w:val="19"/>
          <w:color w:val="auto"/>
        </w:rPr>
      </w:pPr>
    </w:p>
    <w:p>
      <w:pPr>
        <w:ind w:right="760" w:firstLine="656"/>
        <w:spacing w:after="0" w:line="263" w:lineRule="auto"/>
        <w:tabs>
          <w:tab w:leader="none" w:pos="1112"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following shall be the conditions to the application of either paragraph (b) or paragraph (c) above to the outstanding Securities of any Series:</w:t>
      </w:r>
    </w:p>
    <w:p>
      <w:pPr>
        <w:spacing w:after="0" w:line="120" w:lineRule="exact"/>
        <w:rPr>
          <w:rFonts w:ascii="Arial" w:cs="Arial" w:eastAsia="Arial" w:hAnsi="Arial"/>
          <w:sz w:val="22"/>
          <w:szCs w:val="22"/>
          <w:color w:val="auto"/>
        </w:rPr>
      </w:pPr>
    </w:p>
    <w:p>
      <w:pPr>
        <w:ind w:left="660" w:right="20" w:firstLine="968"/>
        <w:spacing w:after="0" w:line="260" w:lineRule="auto"/>
        <w:tabs>
          <w:tab w:leader="none" w:pos="2048" w:val="left"/>
        </w:tabs>
        <w:numPr>
          <w:ilvl w:val="2"/>
          <w:numId w:val="54"/>
        </w:numPr>
        <w:rPr>
          <w:rFonts w:ascii="Arial" w:cs="Arial" w:eastAsia="Arial" w:hAnsi="Arial"/>
          <w:sz w:val="21"/>
          <w:szCs w:val="21"/>
          <w:color w:val="auto"/>
        </w:rPr>
      </w:pPr>
      <w:r>
        <w:rPr>
          <w:rFonts w:ascii="Arial" w:cs="Arial" w:eastAsia="Arial" w:hAnsi="Arial"/>
          <w:sz w:val="21"/>
          <w:szCs w:val="21"/>
          <w:color w:val="auto"/>
        </w:rPr>
        <w:t xml:space="preserve">The Company shall have irrevocably deposited in trust with the Trustee (or another qualifying trustee) money in the currency in which the Securities of such Series are payable or Government Obligations or a combination thereof in such amounts and at such times as are sufficient (in the case of Government Obligations or a combination of money and Government Obligations, in the opinion of a nationally recognized firm of independent public accountants), to pay the principal of and interest on the outstanding Securities of such Series to maturity or redemption;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Trustee (or other qualifying trustee) shall have received an irrevocable written order from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instructing the Trustee (or other qualifying trustee) to apply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20" w:top="1428" w:right="359" w:bottom="1440" w:gutter="0" w:footer="0" w:header="0"/>
        </w:sectPr>
      </w:pPr>
    </w:p>
    <w:bookmarkStart w:id="75" w:name="page76"/>
    <w:bookmarkEnd w:id="75"/>
    <w:p>
      <w:pPr>
        <w:ind w:left="660" w:right="120"/>
        <w:spacing w:after="0" w:line="263" w:lineRule="auto"/>
        <w:rPr>
          <w:sz w:val="20"/>
          <w:szCs w:val="20"/>
          <w:color w:val="auto"/>
        </w:rPr>
      </w:pPr>
      <w:r>
        <w:rPr>
          <w:rFonts w:ascii="Arial" w:cs="Arial" w:eastAsia="Arial" w:hAnsi="Arial"/>
          <w:sz w:val="22"/>
          <w:szCs w:val="22"/>
          <w:color w:val="auto"/>
        </w:rPr>
        <w:t>money or the proceeds of such Government Obligations to said payments with respect to the Securities of such Series to maturity or redemption;</w:t>
      </w:r>
    </w:p>
    <w:p>
      <w:pPr>
        <w:spacing w:after="0" w:line="121" w:lineRule="exact"/>
        <w:rPr>
          <w:sz w:val="20"/>
          <w:szCs w:val="20"/>
          <w:color w:val="auto"/>
        </w:rPr>
      </w:pPr>
    </w:p>
    <w:p>
      <w:pPr>
        <w:ind w:left="660" w:right="60" w:firstLine="968"/>
        <w:spacing w:after="0" w:line="250" w:lineRule="auto"/>
        <w:tabs>
          <w:tab w:leader="none" w:pos="2112"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Default or Event of Default (other than a Default or Event of Default resulting from non-compliance with any covenant from which the Company is released upon effectiveness of such Legal Defeasance or Covenant Defeasance pursuant to paragraph (b) or (c) hereof, as applicable) shall have occurred and be continuing on the date of such deposit or result therefrom;</w:t>
      </w:r>
    </w:p>
    <w:p>
      <w:pPr>
        <w:spacing w:after="0" w:line="133" w:lineRule="exact"/>
        <w:rPr>
          <w:rFonts w:ascii="Arial" w:cs="Arial" w:eastAsia="Arial" w:hAnsi="Arial"/>
          <w:sz w:val="22"/>
          <w:szCs w:val="22"/>
          <w:color w:val="auto"/>
        </w:rPr>
      </w:pPr>
    </w:p>
    <w:p>
      <w:pPr>
        <w:ind w:left="660" w:right="140" w:firstLine="968"/>
        <w:spacing w:after="0" w:line="287" w:lineRule="auto"/>
        <w:tabs>
          <w:tab w:leader="none" w:pos="2172"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Such deposit will not result in a breach or violation of, or constitute a default under, any other material instrument or agreement to which the Company is a party or by which it or any of its Property is bound;</w:t>
      </w:r>
    </w:p>
    <w:p>
      <w:pPr>
        <w:spacing w:after="0" w:line="97" w:lineRule="exact"/>
        <w:rPr>
          <w:rFonts w:ascii="Arial" w:cs="Arial" w:eastAsia="Arial" w:hAnsi="Arial"/>
          <w:sz w:val="21"/>
          <w:szCs w:val="21"/>
          <w:color w:val="auto"/>
        </w:rPr>
      </w:pPr>
    </w:p>
    <w:p>
      <w:pPr>
        <w:ind w:left="660" w:right="80" w:firstLine="968"/>
        <w:spacing w:after="0" w:line="288" w:lineRule="auto"/>
        <w:tabs>
          <w:tab w:leader="none" w:pos="21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In the event the Company elects paragraph (b) hereof, the Company shall deliver to the Trustee an Opinion of Counsel in the United States stating that (1) the Company has received from, or there has been published by, the Internal Revenue Service a ruling or (2) since the Issue Date pertaining to such Series, there has been a change in the applicable federal income tax law, in either case stating that, and based thereon such Opinion of Counsel shall state that, or (B) in the event the Company elects paragraph (c) hereof, the Company shall deliver to the Trustee an Opinion of Counsel in the United States stating that, in the case of clauses (A) and (B), and subject to customary assumptions and exclusions, Holders of the Securities of such Series will not recognize income, gain or loss for federal income tax purposes as a result of such deposit and the defeasance contemplated hereby and will be subject to federal income tax in the same amounts and in the same manner and at the same times as would have been the case if such deposit and defeasance had not occurred;</w:t>
      </w:r>
    </w:p>
    <w:p>
      <w:pPr>
        <w:spacing w:after="0" w:line="105" w:lineRule="exact"/>
        <w:rPr>
          <w:rFonts w:ascii="Arial" w:cs="Arial" w:eastAsia="Arial" w:hAnsi="Arial"/>
          <w:sz w:val="19"/>
          <w:szCs w:val="19"/>
          <w:color w:val="auto"/>
        </w:rPr>
      </w:pPr>
    </w:p>
    <w:p>
      <w:pPr>
        <w:jc w:val="both"/>
        <w:ind w:left="660" w:right="200" w:firstLine="968"/>
        <w:spacing w:after="0" w:line="250" w:lineRule="auto"/>
        <w:tabs>
          <w:tab w:leader="none" w:pos="20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shall have delivered to the Trustee an Officer’s Certificate, stating that the deposit made under clause (i) was not made by the Company with the intent of preferring the Holders of the Securities of such Series over any other creditors of the Company or with the intent of defeating, hindering, delaying or defrauding any other creditors of the Company or others; and</w:t>
      </w:r>
    </w:p>
    <w:p>
      <w:pPr>
        <w:spacing w:after="0" w:line="133" w:lineRule="exact"/>
        <w:rPr>
          <w:rFonts w:ascii="Arial" w:cs="Arial" w:eastAsia="Arial" w:hAnsi="Arial"/>
          <w:sz w:val="22"/>
          <w:szCs w:val="22"/>
          <w:color w:val="auto"/>
        </w:rPr>
      </w:pPr>
    </w:p>
    <w:p>
      <w:pPr>
        <w:ind w:left="660" w:right="300" w:firstLine="968"/>
        <w:spacing w:after="0" w:line="253" w:lineRule="auto"/>
        <w:tabs>
          <w:tab w:leader="none" w:pos="215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each stating that all conditions precedent specified herein relating to the defeasance contemplated by this Section 8.01 have been complied with.</w:t>
      </w:r>
    </w:p>
    <w:p>
      <w:pPr>
        <w:spacing w:after="0" w:line="131" w:lineRule="exact"/>
        <w:rPr>
          <w:sz w:val="20"/>
          <w:szCs w:val="20"/>
          <w:color w:val="auto"/>
        </w:rPr>
      </w:pPr>
    </w:p>
    <w:p>
      <w:pPr>
        <w:ind w:right="340" w:firstLine="648"/>
        <w:spacing w:after="0" w:line="271" w:lineRule="auto"/>
        <w:rPr>
          <w:sz w:val="20"/>
          <w:szCs w:val="20"/>
          <w:color w:val="auto"/>
        </w:rPr>
      </w:pPr>
      <w:r>
        <w:rPr>
          <w:rFonts w:ascii="Arial" w:cs="Arial" w:eastAsia="Arial" w:hAnsi="Arial"/>
          <w:sz w:val="21"/>
          <w:szCs w:val="21"/>
          <w:color w:val="auto"/>
        </w:rPr>
        <w:t>In the event all or any portion of the Securities of a Series are to be redeemed through such irrevocable trust, the Company must make arrangements satisfactory to the Trustee, at the time of such deposit, for the giving of the notice of such redemption or redemptions by the Trustee in the name and at the expense of the Company.</w:t>
      </w:r>
    </w:p>
    <w:p>
      <w:pPr>
        <w:spacing w:after="0" w:line="113" w:lineRule="exact"/>
        <w:rPr>
          <w:sz w:val="20"/>
          <w:szCs w:val="20"/>
          <w:color w:val="auto"/>
        </w:rPr>
      </w:pPr>
    </w:p>
    <w:p>
      <w:pPr>
        <w:ind w:firstLine="656"/>
        <w:spacing w:after="0" w:line="253" w:lineRule="auto"/>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Indenture will be discharged and will cease to be of further effect as to all outstanding Securities of any Series (except as to any surviving rights of conversion or transfer or exchange of Securities of such Series expressly provided for herein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160"/>
          </w:cols>
          <w:pgMar w:left="320" w:top="1428" w:right="419" w:bottom="1440" w:gutter="0" w:footer="0" w:header="0"/>
        </w:sectPr>
      </w:pPr>
    </w:p>
    <w:bookmarkStart w:id="76" w:name="page77"/>
    <w:bookmarkEnd w:id="76"/>
    <w:p>
      <w:pPr>
        <w:ind w:right="20"/>
        <w:spacing w:after="0" w:line="343" w:lineRule="auto"/>
        <w:rPr>
          <w:sz w:val="20"/>
          <w:szCs w:val="20"/>
          <w:color w:val="auto"/>
        </w:rPr>
      </w:pPr>
      <w:r>
        <w:rPr>
          <w:rFonts w:ascii="Arial" w:cs="Arial" w:eastAsia="Arial" w:hAnsi="Arial"/>
          <w:sz w:val="19"/>
          <w:szCs w:val="19"/>
          <w:color w:val="auto"/>
        </w:rPr>
        <w:t>form of Security for such Series), and the Trustee, at the expense of the Company, shall execute instruments reasonably requested by the Company acknowledging such satisfaction and discharge of the Indenture with respect to such Series, when:</w:t>
      </w:r>
    </w:p>
    <w:p>
      <w:pPr>
        <w:spacing w:after="0" w:line="50" w:lineRule="exact"/>
        <w:rPr>
          <w:sz w:val="20"/>
          <w:szCs w:val="20"/>
          <w:color w:val="auto"/>
        </w:rPr>
      </w:pPr>
    </w:p>
    <w:p>
      <w:pPr>
        <w:ind w:left="660" w:right="100" w:firstLine="968"/>
        <w:spacing w:after="0" w:line="285" w:lineRule="auto"/>
        <w:tabs>
          <w:tab w:leader="none" w:pos="204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All Securities of such Series theretofore authenticated and delivered (other than Securities that have been destroyed, lost or stolen and which have been replaced or paid as provided in Section 2.07 and Securities for whose payment money has theretofore been deposited in trust or segregated and held in trust by the Company and thereafter repaid to the Company or discharged from such trust) have been delivered to the Trustee for cancellation in accordance with the Indenture, or, if not delivered to the Trustee, such Securities of such Series (A) have become due and payable,</w:t>
      </w:r>
    </w:p>
    <w:p>
      <w:pPr>
        <w:spacing w:after="0" w:line="3" w:lineRule="exact"/>
        <w:rPr>
          <w:rFonts w:ascii="Arial" w:cs="Arial" w:eastAsia="Arial" w:hAnsi="Arial"/>
          <w:sz w:val="19"/>
          <w:szCs w:val="19"/>
          <w:color w:val="auto"/>
        </w:rPr>
      </w:pPr>
    </w:p>
    <w:p>
      <w:pPr>
        <w:ind w:left="660" w:hanging="4"/>
        <w:spacing w:after="0" w:line="284" w:lineRule="auto"/>
        <w:tabs>
          <w:tab w:leader="none" w:pos="100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will become due and payable at maturity within one year or (C) are to be called for redemption within one year under arrangements satisfactory to the Trustee for the giving of notice of redemption by the Trustee in the name, and at the expense, of the Company, and in the case of clauses (i)(A), (B) and (C) above, the Company has irrevocably deposited or caused to be deposited with the Trustee (or another qualifying trustee) as trust funds in trust solely for that purpose an amount of money in the currency in which the Securities of such Series are payable or Government Obligations or a combination thereof sufficient (in the case of Government Obligations or a combination of money and Government Obligations, in the opinion of a nationally recognized firm of independent public accountants) to pay and discharge the entire indebtedness on the Securities of such Series not theretofore delivered to the Trustee for cancellation, for principal of and interest on the Securities of such Series, on the date of such deposit or to the maturity or redemption date,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on the date of the deposit, the interest payable to, but excluding, or any premium payable on, the stated maturity or redemption date cannot be calculated, the amount deposited shall be sufficient to the extent that an amount is deposited with the Trustee equal to the interest payable to, but excluding, or the premium payable on, the stated maturity or the redemption date calculated as of the date of the deposit, with any deficit on the stated maturity or redemption date, as applicable (any such amount, the “</w:t>
      </w:r>
      <w:r>
        <w:rPr>
          <w:rFonts w:ascii="Arial" w:cs="Arial" w:eastAsia="Arial" w:hAnsi="Arial"/>
          <w:sz w:val="19"/>
          <w:szCs w:val="19"/>
          <w:b w:val="1"/>
          <w:bCs w:val="1"/>
          <w:color w:val="auto"/>
        </w:rPr>
        <w:t>Applicable Deficit</w:t>
      </w:r>
      <w:r>
        <w:rPr>
          <w:rFonts w:ascii="Arial" w:cs="Arial" w:eastAsia="Arial" w:hAnsi="Arial"/>
          <w:sz w:val="19"/>
          <w:szCs w:val="19"/>
          <w:color w:val="auto"/>
        </w:rPr>
        <w:t xml:space="preserve">”), only required to be deposited with the Trustee on or prior to the stated maturity or redemption date,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any Applicable Deficit shall be set forth in an Officer’s Certificate delivered to the Trustee simultaneously with the deposit of the Applicable Deficit that confirms that the Applicable Deficit shall be applied to the interest or other amounts payable at the stated maturity or on the redemption date, as applicable;</w:t>
      </w:r>
    </w:p>
    <w:p>
      <w:pPr>
        <w:spacing w:after="0" w:line="107" w:lineRule="exact"/>
        <w:rPr>
          <w:rFonts w:ascii="Arial" w:cs="Arial" w:eastAsia="Arial" w:hAnsi="Arial"/>
          <w:sz w:val="19"/>
          <w:szCs w:val="19"/>
          <w:color w:val="auto"/>
        </w:rPr>
      </w:pPr>
    </w:p>
    <w:p>
      <w:pPr>
        <w:ind w:left="2100" w:hanging="472"/>
        <w:spacing w:after="0"/>
        <w:tabs>
          <w:tab w:leader="none" w:pos="210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Company has paid or caused to be paid all other sums payable under the Indenture by the Company;</w:t>
      </w:r>
    </w:p>
    <w:p>
      <w:pPr>
        <w:spacing w:after="0" w:line="200" w:lineRule="exact"/>
        <w:rPr>
          <w:rFonts w:ascii="Arial" w:cs="Arial" w:eastAsia="Arial" w:hAnsi="Arial"/>
          <w:sz w:val="19"/>
          <w:szCs w:val="19"/>
          <w:color w:val="auto"/>
        </w:rPr>
      </w:pPr>
    </w:p>
    <w:p>
      <w:pPr>
        <w:ind w:left="660" w:right="20" w:firstLine="968"/>
        <w:spacing w:after="0" w:line="253" w:lineRule="auto"/>
        <w:tabs>
          <w:tab w:leader="none" w:pos="2168"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Company has delivered irrevocable instructions to the Trustee (or such other qualifying trustee), to apply the deposited money toward the payment of the Securities of such Series at maturity or redemption, as the case may be;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428" w:right="359" w:bottom="1440" w:gutter="0" w:footer="0" w:header="0"/>
        </w:sectPr>
      </w:pPr>
    </w:p>
    <w:bookmarkStart w:id="77" w:name="page78"/>
    <w:bookmarkEnd w:id="77"/>
    <w:p>
      <w:pPr>
        <w:jc w:val="both"/>
        <w:ind w:left="660" w:right="260" w:firstLine="968"/>
        <w:spacing w:after="0" w:line="253" w:lineRule="auto"/>
        <w:tabs>
          <w:tab w:leader="none" w:pos="215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and an Opinion of Counsel, stating that all conditions precedent specified in this Section 8.01(e) relating to the satisfaction and discharge of this Indenture have been complied with.</w:t>
      </w:r>
    </w:p>
    <w:p>
      <w:pPr>
        <w:spacing w:after="0" w:line="13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Survival of the Company’s Obligations</w:t>
      </w:r>
      <w:r>
        <w:rPr>
          <w:rFonts w:ascii="Arial" w:cs="Arial" w:eastAsia="Arial" w:hAnsi="Arial"/>
          <w:sz w:val="22"/>
          <w:szCs w:val="22"/>
          <w:color w:val="auto"/>
        </w:rPr>
        <w:t>. Notwithstanding the satisfaction and discharge of this Indenture with respect to any Series under Section 8.01(e), the obligations of the Company to the Trustee under Section 7.07, and, if money shall have been deposited with the Trustee pursuant to Section 8.01(e)(i), the obligations of the Trustee under Section 8.03 and Section 8.04 shall survive.</w:t>
      </w:r>
    </w:p>
    <w:p>
      <w:pPr>
        <w:spacing w:after="0" w:line="134"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Application of Trust Money</w:t>
      </w:r>
      <w:r>
        <w:rPr>
          <w:rFonts w:ascii="Arial" w:cs="Arial" w:eastAsia="Arial" w:hAnsi="Arial"/>
          <w:sz w:val="19"/>
          <w:szCs w:val="19"/>
          <w:color w:val="auto"/>
        </w:rPr>
        <w:t>. The Trustee shall hold in trust money or Government Obligations deposited with it pursuant to Section 8.01. It shall apply the deposited money and the money from Government Obligations in accordance with this Indenture to the payment of principal of and interest on the Securities of the defeased or discharged Series.</w:t>
      </w:r>
    </w:p>
    <w:p>
      <w:pPr>
        <w:spacing w:after="0" w:line="79" w:lineRule="exact"/>
        <w:rPr>
          <w:sz w:val="20"/>
          <w:szCs w:val="20"/>
          <w:color w:val="auto"/>
        </w:rPr>
      </w:pPr>
    </w:p>
    <w:p>
      <w:pPr>
        <w:ind w:right="80" w:firstLine="648"/>
        <w:spacing w:after="0" w:line="258"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Repayment to the Company</w:t>
      </w:r>
      <w:r>
        <w:rPr>
          <w:rFonts w:ascii="Arial" w:cs="Arial" w:eastAsia="Arial" w:hAnsi="Arial"/>
          <w:sz w:val="21"/>
          <w:szCs w:val="21"/>
          <w:color w:val="auto"/>
        </w:rPr>
        <w:t xml:space="preserve">. The Trustee and the Paying Agent shall promptly pay to the Company upon request any excess money or securities held by them at any time. The Trustee and the Paying Agent shall pay to the Company any money held by them for the payment of principal or interest that remains unclaimed for two years,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Trustee or such Paying Agent, before being required to make any such repayment, may at the expense of the Company cause to be published once in a newspaper of general circulation in the City of New York or send to each such Holder notice that such money remains unclaimed and that, after a date specified therein, which shall not be less than 30 days from the date of such publication or sending, any unclaimed balance of such money then remaining will be repaid to the Company. After payment to the Company, Securityholders entitled to the money must look solely to the Company for payment unless applicable abandoned property law designates another Person and all liability of the Trustee or such Paying Agent with respect to such money shall cease.</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i w:val="1"/>
          <w:iCs w:val="1"/>
          <w:color w:val="auto"/>
        </w:rPr>
        <w:t>Reinstatement</w:t>
      </w:r>
      <w:r>
        <w:rPr>
          <w:rFonts w:ascii="Arial" w:cs="Arial" w:eastAsia="Arial" w:hAnsi="Arial"/>
          <w:sz w:val="19"/>
          <w:szCs w:val="19"/>
          <w:color w:val="auto"/>
        </w:rPr>
        <w:t xml:space="preserve">. If the Trustee is unable to apply any money or Government Obligations in accordance with Section 8.01 (b) or (c) by reason of any legal proceeding or by reason of any order or judgment of any court or governmental authority enjoining, restraining or otherwise prohibiting such application, the Company’s obligations under this Indenture and the Securities relating to the Series shall be revived and reinstated as though no deposit had occurred pursuant to Section 8.01 (b) or (c), as applicable until such time as the Trustee is permitted to apply all such money or Government Obligations in accordance with Section 8.01 (b) or (c),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if the Company has made any payment of interest on or principal of any Securities of the Series because of the reinstatement of its obligations hereunder, the Company shall be subrogated to the rights of the Holders of such Securities to receive such payment from the money or Government Obligations held by the Trustee and (b) unless otherwise required by any legal proceeding or any order or judgment of any court or governmental authority, the Trustee shall return all such money or Government Obligations to the Company promptly after receiving a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00"/>
          </w:cols>
          <w:pgMar w:left="320" w:top="1428" w:right="37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therefor at any time, if such reinstatement of the Company’s obligations has occurred and continues to be in effect.</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MENDMENTS</w:t>
      </w:r>
      <w:r>
        <w:rPr>
          <w:rFonts w:ascii="Arial" w:cs="Arial" w:eastAsia="Arial" w:hAnsi="Arial"/>
          <w:sz w:val="22"/>
          <w:szCs w:val="22"/>
          <w:color w:val="auto"/>
        </w:rPr>
        <w:t>, S</w:t>
      </w:r>
      <w:r>
        <w:rPr>
          <w:rFonts w:ascii="Arial" w:cs="Arial" w:eastAsia="Arial" w:hAnsi="Arial"/>
          <w:sz w:val="17"/>
          <w:szCs w:val="17"/>
          <w:color w:val="auto"/>
        </w:rPr>
        <w:t>UPPLEMENTS AND</w:t>
      </w:r>
      <w:r>
        <w:rPr>
          <w:rFonts w:ascii="Arial" w:cs="Arial" w:eastAsia="Arial" w:hAnsi="Arial"/>
          <w:sz w:val="22"/>
          <w:szCs w:val="22"/>
          <w:color w:val="auto"/>
        </w:rPr>
        <w:t xml:space="preserve"> W</w:t>
      </w:r>
      <w:r>
        <w:rPr>
          <w:rFonts w:ascii="Arial" w:cs="Arial" w:eastAsia="Arial" w:hAnsi="Arial"/>
          <w:sz w:val="17"/>
          <w:szCs w:val="17"/>
          <w:color w:val="auto"/>
        </w:rPr>
        <w:t>AIVERS</w:t>
      </w:r>
    </w:p>
    <w:p>
      <w:pPr>
        <w:spacing w:after="0" w:line="148"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Without Consent of Holders</w:t>
      </w:r>
      <w:r>
        <w:rPr>
          <w:rFonts w:ascii="Arial" w:cs="Arial" w:eastAsia="Arial" w:hAnsi="Arial"/>
          <w:sz w:val="22"/>
          <w:szCs w:val="22"/>
          <w:color w:val="auto"/>
        </w:rPr>
        <w:t>. The Company and the Trustee may amend or supplement this Indenture or the Securities of a Series without notice to or consent of any Securityholder of such Series:</w:t>
      </w:r>
    </w:p>
    <w:p>
      <w:pPr>
        <w:spacing w:after="0" w:line="121" w:lineRule="exact"/>
        <w:rPr>
          <w:sz w:val="20"/>
          <w:szCs w:val="20"/>
          <w:color w:val="auto"/>
        </w:rPr>
      </w:pPr>
    </w:p>
    <w:p>
      <w:pPr>
        <w:ind w:right="780" w:firstLine="656"/>
        <w:spacing w:after="0" w:line="263" w:lineRule="auto"/>
        <w:tabs>
          <w:tab w:leader="none" w:pos="110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cure any ambiguity or to correct or supplement any provision of the Indenture which may be defective or inconsistent with any other provision in the Indenture or the Securities of any Series;</w:t>
      </w:r>
    </w:p>
    <w:p>
      <w:pPr>
        <w:spacing w:after="0" w:line="120" w:lineRule="exact"/>
        <w:rPr>
          <w:rFonts w:ascii="Arial" w:cs="Arial" w:eastAsia="Arial" w:hAnsi="Arial"/>
          <w:sz w:val="22"/>
          <w:szCs w:val="22"/>
          <w:color w:val="auto"/>
        </w:rPr>
      </w:pPr>
    </w:p>
    <w:p>
      <w:pPr>
        <w:ind w:right="540" w:firstLine="656"/>
        <w:spacing w:after="0" w:line="343" w:lineRule="auto"/>
        <w:tabs>
          <w:tab w:leader="none" w:pos="111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comply with Article 5 (or any other provisions of the Indenture regarding the consolidation or merger of the Company or the sale, conveyance, transfer, lease or other disposition of all or substantially all of its Property);</w:t>
      </w:r>
    </w:p>
    <w:p>
      <w:pPr>
        <w:spacing w:after="0" w:line="50" w:lineRule="exact"/>
        <w:rPr>
          <w:rFonts w:ascii="Arial" w:cs="Arial" w:eastAsia="Arial" w:hAnsi="Arial"/>
          <w:sz w:val="19"/>
          <w:szCs w:val="19"/>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create a Series and establish its terms;</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provide for uncertificated Securities in addition to or in place of Definitive Securities;</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a guarantor or obligor in respect of any Series;</w:t>
      </w:r>
    </w:p>
    <w:p>
      <w:pPr>
        <w:spacing w:after="0" w:line="165" w:lineRule="exact"/>
        <w:rPr>
          <w:rFonts w:ascii="Arial" w:cs="Arial" w:eastAsia="Arial" w:hAnsi="Arial"/>
          <w:sz w:val="22"/>
          <w:szCs w:val="22"/>
          <w:color w:val="auto"/>
        </w:rPr>
      </w:pPr>
    </w:p>
    <w:p>
      <w:pPr>
        <w:ind w:left="1080" w:hanging="424"/>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secure any Series;</w:t>
      </w:r>
    </w:p>
    <w:p>
      <w:pPr>
        <w:spacing w:after="0" w:line="165" w:lineRule="exact"/>
        <w:rPr>
          <w:rFonts w:ascii="Arial" w:cs="Arial" w:eastAsia="Arial" w:hAnsi="Arial"/>
          <w:sz w:val="22"/>
          <w:szCs w:val="22"/>
          <w:color w:val="auto"/>
        </w:rPr>
      </w:pPr>
    </w:p>
    <w:p>
      <w:pPr>
        <w:ind w:firstLine="656"/>
        <w:spacing w:after="0" w:line="263" w:lineRule="auto"/>
        <w:tabs>
          <w:tab w:leader="none" w:pos="111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to the covenants of the Company for the benefit of the Holders of all or any Series or to surrender any right or power conferred upon the Company by the Indenture;</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add any additional Events of Default for the benefit of Holders of all or any Series;</w:t>
      </w:r>
    </w:p>
    <w:p>
      <w:pPr>
        <w:spacing w:after="0" w:line="165" w:lineRule="exact"/>
        <w:rPr>
          <w:rFonts w:ascii="Arial" w:cs="Arial" w:eastAsia="Arial" w:hAnsi="Arial"/>
          <w:sz w:val="22"/>
          <w:szCs w:val="22"/>
          <w:color w:val="auto"/>
        </w:rPr>
      </w:pPr>
    </w:p>
    <w:p>
      <w:pPr>
        <w:ind w:right="460" w:firstLine="656"/>
        <w:spacing w:after="0" w:line="263" w:lineRule="auto"/>
        <w:tabs>
          <w:tab w:leader="none" w:pos="106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comply with requirements of the Commission in order to effect or maintain the qualification of this Indenture under the TIA;</w:t>
      </w:r>
    </w:p>
    <w:p>
      <w:pPr>
        <w:spacing w:after="0" w:line="120" w:lineRule="exact"/>
        <w:rPr>
          <w:rFonts w:ascii="Arial" w:cs="Arial" w:eastAsia="Arial" w:hAnsi="Arial"/>
          <w:sz w:val="22"/>
          <w:szCs w:val="22"/>
          <w:color w:val="auto"/>
        </w:rPr>
      </w:pPr>
    </w:p>
    <w:p>
      <w:pPr>
        <w:ind w:firstLine="656"/>
        <w:spacing w:after="0" w:line="265" w:lineRule="auto"/>
        <w:tabs>
          <w:tab w:leader="none" w:pos="1068" w:val="left"/>
        </w:tabs>
        <w:numPr>
          <w:ilvl w:val="0"/>
          <w:numId w:val="60"/>
        </w:numPr>
        <w:rPr>
          <w:rFonts w:ascii="Arial" w:cs="Arial" w:eastAsia="Arial" w:hAnsi="Arial"/>
          <w:sz w:val="21"/>
          <w:szCs w:val="21"/>
          <w:color w:val="auto"/>
        </w:rPr>
      </w:pPr>
      <w:r>
        <w:rPr>
          <w:rFonts w:ascii="Arial" w:cs="Arial" w:eastAsia="Arial" w:hAnsi="Arial"/>
          <w:sz w:val="21"/>
          <w:szCs w:val="21"/>
          <w:color w:val="auto"/>
        </w:rPr>
        <w:t>to evidence and provide for the acceptance of the appointment of a successor Trustee with respect to the Securities of one or more Series and to add to or change any of the provisions of the Indenture or any supplemental indenture as shall be necessary to provide for or facilitate the administration of the trusts under such Indenture or supplemental indenture by more than one Trustee pursuant to the requirements set forth in the Indenture;</w:t>
      </w:r>
    </w:p>
    <w:p>
      <w:pPr>
        <w:spacing w:after="0" w:line="121" w:lineRule="exact"/>
        <w:rPr>
          <w:rFonts w:ascii="Arial" w:cs="Arial" w:eastAsia="Arial" w:hAnsi="Arial"/>
          <w:sz w:val="21"/>
          <w:szCs w:val="21"/>
          <w:color w:val="auto"/>
        </w:rPr>
      </w:pPr>
    </w:p>
    <w:p>
      <w:pPr>
        <w:ind w:left="1120" w:hanging="464"/>
        <w:spacing w:after="0"/>
        <w:tabs>
          <w:tab w:leader="none" w:pos="11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to make any change that does not adversely affect the rights of any Securityholder in any material respect;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00"/>
          </w:cols>
          <w:pgMar w:left="320" w:top="1428" w:right="379" w:bottom="1440" w:gutter="0" w:footer="0" w:header="0"/>
        </w:sectPr>
      </w:pPr>
    </w:p>
    <w:bookmarkStart w:id="79" w:name="page80"/>
    <w:bookmarkEnd w:id="79"/>
    <w:p>
      <w:pPr>
        <w:ind w:left="1080" w:hanging="424"/>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to conform the provisions of the Indenture to the final offering document in respect of any Series.</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After an amendment under this Section 9.01 becomes effective, the Company shall send notice of such amendment to the Securityholders (with a copy to the Trustee).</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i w:val="1"/>
          <w:iCs w:val="1"/>
          <w:color w:val="auto"/>
        </w:rPr>
        <w:t>With Consent of Holders</w:t>
      </w:r>
      <w:r>
        <w:rPr>
          <w:rFonts w:ascii="Arial" w:cs="Arial" w:eastAsia="Arial" w:hAnsi="Arial"/>
          <w:sz w:val="19"/>
          <w:szCs w:val="19"/>
          <w:color w:val="auto"/>
        </w:rPr>
        <w:t>. The Company and the Trustee may amend or supplement this Indenture or the Securities of a Series without notice to any Securityholder of such Series but with the written consent of the Holders of at least a majority in principal amount of the outstanding Securities of each Series affected by the amendment or supplement (voting as one class) (including consents obtained in connection with a purchase of, or tender offer or exchange offer for, Securities of such Series). The Holders of a majority in principal amount of the outstanding Securities of each Series affected by a waiver (voting as one class) may waive any existing Default under, or compliance with, any provision of the Securities of each such Series or of this Indenture relating to each such Series without notice to any Securityholder (including any waiver granted in connection with a purchase of, or tender offer or exchange offer for, Securities of such Series). Without the consent of each Holder of a Security affected thereby, however, an amendment, supplement or waiver, including a waiver pursuant to Section 6.04, may not:</w:t>
      </w:r>
    </w:p>
    <w:p>
      <w:pPr>
        <w:spacing w:after="0" w:line="103" w:lineRule="exact"/>
        <w:rPr>
          <w:sz w:val="20"/>
          <w:szCs w:val="20"/>
          <w:color w:val="auto"/>
        </w:rPr>
      </w:pPr>
    </w:p>
    <w:p>
      <w:pPr>
        <w:ind w:right="20" w:firstLine="656"/>
        <w:spacing w:after="0" w:line="248" w:lineRule="auto"/>
        <w:tabs>
          <w:tab w:leader="none" w:pos="1104" w:val="left"/>
        </w:tabs>
        <w:numPr>
          <w:ilvl w:val="0"/>
          <w:numId w:val="62"/>
        </w:numPr>
        <w:rPr>
          <w:rFonts w:ascii="Arial" w:cs="Arial" w:eastAsia="Arial" w:hAnsi="Arial"/>
          <w:sz w:val="22"/>
          <w:szCs w:val="22"/>
          <w:color w:val="auto"/>
        </w:rPr>
      </w:pPr>
      <w:r>
        <w:rPr>
          <w:rFonts w:ascii="Arial" w:cs="Arial" w:eastAsia="Arial" w:hAnsi="Arial"/>
          <w:sz w:val="22"/>
          <w:szCs w:val="22"/>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Security or any premium or interest thereon is payable, or impair the right to institute suit for the enforcement of any such payment on or after the stated maturity thereof (or, in the case of redemption, on or after the redemption date);</w:t>
      </w:r>
    </w:p>
    <w:p>
      <w:pPr>
        <w:spacing w:after="0" w:line="137" w:lineRule="exact"/>
        <w:rPr>
          <w:rFonts w:ascii="Arial" w:cs="Arial" w:eastAsia="Arial" w:hAnsi="Arial"/>
          <w:sz w:val="22"/>
          <w:szCs w:val="22"/>
          <w:color w:val="auto"/>
        </w:rPr>
      </w:pPr>
    </w:p>
    <w:p>
      <w:pPr>
        <w:ind w:right="220" w:firstLine="656"/>
        <w:spacing w:after="0" w:line="312" w:lineRule="auto"/>
        <w:tabs>
          <w:tab w:leader="none" w:pos="1116" w:val="left"/>
        </w:tabs>
        <w:numPr>
          <w:ilvl w:val="0"/>
          <w:numId w:val="62"/>
        </w:numPr>
        <w:rPr>
          <w:rFonts w:ascii="Arial" w:cs="Arial" w:eastAsia="Arial" w:hAnsi="Arial"/>
          <w:sz w:val="19"/>
          <w:szCs w:val="19"/>
          <w:color w:val="auto"/>
        </w:rPr>
      </w:pPr>
      <w:r>
        <w:rPr>
          <w:rFonts w:ascii="Arial" w:cs="Arial" w:eastAsia="Arial" w:hAnsi="Arial"/>
          <w:sz w:val="19"/>
          <w:szCs w:val="19"/>
          <w:color w:val="auto"/>
        </w:rPr>
        <w:t>make any change to Section 6.04, except to increase the percentage in principal amount of Securities of any Series the consent of whose Holders is required for any waiver or to provide that certain other provisions of the Indenture cannot be modified or waived without the consent of the Holder of each outstanding Security affected thereby;</w:t>
      </w:r>
    </w:p>
    <w:p>
      <w:pPr>
        <w:spacing w:after="0" w:line="79" w:lineRule="exact"/>
        <w:rPr>
          <w:rFonts w:ascii="Arial" w:cs="Arial" w:eastAsia="Arial" w:hAnsi="Arial"/>
          <w:sz w:val="19"/>
          <w:szCs w:val="19"/>
          <w:color w:val="auto"/>
        </w:rPr>
      </w:pPr>
    </w:p>
    <w:p>
      <w:pPr>
        <w:ind w:right="380" w:firstLine="656"/>
        <w:spacing w:after="0" w:line="253" w:lineRule="auto"/>
        <w:tabs>
          <w:tab w:leader="none" w:pos="1104" w:val="left"/>
        </w:tabs>
        <w:numPr>
          <w:ilvl w:val="0"/>
          <w:numId w:val="62"/>
        </w:numPr>
        <w:rPr>
          <w:rFonts w:ascii="Arial" w:cs="Arial" w:eastAsia="Arial" w:hAnsi="Arial"/>
          <w:sz w:val="22"/>
          <w:szCs w:val="22"/>
          <w:color w:val="auto"/>
        </w:rPr>
      </w:pPr>
      <w:r>
        <w:rPr>
          <w:rFonts w:ascii="Arial" w:cs="Arial" w:eastAsia="Arial" w:hAnsi="Arial"/>
          <w:sz w:val="22"/>
          <w:szCs w:val="22"/>
          <w:color w:val="auto"/>
        </w:rPr>
        <w:t>waive a continuing Default or Event of Default in the payment of the principal of or interest on any Security or a continuing Default or Event of Default in respect of a covenant or a provision of the Indenture that cannot be modified or amended without the consent of all Holders of the applicable Securities; or</w:t>
      </w:r>
    </w:p>
    <w:p>
      <w:pPr>
        <w:spacing w:after="0" w:line="131" w:lineRule="exact"/>
        <w:rPr>
          <w:rFonts w:ascii="Arial" w:cs="Arial" w:eastAsia="Arial" w:hAnsi="Arial"/>
          <w:sz w:val="22"/>
          <w:szCs w:val="22"/>
          <w:color w:val="auto"/>
        </w:rPr>
      </w:pPr>
    </w:p>
    <w:p>
      <w:pPr>
        <w:ind w:right="260" w:firstLine="656"/>
        <w:spacing w:after="0" w:line="263"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the percentage in principal amount of Securities of any Series the consent of whose Holders is required for any amendment, supplement or waiver.</w:t>
      </w:r>
    </w:p>
    <w:p>
      <w:pPr>
        <w:spacing w:after="0" w:line="121"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Any amendment, supplement or waiver which changes or eliminates any covenant or other provision of the Indenture which shall have been included expressly and solely for the benefit of one or more particular Series of Securities, or which modifies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28" w:right="359" w:bottom="1440" w:gutter="0" w:footer="0" w:header="0"/>
        </w:sectPr>
      </w:pPr>
    </w:p>
    <w:bookmarkStart w:id="80" w:name="page81"/>
    <w:bookmarkEnd w:id="80"/>
    <w:p>
      <w:pPr>
        <w:ind w:right="500"/>
        <w:spacing w:after="0" w:line="263" w:lineRule="auto"/>
        <w:rPr>
          <w:sz w:val="20"/>
          <w:szCs w:val="20"/>
          <w:color w:val="auto"/>
        </w:rPr>
      </w:pPr>
      <w:r>
        <w:rPr>
          <w:rFonts w:ascii="Arial" w:cs="Arial" w:eastAsia="Arial" w:hAnsi="Arial"/>
          <w:sz w:val="22"/>
          <w:szCs w:val="22"/>
          <w:color w:val="auto"/>
        </w:rPr>
        <w:t>of the Holders of such Series with respect to such covenant or other provision, shall be deemed not to affect the rights of the Holders of any other Series.</w:t>
      </w:r>
    </w:p>
    <w:p>
      <w:pPr>
        <w:spacing w:after="0" w:line="121"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It shall not be necessary for the consent of the Holders under this Section to approve the particular form of any proposed supplement, but it shall be sufficient if such consent approves the substance thereof.</w:t>
      </w:r>
    </w:p>
    <w:p>
      <w:pPr>
        <w:spacing w:after="0" w:line="121" w:lineRule="exact"/>
        <w:rPr>
          <w:sz w:val="20"/>
          <w:szCs w:val="20"/>
          <w:color w:val="auto"/>
        </w:rPr>
      </w:pPr>
    </w:p>
    <w:p>
      <w:pPr>
        <w:ind w:right="260" w:firstLine="648"/>
        <w:spacing w:after="0" w:line="287"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i w:val="1"/>
          <w:iCs w:val="1"/>
          <w:color w:val="auto"/>
        </w:rPr>
        <w:t>Compliance with Trust Indenture Act</w:t>
      </w:r>
      <w:r>
        <w:rPr>
          <w:rFonts w:ascii="Arial" w:cs="Arial" w:eastAsia="Arial" w:hAnsi="Arial"/>
          <w:sz w:val="21"/>
          <w:szCs w:val="21"/>
          <w:color w:val="auto"/>
        </w:rPr>
        <w:t>. From the date on which this Indenture is qualified under the TIA, every amendment to or supplement of this Indenture or any Securities shall comply with the TIA as then in effect.</w:t>
      </w:r>
    </w:p>
    <w:p>
      <w:pPr>
        <w:spacing w:after="0" w:line="9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i w:val="1"/>
          <w:iCs w:val="1"/>
          <w:color w:val="auto"/>
        </w:rPr>
        <w:t>Revocation and Effect of Consents</w:t>
      </w:r>
      <w:r>
        <w:rPr>
          <w:rFonts w:ascii="Arial" w:cs="Arial" w:eastAsia="Arial" w:hAnsi="Arial"/>
          <w:sz w:val="19"/>
          <w:szCs w:val="19"/>
          <w:color w:val="auto"/>
        </w:rPr>
        <w:t>. A consent to an amendment, supplement or waiver by a Holder shall bind the Holder and every subsequent Holder of a Security or portion of a Security that evidences the same debt as the consenting Holder’s Security, even if notation of the consent is not made on any Security. Unless otherwise provided in the consent or the consent solicitation statement or other document describing the terms of the consent, any Holder or subsequent Holder may revoke the consent as to its Security or portion of a Security. Any revocation of a consent by the Holder of a Security or any such subsequent Holder shall be effective only if the Trustee receives the notice of revocation before the date on which the Trustee receives an Officer’s Certificate from the Company certifying that the requisite number of consents have been received.</w:t>
      </w:r>
    </w:p>
    <w:p>
      <w:pPr>
        <w:spacing w:after="0" w:line="9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of Securities of any Series entitled to consent to any amendment, supplement or waiver. If a record date is fixed, and if Holders otherwise have a right to revoke their consent under the consent or the consent solicitation statement or other document describing the terms of the consent, then notwithstanding the second to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w:t>
      </w:r>
    </w:p>
    <w:p>
      <w:pPr>
        <w:spacing w:after="0" w:line="95"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An amendment, supplement or waiver with respect to a Series becomes effective upon the (i) receipt by the Company or the Trustee of the requisite consents, (ii) satisfaction of any conditions to effectiveness as set forth in the Indenture or any indenture supplemental hereto containing such amendment, supplement or waiver and (iii) execution of such amendment, supplement or waiver (or the related supplemental indenture) by the Company and the Trustee. After an amendment, supplement or waiver with respect to a Series becomes effective, it shall bind every Holder of such Series, unless it makes a change described in any of clauses (a) through (d) of Section 9.02, in which case, the amendment, supplement or waiver shall bind a Holder of a Security who is affected thereby only if it has consented to such amendment, supplement or waiver and every subsequent Holder of a Security or portion of a Security that evidences the same debt as the consenting Holder’s Security.</w:t>
      </w:r>
    </w:p>
    <w:p>
      <w:pPr>
        <w:spacing w:after="0" w:line="102"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i w:val="1"/>
          <w:iCs w:val="1"/>
          <w:color w:val="auto"/>
        </w:rPr>
        <w:t>Notation on or Exchange of Securities</w:t>
      </w:r>
      <w:r>
        <w:rPr>
          <w:rFonts w:ascii="Arial" w:cs="Arial" w:eastAsia="Arial" w:hAnsi="Arial"/>
          <w:sz w:val="22"/>
          <w:szCs w:val="22"/>
          <w:color w:val="auto"/>
        </w:rPr>
        <w:t>. If an amendment, supplement or waiver changes the terms of a Security, the Company may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1428" w:right="359" w:bottom="1440" w:gutter="0" w:footer="0" w:header="0"/>
        </w:sectPr>
      </w:pPr>
    </w:p>
    <w:bookmarkStart w:id="81" w:name="page82"/>
    <w:bookmarkEnd w:id="81"/>
    <w:p>
      <w:pPr>
        <w:ind w:right="140"/>
        <w:spacing w:after="0" w:line="312" w:lineRule="auto"/>
        <w:rPr>
          <w:sz w:val="20"/>
          <w:szCs w:val="20"/>
          <w:color w:val="auto"/>
        </w:rPr>
      </w:pPr>
      <w:r>
        <w:rPr>
          <w:rFonts w:ascii="Arial" w:cs="Arial" w:eastAsia="Arial" w:hAnsi="Arial"/>
          <w:sz w:val="19"/>
          <w:szCs w:val="19"/>
          <w:color w:val="auto"/>
        </w:rPr>
        <w:t>Holder of the Security to deliver it to the Trustee, at which time the Trustee shall place an appropriate notation on the Security about the changed terms and return it to the Holder. Alternatively, if the Company or the Trustee so determines, the Company in exchange for the Security shall issue and the Trustee shall authenticate a new Security that reflects the changed terms.</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i w:val="1"/>
          <w:iCs w:val="1"/>
          <w:color w:val="auto"/>
        </w:rPr>
        <w:t>Trustee to Sign Amendments, etc</w:t>
      </w:r>
      <w:r>
        <w:rPr>
          <w:rFonts w:ascii="Arial" w:cs="Arial" w:eastAsia="Arial" w:hAnsi="Arial"/>
          <w:sz w:val="21"/>
          <w:szCs w:val="21"/>
          <w:color w:val="auto"/>
        </w:rPr>
        <w:t>. Subject to Section 7.02(b), the Trustee shall sign any amendment, supplement or waiver authorized pursuant to this Article if the amendment, supplement or waiver does not adversely affect the rights, duties, liabilities or immunities of the Trustee. If it does, the Trustee may, but need not, sign such amendment, supplement or waiver. In signing or refusing to sign such amendment or supplement or waiver, the Trustee shall be provided with and shall be fully protected in relying upon, an Officer’s Certificate and an Opinion of Counsel as conclusive evidence that such amendment, supplement or waiver is authorized or permitted by this Indenture (it being understood that in no event shall the Company be required to deliver an Opinion of Counsel in connection with the execution of the First Supplemental Indenture hereto, dated as of the date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ECURITIES IN</w:t>
      </w:r>
      <w:r>
        <w:rPr>
          <w:rFonts w:ascii="Arial" w:cs="Arial" w:eastAsia="Arial" w:hAnsi="Arial"/>
          <w:sz w:val="22"/>
          <w:szCs w:val="22"/>
          <w:color w:val="auto"/>
        </w:rPr>
        <w:t xml:space="preserve"> F</w:t>
      </w:r>
      <w:r>
        <w:rPr>
          <w:rFonts w:ascii="Arial" w:cs="Arial" w:eastAsia="Arial" w:hAnsi="Arial"/>
          <w:sz w:val="17"/>
          <w:szCs w:val="17"/>
          <w:color w:val="auto"/>
        </w:rPr>
        <w:t>OREIGN</w:t>
      </w:r>
      <w:r>
        <w:rPr>
          <w:rFonts w:ascii="Arial" w:cs="Arial" w:eastAsia="Arial" w:hAnsi="Arial"/>
          <w:sz w:val="22"/>
          <w:szCs w:val="22"/>
          <w:color w:val="auto"/>
        </w:rPr>
        <w:t xml:space="preserve"> C</w:t>
      </w:r>
      <w:r>
        <w:rPr>
          <w:rFonts w:ascii="Arial" w:cs="Arial" w:eastAsia="Arial" w:hAnsi="Arial"/>
          <w:sz w:val="17"/>
          <w:szCs w:val="17"/>
          <w:color w:val="auto"/>
        </w:rPr>
        <w:t>URRENCIES</w:t>
      </w:r>
    </w:p>
    <w:p>
      <w:pPr>
        <w:spacing w:after="0" w:line="148"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Applicability of Article</w:t>
      </w:r>
      <w:r>
        <w:rPr>
          <w:rFonts w:ascii="Arial" w:cs="Arial" w:eastAsia="Arial" w:hAnsi="Arial"/>
          <w:sz w:val="19"/>
          <w:szCs w:val="19"/>
          <w:color w:val="auto"/>
        </w:rPr>
        <w:t>. Whenever this Indenture provides for (a) any action by, or the determination of any of the rights of, Holders of Securities of any Series in which not all of such Securities are denominated in the same currency, or (b)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paying agent or agency or organization, if any, responsible for overseeing such composite currency may determine. The Trustee shall have no duty to calculate or verify the calculations made pursuant to this Section 10.01.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p>
      <w:pPr>
        <w:spacing w:after="0" w:line="148" w:lineRule="exact"/>
        <w:rPr>
          <w:sz w:val="20"/>
          <w:szCs w:val="20"/>
          <w:color w:val="auto"/>
        </w:rPr>
      </w:pPr>
    </w:p>
    <w:p>
      <w:pPr>
        <w:ind w:right="100" w:firstLine="648"/>
        <w:spacing w:after="0" w:line="287" w:lineRule="auto"/>
        <w:rPr>
          <w:sz w:val="20"/>
          <w:szCs w:val="20"/>
          <w:color w:val="auto"/>
        </w:rPr>
      </w:pPr>
      <w:r>
        <w:rPr>
          <w:rFonts w:ascii="Arial" w:cs="Arial" w:eastAsia="Arial" w:hAnsi="Arial"/>
          <w:sz w:val="21"/>
          <w:szCs w:val="21"/>
          <w:color w:val="auto"/>
        </w:rPr>
        <w:t xml:space="preserve">Section 11.01. </w:t>
      </w:r>
      <w:r>
        <w:rPr>
          <w:rFonts w:ascii="Arial" w:cs="Arial" w:eastAsia="Arial" w:hAnsi="Arial"/>
          <w:sz w:val="21"/>
          <w:szCs w:val="21"/>
          <w:i w:val="1"/>
          <w:iCs w:val="1"/>
          <w:color w:val="auto"/>
        </w:rPr>
        <w:t>Trust Indenture Act Controls</w:t>
      </w:r>
      <w:r>
        <w:rPr>
          <w:rFonts w:ascii="Arial" w:cs="Arial" w:eastAsia="Arial" w:hAnsi="Arial"/>
          <w:sz w:val="21"/>
          <w:szCs w:val="21"/>
          <w:color w:val="auto"/>
        </w:rPr>
        <w:t>. If any provision of this Indenture limits, qualifies or conflicts with another provision which is required to be included in this Indenture by the TIA, the required provision shall control.</w:t>
      </w:r>
    </w:p>
    <w:p>
      <w:pPr>
        <w:spacing w:after="0" w:line="97" w:lineRule="exact"/>
        <w:rPr>
          <w:sz w:val="20"/>
          <w:szCs w:val="20"/>
          <w:color w:val="auto"/>
        </w:rPr>
      </w:pPr>
    </w:p>
    <w:p>
      <w:pPr>
        <w:ind w:right="600" w:firstLine="648"/>
        <w:spacing w:after="0" w:line="253"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Notices</w:t>
      </w:r>
      <w:r>
        <w:rPr>
          <w:rFonts w:ascii="Arial" w:cs="Arial" w:eastAsia="Arial" w:hAnsi="Arial"/>
          <w:sz w:val="22"/>
          <w:szCs w:val="22"/>
          <w:color w:val="auto"/>
        </w:rPr>
        <w:t>. Any order, consent, notice or communication shall be sufficiently given if in writing and delivered in person or mailed by first-class mail, postage prepaid, or delivered by commercial courier service,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20"/>
          </w:cols>
          <w:pgMar w:left="320" w:top="1428" w:right="359" w:bottom="1440" w:gutter="0" w:footer="0" w:header="0"/>
        </w:sectPr>
      </w:pPr>
    </w:p>
    <w:bookmarkStart w:id="82" w:name="page83"/>
    <w:bookmarkEnd w:id="82"/>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Baris Oran</w:t>
      </w:r>
    </w:p>
    <w:p>
      <w:pPr>
        <w:spacing w:after="0" w:line="148" w:lineRule="exact"/>
        <w:rPr>
          <w:sz w:val="20"/>
          <w:szCs w:val="20"/>
          <w:color w:val="auto"/>
        </w:rPr>
      </w:pPr>
    </w:p>
    <w:p>
      <w:pPr>
        <w:ind w:left="1120" w:hanging="464"/>
        <w:spacing w:after="0"/>
        <w:tabs>
          <w:tab w:leader="none" w:pos="11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to the Trustee: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CTSO Mail Operations, MAC: N9300-070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600 South 4th Street, 7th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Minneapolis, MN 55415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Theresa M. Jacobson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theresa.m.jacobson@wellsfargo.com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lindsey.widdis@wellsfargo.com</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melissa.hancock2@wellsfargo.com</w:t>
      </w:r>
    </w:p>
    <w:p>
      <w:pPr>
        <w:spacing w:after="0" w:line="14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2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Any notice or communication sent to a Securityholder shall be sent electronically or mailed to him by first-class mail, postage prepaid, or delivered by commercial courier service, at his address as it appears on the registration books of the Registrar, or, in the case of Global Securities sent electronically in accordance with the procedures of the Depositary, and shall be sufficiently given to him if so sent within the time prescribed.</w:t>
      </w:r>
    </w:p>
    <w:p>
      <w:pPr>
        <w:spacing w:after="0" w:line="134"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Failure to send a notice or communication to a Securityholder or any defect in it shall not affect its sufficiency with respect to other Securityholders. If a notice or communication is sent in the manner provided above, it is duly given, whether or not the addressee receives it except that notice to the Trustee shall only be effective upon receipt thereof by the Trustee.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Company sends notice or communications to the Securityholders, it shall send a copy to the Trustee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48"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In addition to the foregoing, the Trustee may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20"/>
          </w:cols>
          <w:pgMar w:left="320" w:top="1428" w:right="359" w:bottom="1440" w:gutter="0" w:footer="0" w:header="0"/>
        </w:sectPr>
      </w:pPr>
    </w:p>
    <w:bookmarkStart w:id="83" w:name="page84"/>
    <w:bookmarkEnd w:id="83"/>
    <w:p>
      <w:pPr>
        <w:ind w:right="640"/>
        <w:spacing w:after="0" w:line="263" w:lineRule="auto"/>
        <w:rPr>
          <w:sz w:val="20"/>
          <w:szCs w:val="20"/>
          <w:color w:val="auto"/>
        </w:rPr>
      </w:pPr>
      <w:r>
        <w:rPr>
          <w:rFonts w:ascii="Arial" w:cs="Arial" w:eastAsia="Arial" w:hAnsi="Arial"/>
          <w:sz w:val="22"/>
          <w:szCs w:val="22"/>
          <w:color w:val="auto"/>
        </w:rPr>
        <w:t>methods to submit instructions and directions to the Trustee, including without limitation the risk of the Trustee acting on unauthorized instructions, and the risk of interception and misuse by third parties.</w:t>
      </w:r>
    </w:p>
    <w:p>
      <w:pPr>
        <w:spacing w:after="0" w:line="12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Notwithstanding any other provision of this Indenture or any Security, where this Indenture or any Security provides for notice of any event to a Holder of a Global Security (whether by mail or otherwise), such notice shall be sufficiently given if given to the Depositary (or its designee) pursuant to the standing instructions from the Depositary or its designee.</w:t>
      </w:r>
    </w:p>
    <w:p>
      <w:pPr>
        <w:spacing w:after="0" w:line="79"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Communications by Holders with Other Holders</w:t>
      </w:r>
      <w:r>
        <w:rPr>
          <w:rFonts w:ascii="Arial" w:cs="Arial" w:eastAsia="Arial" w:hAnsi="Arial"/>
          <w:sz w:val="22"/>
          <w:szCs w:val="22"/>
          <w:color w:val="auto"/>
        </w:rPr>
        <w:t>. Securityholders may communicate pursuant to TIA § 312(b) with other Securityholders with respect to their rights under this Indenture or the Securities. The Company, the Trustee, the Registrar and anyone else shall have the protection of TIA § 312(c).</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i w:val="1"/>
          <w:iCs w:val="1"/>
          <w:color w:val="auto"/>
        </w:rPr>
        <w:t>Certificate and Opinion as to Conditions Precedent</w:t>
      </w:r>
      <w:r>
        <w:rPr>
          <w:rFonts w:ascii="Arial" w:cs="Arial" w:eastAsia="Arial" w:hAnsi="Arial"/>
          <w:sz w:val="22"/>
          <w:szCs w:val="22"/>
          <w:color w:val="auto"/>
        </w:rPr>
        <w:t>. Upon any request or application by the Company to the Trustee to take any action under this Indenture, the Company shall furnish to the Trustee:</w:t>
      </w:r>
    </w:p>
    <w:p>
      <w:pPr>
        <w:spacing w:after="0" w:line="121" w:lineRule="exact"/>
        <w:rPr>
          <w:sz w:val="20"/>
          <w:szCs w:val="20"/>
          <w:color w:val="auto"/>
        </w:rPr>
      </w:pPr>
    </w:p>
    <w:p>
      <w:pPr>
        <w:jc w:val="both"/>
        <w:ind w:right="60" w:firstLine="656"/>
        <w:spacing w:after="0" w:line="253" w:lineRule="auto"/>
        <w:tabs>
          <w:tab w:leader="none" w:pos="1104"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 Officer’s Certificate (which shall include the statements set forth in Section 11.05) stating that, in the opinion of the signers (who may rely upon an Opinion of Counsel with respect to matters of law), all conditions precedent, if any, provided for in this Indenture relating to the proposed action have been complied with; and</w:t>
      </w:r>
    </w:p>
    <w:p>
      <w:pPr>
        <w:spacing w:after="0" w:line="131" w:lineRule="exact"/>
        <w:rPr>
          <w:rFonts w:ascii="Arial" w:cs="Arial" w:eastAsia="Arial" w:hAnsi="Arial"/>
          <w:sz w:val="22"/>
          <w:szCs w:val="22"/>
          <w:color w:val="auto"/>
        </w:rPr>
      </w:pPr>
    </w:p>
    <w:p>
      <w:pPr>
        <w:ind w:right="120" w:firstLine="656"/>
        <w:spacing w:after="0" w:line="312" w:lineRule="auto"/>
        <w:tabs>
          <w:tab w:leader="none" w:pos="11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 Opinion of Counsel (which shall include the statements set forth in Section 11.05) stating that, in the opinion of such counsel (who may rely upon an Officer’s Certificate or certificates of public officials as to matters of fact), all conditions precedent, if any, provided for in this Indenture relating to the proposed action have been complied with.</w:t>
      </w:r>
    </w:p>
    <w:p>
      <w:pPr>
        <w:spacing w:after="0" w:line="79"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Statements Required in Certificate or Opinion</w:t>
      </w:r>
      <w:r>
        <w:rPr>
          <w:rFonts w:ascii="Arial" w:cs="Arial" w:eastAsia="Arial" w:hAnsi="Arial"/>
          <w:sz w:val="22"/>
          <w:szCs w:val="22"/>
          <w:color w:val="auto"/>
        </w:rPr>
        <w:t>. Each certificate or opinion with respect to compliance with a condition or covenant provided for in this Indenture shall include:</w:t>
      </w:r>
    </w:p>
    <w:p>
      <w:pPr>
        <w:spacing w:after="0" w:line="121" w:lineRule="exact"/>
        <w:rPr>
          <w:sz w:val="20"/>
          <w:szCs w:val="20"/>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165" w:lineRule="exact"/>
        <w:rPr>
          <w:rFonts w:ascii="Arial" w:cs="Arial" w:eastAsia="Arial" w:hAnsi="Arial"/>
          <w:sz w:val="22"/>
          <w:szCs w:val="22"/>
          <w:color w:val="auto"/>
        </w:rPr>
      </w:pPr>
    </w:p>
    <w:p>
      <w:pPr>
        <w:ind w:right="640" w:firstLine="656"/>
        <w:spacing w:after="0" w:line="263" w:lineRule="auto"/>
        <w:tabs>
          <w:tab w:leader="none" w:pos="11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20" w:lineRule="exact"/>
        <w:rPr>
          <w:rFonts w:ascii="Arial" w:cs="Arial" w:eastAsia="Arial" w:hAnsi="Arial"/>
          <w:sz w:val="22"/>
          <w:szCs w:val="22"/>
          <w:color w:val="auto"/>
        </w:rPr>
      </w:pPr>
    </w:p>
    <w:p>
      <w:pPr>
        <w:jc w:val="both"/>
        <w:ind w:right="640" w:firstLine="656"/>
        <w:spacing w:after="0" w:line="253" w:lineRule="auto"/>
        <w:tabs>
          <w:tab w:leader="none" w:pos="1104"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131" w:lineRule="exact"/>
        <w:rPr>
          <w:rFonts w:ascii="Arial" w:cs="Arial" w:eastAsia="Arial" w:hAnsi="Arial"/>
          <w:sz w:val="22"/>
          <w:szCs w:val="22"/>
          <w:color w:val="auto"/>
        </w:rPr>
      </w:pPr>
    </w:p>
    <w:p>
      <w:pPr>
        <w:ind w:left="1120" w:hanging="464"/>
        <w:spacing w:after="0"/>
        <w:tabs>
          <w:tab w:leader="none" w:pos="11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140"/>
          </w:cols>
          <w:pgMar w:left="320" w:top="1428" w:right="439" w:bottom="1440" w:gutter="0" w:footer="0" w:header="0"/>
        </w:sectPr>
      </w:pPr>
    </w:p>
    <w:bookmarkStart w:id="84" w:name="page85"/>
    <w:bookmarkEnd w:id="84"/>
    <w:p>
      <w:pPr>
        <w:ind w:right="560" w:firstLine="648"/>
        <w:spacing w:after="0" w:line="263" w:lineRule="auto"/>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i w:val="1"/>
          <w:iCs w:val="1"/>
          <w:color w:val="auto"/>
        </w:rPr>
        <w:t>Rules by Trustee and Agents</w:t>
      </w:r>
      <w:r>
        <w:rPr>
          <w:rFonts w:ascii="Arial" w:cs="Arial" w:eastAsia="Arial" w:hAnsi="Arial"/>
          <w:sz w:val="22"/>
          <w:szCs w:val="22"/>
          <w:color w:val="auto"/>
        </w:rPr>
        <w:t>. The Trustee may make reasonable rules for action by or a meeting of Securityholders. The Registrar or Paying Agent may make reasonable rules for its functions.</w:t>
      </w:r>
    </w:p>
    <w:p>
      <w:pPr>
        <w:spacing w:after="0" w:line="115"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Section 11.07. </w:t>
      </w:r>
      <w:r>
        <w:rPr>
          <w:rFonts w:ascii="Arial" w:cs="Arial" w:eastAsia="Arial" w:hAnsi="Arial"/>
          <w:sz w:val="21"/>
          <w:szCs w:val="21"/>
          <w:i w:val="1"/>
          <w:iCs w:val="1"/>
          <w:color w:val="auto"/>
        </w:rPr>
        <w:t>Legal Holidays</w:t>
      </w:r>
      <w:r>
        <w:rPr>
          <w:rFonts w:ascii="Arial" w:cs="Arial" w:eastAsia="Arial" w:hAnsi="Arial"/>
          <w:sz w:val="21"/>
          <w:szCs w:val="21"/>
          <w:color w:val="auto"/>
        </w:rPr>
        <w:t>. A “</w:t>
      </w:r>
      <w:r>
        <w:rPr>
          <w:rFonts w:ascii="Arial" w:cs="Arial" w:eastAsia="Arial" w:hAnsi="Arial"/>
          <w:sz w:val="21"/>
          <w:szCs w:val="21"/>
          <w:b w:val="1"/>
          <w:bCs w:val="1"/>
          <w:color w:val="auto"/>
        </w:rPr>
        <w:t>Legal Holiday</w:t>
      </w:r>
      <w:r>
        <w:rPr>
          <w:rFonts w:ascii="Arial" w:cs="Arial" w:eastAsia="Arial" w:hAnsi="Arial"/>
          <w:sz w:val="21"/>
          <w:szCs w:val="21"/>
          <w:color w:val="auto"/>
        </w:rPr>
        <w:t>” is a day that is not a Business Day. If any interest or other payment date of a Security falls on a Legal Holiday,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w:t>
      </w:r>
    </w:p>
    <w:p>
      <w:pPr>
        <w:spacing w:after="0" w:line="1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i w:val="1"/>
          <w:iCs w:val="1"/>
          <w:color w:val="auto"/>
        </w:rPr>
        <w:t>Governing Law</w:t>
      </w:r>
      <w:r>
        <w:rPr>
          <w:rFonts w:ascii="Arial" w:cs="Arial" w:eastAsia="Arial" w:hAnsi="Arial"/>
          <w:sz w:val="22"/>
          <w:szCs w:val="22"/>
          <w:color w:val="auto"/>
        </w:rPr>
        <w:t>. This Indenture and the Securities of each Series shall be governed by and construed in accordance with the laws of the State of New York.</w:t>
      </w:r>
    </w:p>
    <w:p>
      <w:pPr>
        <w:spacing w:after="0" w:line="121"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Section 11.09.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 This Indenture may not be used to interpret another indenture, loan or debt agreement of the Company or a Subsidiary. Any such indenture, loan or debt agreement may not be used to interpret this Indenture.</w:t>
      </w:r>
    </w:p>
    <w:p>
      <w:pPr>
        <w:spacing w:after="0" w:line="131"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i w:val="1"/>
          <w:iCs w:val="1"/>
          <w:color w:val="auto"/>
        </w:rPr>
        <w:t>No Recourse Against Others</w:t>
      </w:r>
      <w:r>
        <w:rPr>
          <w:rFonts w:ascii="Arial" w:cs="Arial" w:eastAsia="Arial" w:hAnsi="Arial"/>
          <w:sz w:val="22"/>
          <w:szCs w:val="22"/>
          <w:color w:val="auto"/>
        </w:rPr>
        <w:t>. All liability described in Paragraph 10 of the Securities of any director, officer, employee or stockholder, as such, of the Company, is, to the fullest extent permitted by applicable law, waived and released.</w:t>
      </w:r>
    </w:p>
    <w:p>
      <w:pPr>
        <w:spacing w:after="0" w:line="131" w:lineRule="exact"/>
        <w:rPr>
          <w:sz w:val="20"/>
          <w:szCs w:val="20"/>
          <w:color w:val="auto"/>
        </w:rPr>
      </w:pPr>
    </w:p>
    <w:p>
      <w:pPr>
        <w:ind w:right="520" w:firstLine="648"/>
        <w:spacing w:after="0" w:line="253"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i w:val="1"/>
          <w:iCs w:val="1"/>
          <w:color w:val="auto"/>
        </w:rPr>
        <w:t>Successors and Assigns</w:t>
      </w:r>
      <w:r>
        <w:rPr>
          <w:rFonts w:ascii="Arial" w:cs="Arial" w:eastAsia="Arial" w:hAnsi="Arial"/>
          <w:sz w:val="22"/>
          <w:szCs w:val="22"/>
          <w:color w:val="auto"/>
        </w:rPr>
        <w:t>. All covenants and agreements of the Company in this Indenture and the Securities shall bind its successors and assigns. All agreements of the Trustee in this Indenture shall bind its successors and assigns.</w:t>
      </w:r>
    </w:p>
    <w:p>
      <w:pPr>
        <w:spacing w:after="0" w:line="13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i w:val="1"/>
          <w:iCs w:val="1"/>
          <w:color w:val="auto"/>
        </w:rPr>
        <w:t>Duplicate Originals</w:t>
      </w:r>
      <w:r>
        <w:rPr>
          <w:rFonts w:ascii="Arial" w:cs="Arial" w:eastAsia="Arial" w:hAnsi="Arial"/>
          <w:sz w:val="19"/>
          <w:szCs w:val="19"/>
          <w:color w:val="auto"/>
        </w:rPr>
        <w:t>. The parties may sign any number of copies of this Indenture. Each signed copy shall be an original, but all of them together represent the same agreement. Signatures of the parties hereto transmitted by facsimile or other electronic transmission shall be deemed to be their original signatures for all purposes. This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“Signature Law”); (ii) an original manual signature; or (iii) a faxed, scanned, or photocopied manual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180"/>
          </w:cols>
          <w:pgMar w:left="320" w:top="1428" w:right="399" w:bottom="1440" w:gutter="0" w:footer="0" w:header="0"/>
        </w:sectPr>
      </w:pPr>
    </w:p>
    <w:bookmarkStart w:id="85" w:name="page86"/>
    <w:bookmarkEnd w:id="85"/>
    <w:p>
      <w:pPr>
        <w:spacing w:after="0" w:line="294" w:lineRule="auto"/>
        <w:rPr>
          <w:sz w:val="20"/>
          <w:szCs w:val="20"/>
          <w:color w:val="auto"/>
        </w:rPr>
      </w:pPr>
      <w:r>
        <w:rPr>
          <w:rFonts w:ascii="Arial" w:cs="Arial" w:eastAsia="Arial" w:hAnsi="Arial"/>
          <w:sz w:val="19"/>
          <w:szCs w:val="19"/>
          <w:color w:val="auto"/>
        </w:rPr>
        <w:t>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w:t>
      </w:r>
    </w:p>
    <w:p>
      <w:pPr>
        <w:spacing w:after="0" w:line="95"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i w:val="1"/>
          <w:iCs w:val="1"/>
          <w:color w:val="auto"/>
        </w:rPr>
        <w:t>Severability</w:t>
      </w:r>
      <w:r>
        <w:rPr>
          <w:rFonts w:ascii="Arial" w:cs="Arial" w:eastAsia="Arial" w:hAnsi="Arial"/>
          <w:sz w:val="22"/>
          <w:szCs w:val="22"/>
          <w:color w:val="auto"/>
        </w:rPr>
        <w:t>. In case any one or more of the provisions contained in this Indenture or in the Securities of a Series shall for any reason be held to be invalid, illegal or unenforceable in any respect, such invalidity, illegality or unenforceability shall not affect any other provisions of this Indenture or of such Securities.</w:t>
      </w:r>
    </w:p>
    <w:p>
      <w:pPr>
        <w:spacing w:after="0" w:line="131"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i w:val="1"/>
          <w:iCs w:val="1"/>
          <w:color w:val="auto"/>
        </w:rPr>
        <w:t>PATRIOT ACT</w:t>
      </w:r>
      <w:r>
        <w:rPr>
          <w:rFonts w:ascii="Arial" w:cs="Arial" w:eastAsia="Arial" w:hAnsi="Arial"/>
          <w:sz w:val="19"/>
          <w:szCs w:val="19"/>
          <w:color w:val="auto"/>
        </w:rPr>
        <w:t>. The Company acknowledges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spacing w:after="0" w:line="9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34" w:lineRule="exact"/>
        <w:rPr>
          <w:sz w:val="20"/>
          <w:szCs w:val="20"/>
          <w:color w:val="auto"/>
        </w:rPr>
      </w:pPr>
    </w:p>
    <w:p>
      <w:pPr>
        <w:ind w:right="220" w:firstLine="648"/>
        <w:spacing w:after="0" w:line="292" w:lineRule="auto"/>
        <w:rPr>
          <w:sz w:val="20"/>
          <w:szCs w:val="20"/>
          <w:color w:val="auto"/>
        </w:rPr>
      </w:pPr>
      <w:r>
        <w:rPr>
          <w:rFonts w:ascii="Arial" w:cs="Arial" w:eastAsia="Arial" w:hAnsi="Arial"/>
          <w:sz w:val="19"/>
          <w:szCs w:val="19"/>
          <w:color w:val="auto"/>
        </w:rPr>
        <w:t xml:space="preserve">Section 11.16. </w:t>
      </w:r>
      <w:r>
        <w:rPr>
          <w:rFonts w:ascii="Arial" w:cs="Arial" w:eastAsia="Arial" w:hAnsi="Arial"/>
          <w:sz w:val="19"/>
          <w:szCs w:val="19"/>
          <w:i w:val="1"/>
          <w:iCs w:val="1"/>
          <w:color w:val="auto"/>
        </w:rPr>
        <w:t>Jurisdiction</w:t>
      </w:r>
      <w:r>
        <w:rPr>
          <w:rFonts w:ascii="Arial" w:cs="Arial" w:eastAsia="Arial" w:hAnsi="Arial"/>
          <w:sz w:val="19"/>
          <w:szCs w:val="19"/>
          <w:color w:val="auto"/>
        </w:rPr>
        <w:t>. The Company and the Trustee, and each Holder of a Security by its acceptance thereof, hereby (i) irrevocably submit to the non-exclusive jurisdiction of any federal or state court sitting in the Borough of Manhattan, the city of New York, over any suit, action or proceeding arising out of or relating to this Indenture and (ii) to the fullest extent permitted by applicable law,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22"/>
          <w:szCs w:val="22"/>
          <w:color w:val="auto"/>
        </w:rPr>
        <w:t>IN WITNESS WHEREOF, the parties have caused this Indenture to be duly executed, all as of the date first written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96"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1F1F1F"/>
        </w:rPr>
        <w:t>GXO LOGISTICS, INC.,</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22"/>
          <w:szCs w:val="22"/>
          <w:color w:val="1F1F1F"/>
        </w:rPr>
        <w:t>as Company</w:t>
      </w:r>
    </w:p>
    <w:p>
      <w:pPr>
        <w:spacing w:after="0" w:line="364" w:lineRule="exact"/>
        <w:rPr>
          <w:sz w:val="20"/>
          <w:szCs w:val="20"/>
          <w:color w:val="auto"/>
        </w:rPr>
      </w:pPr>
    </w:p>
    <w:tbl>
      <w:tblPr>
        <w:tblLayout w:type="fixed"/>
        <w:tblInd w:w="5460" w:type="dxa"/>
        <w:tblCellMar>
          <w:top w:w="0" w:type="dxa"/>
          <w:left w:w="0" w:type="dxa"/>
          <w:bottom w:w="0" w:type="dxa"/>
          <w:right w:w="0" w:type="dxa"/>
        </w:tblCellMar>
      </w:tblPr>
      <w:tr>
        <w:trPr>
          <w:trHeight w:val="28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Baris Oran</w:t>
            </w:r>
          </w:p>
        </w:tc>
      </w:tr>
      <w:tr>
        <w:trPr>
          <w:trHeight w:val="293"/>
        </w:trPr>
        <w:tc>
          <w:tcPr>
            <w:tcW w:w="72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22"/>
                <w:szCs w:val="22"/>
                <w:color w:val="auto"/>
              </w:rPr>
              <w:t>Name: Baris Oran</w:t>
            </w:r>
          </w:p>
        </w:tc>
      </w:tr>
      <w:tr>
        <w:trPr>
          <w:trHeight w:val="311"/>
        </w:trPr>
        <w:tc>
          <w:tcPr>
            <w:tcW w:w="720" w:type="dxa"/>
            <w:vAlign w:val="bottom"/>
          </w:tcPr>
          <w:p>
            <w:pPr>
              <w:spacing w:after="0"/>
              <w:rPr>
                <w:sz w:val="24"/>
                <w:szCs w:val="24"/>
                <w:color w:val="auto"/>
              </w:rPr>
            </w:pPr>
          </w:p>
        </w:tc>
        <w:tc>
          <w:tcPr>
            <w:tcW w:w="5060" w:type="dxa"/>
            <w:vAlign w:val="bottom"/>
          </w:tcPr>
          <w:p>
            <w:pPr>
              <w:ind w:left="2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GXO Logistics Indenture]</w:t>
      </w:r>
    </w:p>
    <w:p>
      <w:pPr>
        <w:sectPr>
          <w:pgSz w:w="11900" w:h="16838" w:orient="portrait"/>
          <w:cols w:equalWidth="0" w:num="1">
            <w:col w:w="11240"/>
          </w:cols>
          <w:pgMar w:left="320" w:top="1428" w:right="339" w:bottom="1440" w:gutter="0" w:footer="0" w:header="0"/>
        </w:sectPr>
      </w:pPr>
    </w:p>
    <w:bookmarkStart w:id="87" w:name="page88"/>
    <w:bookmarkEnd w:id="87"/>
    <w:p>
      <w:pPr>
        <w:spacing w:after="0" w:line="36" w:lineRule="exact"/>
        <w:rPr>
          <w:sz w:val="20"/>
          <w:szCs w:val="20"/>
          <w:color w:val="auto"/>
        </w:rPr>
      </w:pPr>
    </w:p>
    <w:p>
      <w:pPr>
        <w:ind w:left="4100" w:right="900"/>
        <w:spacing w:after="0" w:line="269" w:lineRule="auto"/>
        <w:rPr>
          <w:sz w:val="20"/>
          <w:szCs w:val="20"/>
          <w:color w:val="auto"/>
        </w:rPr>
      </w:pPr>
      <w:r>
        <w:rPr>
          <w:rFonts w:ascii="Arial" w:cs="Arial" w:eastAsia="Arial" w:hAnsi="Arial"/>
          <w:sz w:val="22"/>
          <w:szCs w:val="22"/>
          <w:b w:val="1"/>
          <w:bCs w:val="1"/>
          <w:color w:val="auto"/>
        </w:rPr>
        <w:t xml:space="preserve">WELLS FARGO BANK, NATIONAL ASSOCIATION, </w:t>
      </w:r>
      <w:r>
        <w:rPr>
          <w:rFonts w:ascii="Arial" w:cs="Arial" w:eastAsia="Arial" w:hAnsi="Arial"/>
          <w:sz w:val="22"/>
          <w:szCs w:val="22"/>
          <w:color w:val="auto"/>
        </w:rPr>
        <w:t>as Trustee</w:t>
      </w:r>
    </w:p>
    <w:p>
      <w:pPr>
        <w:spacing w:after="0" w:line="200" w:lineRule="exact"/>
        <w:rPr>
          <w:sz w:val="20"/>
          <w:szCs w:val="20"/>
          <w:color w:val="auto"/>
        </w:rPr>
      </w:pPr>
    </w:p>
    <w:p>
      <w:pPr>
        <w:spacing w:after="0" w:line="346" w:lineRule="exact"/>
        <w:rPr>
          <w:sz w:val="20"/>
          <w:szCs w:val="20"/>
          <w:color w:val="auto"/>
        </w:rPr>
      </w:pPr>
    </w:p>
    <w:tbl>
      <w:tblPr>
        <w:tblLayout w:type="fixed"/>
        <w:tblInd w:w="410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Joel Odenbrett</w:t>
            </w:r>
          </w:p>
        </w:tc>
      </w:tr>
      <w:tr>
        <w:trPr>
          <w:trHeight w:val="294"/>
        </w:trPr>
        <w:tc>
          <w:tcPr>
            <w:tcW w:w="70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Arial" w:cs="Arial" w:eastAsia="Arial" w:hAnsi="Arial"/>
                <w:sz w:val="22"/>
                <w:szCs w:val="22"/>
                <w:color w:val="auto"/>
              </w:rPr>
              <w:t>Name: Joel Odenbrett</w:t>
            </w:r>
          </w:p>
        </w:tc>
      </w:tr>
      <w:tr>
        <w:trPr>
          <w:trHeight w:val="310"/>
        </w:trPr>
        <w:tc>
          <w:tcPr>
            <w:tcW w:w="700" w:type="dxa"/>
            <w:vAlign w:val="bottom"/>
          </w:tcPr>
          <w:p>
            <w:pPr>
              <w:spacing w:after="0"/>
              <w:rPr>
                <w:sz w:val="24"/>
                <w:szCs w:val="24"/>
                <w:color w:val="auto"/>
              </w:rPr>
            </w:pPr>
          </w:p>
        </w:tc>
        <w:tc>
          <w:tcPr>
            <w:tcW w:w="5320" w:type="dxa"/>
            <w:vAlign w:val="bottom"/>
          </w:tcPr>
          <w:p>
            <w:pPr>
              <w:ind w:left="20"/>
              <w:spacing w:after="0"/>
              <w:rPr>
                <w:sz w:val="20"/>
                <w:szCs w:val="20"/>
                <w:color w:val="auto"/>
              </w:rPr>
            </w:pPr>
            <w:r>
              <w:rPr>
                <w:rFonts w:ascii="Arial" w:cs="Arial" w:eastAsia="Arial" w:hAnsi="Arial"/>
                <w:sz w:val="22"/>
                <w:szCs w:val="22"/>
                <w:color w:val="auto"/>
              </w:rPr>
              <w:t>Title:  AVP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[Signature Page – GXO Logistics Indenture]</w:t>
      </w:r>
    </w:p>
    <w:p>
      <w:pPr>
        <w:sectPr>
          <w:pgSz w:w="11900" w:h="16838" w:orient="portrait"/>
          <w:cols w:equalWidth="0" w:num="1">
            <w:col w:w="10120"/>
          </w:cols>
          <w:pgMar w:left="1440" w:top="1440"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22"/>
          <w:szCs w:val="22"/>
          <w:b w:val="1"/>
          <w:bCs w:val="1"/>
          <w:color w:val="auto"/>
        </w:rPr>
        <w:t>EXHIBIT A</w:t>
      </w:r>
    </w:p>
    <w:p>
      <w:pPr>
        <w:sectPr>
          <w:pgSz w:w="11900" w:h="16838" w:orient="portrait"/>
          <w:cols w:equalWidth="0" w:num="1">
            <w:col w:w="11220"/>
          </w:cols>
          <w:pgMar w:left="320" w:top="1422" w:right="35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No.: _______</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CUSIP/ISIN No.: _______</w:t>
      </w:r>
    </w:p>
    <w:p>
      <w:pPr>
        <w:spacing w:after="0" w:line="200" w:lineRule="exact"/>
        <w:rPr>
          <w:sz w:val="20"/>
          <w:szCs w:val="20"/>
          <w:color w:val="auto"/>
        </w:rPr>
      </w:pPr>
    </w:p>
    <w:p>
      <w:pPr>
        <w:sectPr>
          <w:pgSz w:w="11900" w:h="16838" w:orient="portrait"/>
          <w:cols w:equalWidth="0" w:num="2">
            <w:col w:w="4920" w:space="720"/>
            <w:col w:w="5580"/>
          </w:cols>
          <w:pgMar w:left="320" w:top="1422" w:right="359" w:bottom="1440" w:gutter="0" w:footer="0" w:header="0"/>
          <w:type w:val="continuous"/>
        </w:sectPr>
      </w:pP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[Title of Security]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GXO Logistics,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 Delaware corporation</w:t>
      </w:r>
    </w:p>
    <w:p>
      <w:pPr>
        <w:sectPr>
          <w:pgSz w:w="11900" w:h="16838" w:orient="portrait"/>
          <w:cols w:equalWidth="0" w:num="1">
            <w:col w:w="11220"/>
          </w:cols>
          <w:pgMar w:left="320" w:top="1422" w:right="35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_______________________ or registered assigns the principal sum of _______________________ [Dollars]*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on 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Dates:_______________________ and __________________________ Record Dates: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and _______________________</w:t>
      </w:r>
    </w:p>
    <w:p>
      <w:pPr>
        <w:spacing w:after="0" w:line="148" w:lineRule="exact"/>
        <w:rPr>
          <w:sz w:val="20"/>
          <w:szCs w:val="20"/>
          <w:color w:val="auto"/>
        </w:rPr>
      </w:pPr>
    </w:p>
    <w:p>
      <w:pPr>
        <w:ind w:right="1120" w:firstLine="648"/>
        <w:spacing w:after="0" w:line="263" w:lineRule="auto"/>
        <w:rPr>
          <w:sz w:val="20"/>
          <w:szCs w:val="20"/>
          <w:color w:val="auto"/>
        </w:rPr>
      </w:pPr>
      <w:r>
        <w:rPr>
          <w:rFonts w:ascii="Arial" w:cs="Arial" w:eastAsia="Arial" w:hAnsi="Arial"/>
          <w:sz w:val="22"/>
          <w:szCs w:val="22"/>
          <w:color w:val="auto"/>
        </w:rPr>
        <w:t>*Or other currency. Insert corresponding provisions on reverse side of Security in respect of foreign currency denomination or interest payment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20"/>
          </w:cols>
          <w:pgMar w:left="320" w:top="1422" w:right="359" w:bottom="1440" w:gutter="0" w:footer="0" w:header="0"/>
          <w:type w:val="continuous"/>
        </w:sectPr>
      </w:pPr>
    </w:p>
    <w:bookmarkStart w:id="89" w:name="page90"/>
    <w:bookmarkEnd w:id="89"/>
    <w:p>
      <w:pPr>
        <w:ind w:left="640"/>
        <w:spacing w:after="0"/>
        <w:rPr>
          <w:sz w:val="20"/>
          <w:szCs w:val="20"/>
          <w:color w:val="auto"/>
        </w:rPr>
      </w:pPr>
      <w:r>
        <w:rPr>
          <w:rFonts w:ascii="Arial" w:cs="Arial" w:eastAsia="Arial" w:hAnsi="Arial"/>
          <w:sz w:val="19"/>
          <w:szCs w:val="19"/>
          <w:color w:val="auto"/>
        </w:rPr>
        <w:t>IN WITNESS WHEREOF, the parties have caused this instrument to be duly executed.</w:t>
      </w:r>
    </w:p>
    <w:p>
      <w:pPr>
        <w:spacing w:after="0" w:line="254"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398"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24130</wp:posOffset>
            </wp:positionV>
            <wp:extent cx="2974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Title: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0119"/>
          </w:cols>
          <w:pgMar w:left="340" w:top="1428" w:right="1440" w:bottom="1440" w:gutter="0" w:footer="0" w:header="0"/>
        </w:sectPr>
      </w:pPr>
    </w:p>
    <w:bookmarkStart w:id="90" w:name="page91"/>
    <w:bookmarkEnd w:id="90"/>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as Trustee, certifies that this is one of the Securities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referred to in the within 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24130</wp:posOffset>
            </wp:positionV>
            <wp:extent cx="33343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Authorized Signatory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119"/>
          </w:cols>
          <w:pgMar w:left="340" w:top="1440" w:right="144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b w:val="1"/>
          <w:bCs w:val="1"/>
          <w:color w:val="auto"/>
        </w:rPr>
        <w:t>GXO Logistics, Inc.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[Title of Security]</w:t>
      </w:r>
    </w:p>
    <w:p>
      <w:pPr>
        <w:spacing w:after="0" w:line="160" w:lineRule="exact"/>
        <w:rPr>
          <w:sz w:val="20"/>
          <w:szCs w:val="20"/>
          <w:color w:val="auto"/>
        </w:rPr>
      </w:pPr>
    </w:p>
    <w:p>
      <w:pPr>
        <w:ind w:right="300" w:firstLine="648"/>
        <w:spacing w:after="0" w:line="290" w:lineRule="auto"/>
        <w:rPr>
          <w:sz w:val="20"/>
          <w:szCs w:val="20"/>
          <w:color w:val="auto"/>
        </w:rPr>
      </w:pPr>
      <w:r>
        <w:rPr>
          <w:rFonts w:ascii="Arial" w:cs="Arial" w:eastAsia="Arial" w:hAnsi="Arial"/>
          <w:sz w:val="19"/>
          <w:szCs w:val="19"/>
          <w:color w:val="auto"/>
        </w:rPr>
        <w:t>GXO Logistics, Inc., a Delaware corporation (together with its successors and assigns, the “</w:t>
      </w:r>
      <w:r>
        <w:rPr>
          <w:rFonts w:ascii="Arial" w:cs="Arial" w:eastAsia="Arial" w:hAnsi="Arial"/>
          <w:sz w:val="19"/>
          <w:szCs w:val="19"/>
          <w:b w:val="1"/>
          <w:bCs w:val="1"/>
          <w:color w:val="auto"/>
        </w:rPr>
        <w:t>Company</w:t>
      </w:r>
      <w:r>
        <w:rPr>
          <w:rFonts w:ascii="Arial" w:cs="Arial" w:eastAsia="Arial" w:hAnsi="Arial"/>
          <w:sz w:val="19"/>
          <w:szCs w:val="19"/>
          <w:color w:val="auto"/>
        </w:rPr>
        <w:t>”), issued this Security under the Indenture dated as of July 2, 2021 (as amended, modified or supplemented from time to time in accordance therewith, the “</w:t>
      </w:r>
      <w:r>
        <w:rPr>
          <w:rFonts w:ascii="Arial" w:cs="Arial" w:eastAsia="Arial" w:hAnsi="Arial"/>
          <w:sz w:val="19"/>
          <w:szCs w:val="19"/>
          <w:b w:val="1"/>
          <w:bCs w:val="1"/>
          <w:color w:val="auto"/>
        </w:rPr>
        <w:t>Base Indenture</w:t>
      </w:r>
      <w:r>
        <w:rPr>
          <w:rFonts w:ascii="Arial" w:cs="Arial" w:eastAsia="Arial" w:hAnsi="Arial"/>
          <w:sz w:val="19"/>
          <w:szCs w:val="19"/>
          <w:color w:val="auto"/>
        </w:rPr>
        <w:t>”), as supplemented by the Supplemental Indenture dated as of _________________, (the</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by and among the Company and Wells Fargo Bank, National Association, as trustee (in such capacity, the “</w:t>
      </w:r>
      <w:r>
        <w:rPr>
          <w:rFonts w:ascii="Arial" w:cs="Arial" w:eastAsia="Arial" w:hAnsi="Arial"/>
          <w:sz w:val="21"/>
          <w:szCs w:val="21"/>
          <w:b w:val="1"/>
          <w:bCs w:val="1"/>
          <w:color w:val="auto"/>
        </w:rPr>
        <w:t>Trustee</w:t>
      </w:r>
      <w:r>
        <w:rPr>
          <w:rFonts w:ascii="Arial" w:cs="Arial" w:eastAsia="Arial" w:hAnsi="Arial"/>
          <w:sz w:val="21"/>
          <w:szCs w:val="21"/>
          <w:color w:val="auto"/>
        </w:rPr>
        <w:t>”), to which reference is hereby made for a statement of the respective rights, obligations, duties and immunities thereunder of the Company, the Trustee and the Holders and of the terms upon which this Security is authorized and delivered. All terms used in this Security that are defined in the Indenture shall have the meanings assigned to them therein. If any terms of this Security conflicts with the terms of the Indenture, the terms of the Indenture shall govern and control.</w:t>
      </w:r>
    </w:p>
    <w:p>
      <w:pPr>
        <w:spacing w:after="0" w:line="126" w:lineRule="exact"/>
        <w:rPr>
          <w:sz w:val="20"/>
          <w:szCs w:val="20"/>
          <w:color w:val="auto"/>
        </w:rPr>
      </w:pPr>
    </w:p>
    <w:p>
      <w:pPr>
        <w:ind w:right="120" w:firstLine="656"/>
        <w:spacing w:after="0" w:line="288" w:lineRule="auto"/>
        <w:tabs>
          <w:tab w:leader="none" w:pos="102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Interest. </w:t>
      </w:r>
      <w:r>
        <w:rPr>
          <w:rFonts w:ascii="Arial" w:cs="Arial" w:eastAsia="Arial" w:hAnsi="Arial"/>
          <w:sz w:val="19"/>
          <w:szCs w:val="19"/>
          <w:color w:val="auto"/>
        </w:rPr>
        <w:t>The Company promises to pay interest on the principal amount of this Security at the rate of [ ] per year.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pay interest semi-annually in arrears on _________________ and _________________ of each year, beginning on _________________, _______, until the principal is paid or made available for payment. Interest on the Securities will accrue from the most recent date to which interest has been paid or duly provided for or, if no interest has been paid, from</w:t>
      </w:r>
    </w:p>
    <w:p>
      <w:pPr>
        <w:spacing w:after="0" w:line="1" w:lineRule="exact"/>
        <w:rPr>
          <w:rFonts w:ascii="Arial" w:cs="Arial" w:eastAsia="Arial" w:hAnsi="Arial"/>
          <w:sz w:val="19"/>
          <w:szCs w:val="19"/>
          <w:b w:val="1"/>
          <w:bCs w:val="1"/>
          <w:color w:val="auto"/>
        </w:rPr>
      </w:pPr>
    </w:p>
    <w:p>
      <w:pPr>
        <w:ind w:right="320"/>
        <w:spacing w:after="0" w:line="295" w:lineRule="auto"/>
        <w:rPr>
          <w:rFonts w:ascii="Arial" w:cs="Arial" w:eastAsia="Arial" w:hAnsi="Arial"/>
          <w:sz w:val="19"/>
          <w:szCs w:val="19"/>
          <w:b w:val="1"/>
          <w:bCs w:val="1"/>
          <w:color w:val="auto"/>
        </w:rPr>
      </w:pPr>
      <w:r>
        <w:rPr>
          <w:rFonts w:ascii="Arial" w:cs="Arial" w:eastAsia="Arial" w:hAnsi="Arial"/>
          <w:sz w:val="19"/>
          <w:szCs w:val="19"/>
          <w:color w:val="auto"/>
        </w:rPr>
        <w:t xml:space="preserve">_________________, _______,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Security is authenticated between a record date referred to on the face hereof and the next succeeding interest payment date, interest shall accrue from such interest payment date. Interest will be computed on the basis of a 360-day year comprised of twelve 30-day months, at the office or agency of the Company maintained for that purpose in accordance with the Indenture.</w:t>
      </w:r>
    </w:p>
    <w:p>
      <w:pPr>
        <w:spacing w:after="0" w:line="89" w:lineRule="exact"/>
        <w:rPr>
          <w:rFonts w:ascii="Arial" w:cs="Arial" w:eastAsia="Arial" w:hAnsi="Arial"/>
          <w:sz w:val="19"/>
          <w:szCs w:val="19"/>
          <w:b w:val="1"/>
          <w:bCs w:val="1"/>
          <w:color w:val="auto"/>
        </w:rPr>
      </w:pPr>
    </w:p>
    <w:p>
      <w:pPr>
        <w:ind w:right="60" w:firstLine="656"/>
        <w:spacing w:after="0" w:line="290" w:lineRule="auto"/>
        <w:tabs>
          <w:tab w:leader="none" w:pos="1026"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Method of Payment. </w:t>
      </w:r>
      <w:r>
        <w:rPr>
          <w:rFonts w:ascii="Arial" w:cs="Arial" w:eastAsia="Arial" w:hAnsi="Arial"/>
          <w:sz w:val="19"/>
          <w:szCs w:val="19"/>
          <w:color w:val="auto"/>
        </w:rPr>
        <w:t>The Company will pay interest on this Security (except defaulted interest, if any, which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paid on a special payment date to Holders of record on such special record date as may be fixed by the Company) to the persons in whose name this Security is registered at the close of business on the _________________ or _________________</w:t>
      </w:r>
    </w:p>
    <w:p>
      <w:pPr>
        <w:spacing w:after="0" w:line="1" w:lineRule="exact"/>
        <w:rPr>
          <w:rFonts w:ascii="Arial" w:cs="Arial" w:eastAsia="Arial" w:hAnsi="Arial"/>
          <w:sz w:val="19"/>
          <w:szCs w:val="19"/>
          <w:b w:val="1"/>
          <w:bCs w:val="1"/>
          <w:color w:val="auto"/>
        </w:rPr>
      </w:pPr>
    </w:p>
    <w:p>
      <w:pPr>
        <w:ind w:right="380"/>
        <w:spacing w:after="0" w:line="269" w:lineRule="auto"/>
        <w:rPr>
          <w:rFonts w:ascii="Arial" w:cs="Arial" w:eastAsia="Arial" w:hAnsi="Arial"/>
          <w:sz w:val="19"/>
          <w:szCs w:val="19"/>
          <w:b w:val="1"/>
          <w:bCs w:val="1"/>
          <w:color w:val="auto"/>
        </w:rPr>
      </w:pPr>
      <w:r>
        <w:rPr>
          <w:rFonts w:ascii="Arial" w:cs="Arial" w:eastAsia="Arial" w:hAnsi="Arial"/>
          <w:sz w:val="21"/>
          <w:szCs w:val="21"/>
          <w:color w:val="auto"/>
        </w:rPr>
        <w:t>immediately preceding the interest payment date. The Company will pay principal and interest in money of [Insert applicable country or currency] that at the time of payment is legal tender for payment of public and private debts.</w:t>
      </w:r>
    </w:p>
    <w:p>
      <w:pPr>
        <w:spacing w:after="0" w:line="109" w:lineRule="exact"/>
        <w:rPr>
          <w:rFonts w:ascii="Arial" w:cs="Arial" w:eastAsia="Arial" w:hAnsi="Arial"/>
          <w:sz w:val="19"/>
          <w:szCs w:val="19"/>
          <w:b w:val="1"/>
          <w:bCs w:val="1"/>
          <w:color w:val="auto"/>
        </w:rPr>
      </w:pPr>
    </w:p>
    <w:p>
      <w:pPr>
        <w:jc w:val="both"/>
        <w:ind w:firstLine="656"/>
        <w:spacing w:after="0" w:line="256" w:lineRule="auto"/>
        <w:tabs>
          <w:tab w:leader="none" w:pos="1026"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Paying Agent and Registrar. </w:t>
      </w:r>
      <w:r>
        <w:rPr>
          <w:rFonts w:ascii="Arial" w:cs="Arial" w:eastAsia="Arial" w:hAnsi="Arial"/>
          <w:sz w:val="22"/>
          <w:szCs w:val="22"/>
          <w:color w:val="auto"/>
        </w:rPr>
        <w:t>Initially, the Trustee will act as Paying Agent and Registrar. The Company may change</w:t>
      </w:r>
      <w:r>
        <w:rPr>
          <w:rFonts w:ascii="Arial" w:cs="Arial" w:eastAsia="Arial" w:hAnsi="Arial"/>
          <w:sz w:val="22"/>
          <w:szCs w:val="22"/>
          <w:b w:val="1"/>
          <w:bCs w:val="1"/>
          <w:color w:val="auto"/>
        </w:rPr>
        <w:t xml:space="preserve"> </w:t>
      </w:r>
      <w:r>
        <w:rPr>
          <w:rFonts w:ascii="Arial" w:cs="Arial" w:eastAsia="Arial" w:hAnsi="Arial"/>
          <w:sz w:val="22"/>
          <w:szCs w:val="22"/>
          <w:color w:val="auto"/>
        </w:rPr>
        <w:t>or appoint any Paying Agent, Registrar or co-Registrar in accordance with the Indenture. The Company or any of its Subsidiaries or any of their Affiliates may act as Paying Agent, Registrar or co-Registrar.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20"/>
          </w:cols>
          <w:pgMar w:left="320" w:top="1422" w:right="359" w:bottom="1440" w:gutter="0" w:footer="0" w:header="0"/>
        </w:sectPr>
      </w:pPr>
    </w:p>
    <w:bookmarkStart w:id="92" w:name="page93"/>
    <w:bookmarkEnd w:id="92"/>
    <w:p>
      <w:pPr>
        <w:ind w:right="640" w:firstLine="656"/>
        <w:spacing w:after="0" w:line="269" w:lineRule="auto"/>
        <w:tabs>
          <w:tab w:leader="none" w:pos="1026"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Optional Redemption. </w:t>
      </w:r>
      <w:r>
        <w:rPr>
          <w:rFonts w:ascii="Arial" w:cs="Arial" w:eastAsia="Arial" w:hAnsi="Arial"/>
          <w:sz w:val="22"/>
          <w:szCs w:val="22"/>
          <w:color w:val="auto"/>
        </w:rPr>
        <w:t>[Insert provisions relating to redemption at the option of the Company, if any] [Insert</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relating to redemption at option of Holders, if any]</w:t>
      </w:r>
    </w:p>
    <w:p>
      <w:pPr>
        <w:spacing w:after="0" w:line="107" w:lineRule="exact"/>
        <w:rPr>
          <w:rFonts w:ascii="Arial" w:cs="Arial" w:eastAsia="Arial" w:hAnsi="Arial"/>
          <w:sz w:val="22"/>
          <w:szCs w:val="22"/>
          <w:b w:val="1"/>
          <w:bCs w:val="1"/>
          <w:color w:val="auto"/>
        </w:rPr>
      </w:pPr>
    </w:p>
    <w:p>
      <w:pPr>
        <w:ind w:left="1040" w:hanging="384"/>
        <w:spacing w:after="0"/>
        <w:tabs>
          <w:tab w:leader="none" w:pos="10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Mandatory Redemption. </w:t>
      </w:r>
      <w:r>
        <w:rPr>
          <w:rFonts w:ascii="Arial" w:cs="Arial" w:eastAsia="Arial" w:hAnsi="Arial"/>
          <w:sz w:val="22"/>
          <w:szCs w:val="22"/>
          <w:color w:val="auto"/>
        </w:rPr>
        <w:t>[Insert provisions relating to mandatory redemption, if any]</w:t>
      </w:r>
    </w:p>
    <w:p>
      <w:pPr>
        <w:spacing w:after="0" w:line="165" w:lineRule="exact"/>
        <w:rPr>
          <w:rFonts w:ascii="Arial" w:cs="Arial" w:eastAsia="Arial" w:hAnsi="Arial"/>
          <w:sz w:val="22"/>
          <w:szCs w:val="22"/>
          <w:b w:val="1"/>
          <w:bCs w:val="1"/>
          <w:color w:val="auto"/>
        </w:rPr>
      </w:pPr>
    </w:p>
    <w:p>
      <w:pPr>
        <w:ind w:left="1040" w:hanging="384"/>
        <w:spacing w:after="0"/>
        <w:tabs>
          <w:tab w:leader="none" w:pos="104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Persons Deemed Owners. </w:t>
      </w:r>
      <w:r>
        <w:rPr>
          <w:rFonts w:ascii="Arial" w:cs="Arial" w:eastAsia="Arial" w:hAnsi="Arial"/>
          <w:sz w:val="19"/>
          <w:szCs w:val="19"/>
          <w:color w:val="auto"/>
        </w:rPr>
        <w:t>The registered Holder of this Security shall be treated as the owner of it for all purposes.</w:t>
      </w:r>
    </w:p>
    <w:p>
      <w:pPr>
        <w:spacing w:after="0" w:line="200" w:lineRule="exact"/>
        <w:rPr>
          <w:rFonts w:ascii="Arial" w:cs="Arial" w:eastAsia="Arial" w:hAnsi="Arial"/>
          <w:sz w:val="19"/>
          <w:szCs w:val="19"/>
          <w:b w:val="1"/>
          <w:bCs w:val="1"/>
          <w:color w:val="auto"/>
        </w:rPr>
      </w:pPr>
    </w:p>
    <w:p>
      <w:pPr>
        <w:ind w:right="120" w:firstLine="656"/>
        <w:spacing w:after="0" w:line="252" w:lineRule="auto"/>
        <w:tabs>
          <w:tab w:leader="none" w:pos="1026"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Unclaimed Money. </w:t>
      </w:r>
      <w:r>
        <w:rPr>
          <w:rFonts w:ascii="Arial" w:cs="Arial" w:eastAsia="Arial" w:hAnsi="Arial"/>
          <w:sz w:val="22"/>
          <w:szCs w:val="22"/>
          <w:color w:val="auto"/>
        </w:rPr>
        <w:t>All amounts of principal of and premium, if any, and interest on this Security paid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the Trustee or Paying Agent that remain unclaimed for two years will be repaid to the Company, and the Holder of this Security will thereafter look solely to the Company for payment unless applicable abandoned property law designates another Person.</w:t>
      </w:r>
    </w:p>
    <w:p>
      <w:pPr>
        <w:spacing w:after="0" w:line="125" w:lineRule="exact"/>
        <w:rPr>
          <w:rFonts w:ascii="Arial" w:cs="Arial" w:eastAsia="Arial" w:hAnsi="Arial"/>
          <w:sz w:val="22"/>
          <w:szCs w:val="22"/>
          <w:b w:val="1"/>
          <w:bCs w:val="1"/>
          <w:color w:val="auto"/>
        </w:rPr>
      </w:pPr>
    </w:p>
    <w:p>
      <w:pPr>
        <w:ind w:right="60" w:firstLine="656"/>
        <w:spacing w:after="0" w:line="269" w:lineRule="auto"/>
        <w:tabs>
          <w:tab w:leader="none" w:pos="1014"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Supplement, Waiver. </w:t>
      </w:r>
      <w:r>
        <w:rPr>
          <w:rFonts w:ascii="Arial" w:cs="Arial" w:eastAsia="Arial" w:hAnsi="Arial"/>
          <w:sz w:val="22"/>
          <w:szCs w:val="22"/>
          <w:color w:val="auto"/>
        </w:rPr>
        <w:t>The Indenture or this Security may be amended or supplemented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of the Indenture.</w:t>
      </w:r>
    </w:p>
    <w:p>
      <w:pPr>
        <w:spacing w:after="0" w:line="107" w:lineRule="exact"/>
        <w:rPr>
          <w:rFonts w:ascii="Arial" w:cs="Arial" w:eastAsia="Arial" w:hAnsi="Arial"/>
          <w:sz w:val="22"/>
          <w:szCs w:val="22"/>
          <w:b w:val="1"/>
          <w:bCs w:val="1"/>
          <w:color w:val="auto"/>
        </w:rPr>
      </w:pPr>
    </w:p>
    <w:p>
      <w:pPr>
        <w:ind w:right="140" w:firstLine="656"/>
        <w:spacing w:after="0" w:line="256" w:lineRule="auto"/>
        <w:tabs>
          <w:tab w:leader="none" w:pos="1026"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 Person. </w:t>
      </w:r>
      <w:r>
        <w:rPr>
          <w:rFonts w:ascii="Arial" w:cs="Arial" w:eastAsia="Arial" w:hAnsi="Arial"/>
          <w:sz w:val="22"/>
          <w:szCs w:val="22"/>
          <w:color w:val="auto"/>
        </w:rPr>
        <w:t>When a successor Person assumes all the obligations of its predecessor under the Securities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Indenture, the predecessor Person will be released from those obligations, in accordance with and except as set forth in the Indenture.</w:t>
      </w:r>
    </w:p>
    <w:p>
      <w:pPr>
        <w:spacing w:after="0" w:line="122" w:lineRule="exact"/>
        <w:rPr>
          <w:rFonts w:ascii="Arial" w:cs="Arial" w:eastAsia="Arial" w:hAnsi="Arial"/>
          <w:sz w:val="22"/>
          <w:szCs w:val="22"/>
          <w:b w:val="1"/>
          <w:bCs w:val="1"/>
          <w:color w:val="auto"/>
        </w:rPr>
      </w:pPr>
    </w:p>
    <w:p>
      <w:pPr>
        <w:ind w:firstLine="656"/>
        <w:spacing w:after="0" w:line="267" w:lineRule="auto"/>
        <w:tabs>
          <w:tab w:leader="none" w:pos="1134"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Recourse Against Others. </w:t>
      </w:r>
      <w:r>
        <w:rPr>
          <w:rFonts w:ascii="Arial" w:cs="Arial" w:eastAsia="Arial" w:hAnsi="Arial"/>
          <w:sz w:val="21"/>
          <w:szCs w:val="21"/>
          <w:color w:val="auto"/>
        </w:rPr>
        <w:t>A director, officer, employee or stockholder, as such, of the Company shall not have</w:t>
      </w:r>
      <w:r>
        <w:rPr>
          <w:rFonts w:ascii="Arial" w:cs="Arial" w:eastAsia="Arial" w:hAnsi="Arial"/>
          <w:sz w:val="21"/>
          <w:szCs w:val="21"/>
          <w:b w:val="1"/>
          <w:bCs w:val="1"/>
          <w:color w:val="auto"/>
        </w:rPr>
        <w:t xml:space="preserve"> </w:t>
      </w:r>
      <w:r>
        <w:rPr>
          <w:rFonts w:ascii="Arial" w:cs="Arial" w:eastAsia="Arial" w:hAnsi="Arial"/>
          <w:sz w:val="21"/>
          <w:szCs w:val="21"/>
          <w:color w:val="auto"/>
        </w:rPr>
        <w:t>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13" w:lineRule="exact"/>
        <w:rPr>
          <w:rFonts w:ascii="Arial" w:cs="Arial" w:eastAsia="Arial" w:hAnsi="Arial"/>
          <w:sz w:val="21"/>
          <w:szCs w:val="21"/>
          <w:b w:val="1"/>
          <w:bCs w:val="1"/>
          <w:color w:val="auto"/>
        </w:rPr>
      </w:pPr>
    </w:p>
    <w:p>
      <w:pPr>
        <w:ind w:right="160" w:firstLine="656"/>
        <w:spacing w:after="0" w:line="269" w:lineRule="auto"/>
        <w:tabs>
          <w:tab w:leader="none" w:pos="112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Discharge of Indenture. </w:t>
      </w:r>
      <w:r>
        <w:rPr>
          <w:rFonts w:ascii="Arial" w:cs="Arial" w:eastAsia="Arial" w:hAnsi="Arial"/>
          <w:sz w:val="22"/>
          <w:szCs w:val="22"/>
          <w:color w:val="auto"/>
        </w:rPr>
        <w:t>The Indenture contains certain provisions pertaining to defeasance and discharge, which</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shall for all purposes have the same effect as if set forth herein.</w:t>
      </w:r>
    </w:p>
    <w:p>
      <w:pPr>
        <w:spacing w:after="0" w:line="107" w:lineRule="exact"/>
        <w:rPr>
          <w:rFonts w:ascii="Arial" w:cs="Arial" w:eastAsia="Arial" w:hAnsi="Arial"/>
          <w:sz w:val="22"/>
          <w:szCs w:val="22"/>
          <w:b w:val="1"/>
          <w:bCs w:val="1"/>
          <w:color w:val="auto"/>
        </w:rPr>
      </w:pPr>
    </w:p>
    <w:p>
      <w:pPr>
        <w:ind w:right="380" w:firstLine="656"/>
        <w:spacing w:after="0" w:line="269" w:lineRule="auto"/>
        <w:tabs>
          <w:tab w:leader="none" w:pos="112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Authentication. </w:t>
      </w:r>
      <w:r>
        <w:rPr>
          <w:rFonts w:ascii="Arial" w:cs="Arial" w:eastAsia="Arial" w:hAnsi="Arial"/>
          <w:sz w:val="22"/>
          <w:szCs w:val="22"/>
          <w:color w:val="auto"/>
        </w:rPr>
        <w:t>This Security shall not be valid until an authorized signatory of the Trustee manually signs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of authentication on the other side of this Security.</w:t>
      </w:r>
    </w:p>
    <w:p>
      <w:pPr>
        <w:spacing w:after="0" w:line="107" w:lineRule="exact"/>
        <w:rPr>
          <w:rFonts w:ascii="Arial" w:cs="Arial" w:eastAsia="Arial" w:hAnsi="Arial"/>
          <w:sz w:val="22"/>
          <w:szCs w:val="22"/>
          <w:b w:val="1"/>
          <w:bCs w:val="1"/>
          <w:color w:val="auto"/>
        </w:rPr>
      </w:pPr>
    </w:p>
    <w:p>
      <w:pPr>
        <w:ind w:right="100" w:firstLine="656"/>
        <w:spacing w:after="0" w:line="256" w:lineRule="auto"/>
        <w:tabs>
          <w:tab w:leader="none" w:pos="1122"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Abbreviations. </w:t>
      </w:r>
      <w:r>
        <w:rPr>
          <w:rFonts w:ascii="Arial" w:cs="Arial" w:eastAsia="Arial" w:hAnsi="Arial"/>
          <w:sz w:val="22"/>
          <w:szCs w:val="22"/>
          <w:color w:val="auto"/>
        </w:rPr>
        <w:t>Customary abbreviations may be used in the name of a Holder or an assignee, such as: TEN COM</w:t>
      </w:r>
      <w:r>
        <w:rPr>
          <w:rFonts w:ascii="Arial" w:cs="Arial" w:eastAsia="Arial" w:hAnsi="Arial"/>
          <w:sz w:val="22"/>
          <w:szCs w:val="22"/>
          <w:b w:val="1"/>
          <w:bCs w:val="1"/>
          <w:color w:val="auto"/>
        </w:rPr>
        <w:t xml:space="preserve"> </w:t>
      </w:r>
      <w:r>
        <w:rPr>
          <w:rFonts w:ascii="Arial" w:cs="Arial" w:eastAsia="Arial" w:hAnsi="Arial"/>
          <w:sz w:val="22"/>
          <w:szCs w:val="22"/>
          <w:color w:val="auto"/>
        </w:rPr>
        <w:t>(= tenants in common), TEN ENT (= tenants by the entireties), JT TEN (= joint tenants with right of survivorship and not as tenants in common), CUST (= custodian), and U/G/M/A (= Uniform Gift to Minors Act).</w:t>
      </w:r>
    </w:p>
    <w:p>
      <w:pPr>
        <w:spacing w:after="0" w:line="122" w:lineRule="exact"/>
        <w:rPr>
          <w:rFonts w:ascii="Arial" w:cs="Arial" w:eastAsia="Arial" w:hAnsi="Arial"/>
          <w:sz w:val="22"/>
          <w:szCs w:val="22"/>
          <w:b w:val="1"/>
          <w:bCs w:val="1"/>
          <w:color w:val="auto"/>
        </w:rPr>
      </w:pPr>
    </w:p>
    <w:p>
      <w:pPr>
        <w:ind w:left="1140" w:hanging="484"/>
        <w:spacing w:after="0"/>
        <w:tabs>
          <w:tab w:leader="none" w:pos="114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Security shall be governed by and construed in accordance with the laws of the State of</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140"/>
          </w:cols>
          <w:pgMar w:left="320" w:top="1422" w:right="439" w:bottom="1440" w:gutter="0" w:footer="0" w:header="0"/>
        </w:sectPr>
      </w:pPr>
    </w:p>
    <w:bookmarkStart w:id="93" w:name="page94"/>
    <w:bookmarkEnd w:id="93"/>
    <w:p>
      <w:pPr>
        <w:ind w:left="-100" w:firstLine="656"/>
        <w:spacing w:after="0" w:line="264" w:lineRule="auto"/>
        <w:tabs>
          <w:tab w:leader="none" w:pos="1034"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CUSIP and ISIN Numbers. </w:t>
      </w:r>
      <w:r>
        <w:rPr>
          <w:rFonts w:ascii="Arial" w:cs="Arial" w:eastAsia="Arial" w:hAnsi="Arial"/>
          <w:sz w:val="21"/>
          <w:szCs w:val="21"/>
          <w:color w:val="auto"/>
        </w:rPr>
        <w:t>Pursuant to a recommendation promulgated by the Committee on Uniform Security</w:t>
      </w:r>
      <w:r>
        <w:rPr>
          <w:rFonts w:ascii="Arial" w:cs="Arial" w:eastAsia="Arial" w:hAnsi="Arial"/>
          <w:sz w:val="21"/>
          <w:szCs w:val="21"/>
          <w:b w:val="1"/>
          <w:bCs w:val="1"/>
          <w:color w:val="auto"/>
        </w:rPr>
        <w:t xml:space="preserve"> </w:t>
      </w:r>
      <w:r>
        <w:rPr>
          <w:rFonts w:ascii="Arial" w:cs="Arial" w:eastAsia="Arial" w:hAnsi="Arial"/>
          <w:sz w:val="21"/>
          <w:szCs w:val="21"/>
          <w:color w:val="auto"/>
        </w:rPr>
        <w:t>Identification Procedures, the Company has caused CUSIP and ISIN numbers to be printed on the Securities and has directed the Trustee to use CUSIP and ISIN numbers in notices of repurchase as a convenience to Holders. No representation is made as to the accuracy of such numbers either as printed on the Securities or as contained in any notice of repurchase and reliance may be placed only on the other identification numbers placed thereon.</w:t>
      </w:r>
    </w:p>
    <w:p>
      <w:pPr>
        <w:spacing w:after="0" w:line="116" w:lineRule="exact"/>
        <w:rPr>
          <w:rFonts w:ascii="Arial" w:cs="Arial" w:eastAsia="Arial" w:hAnsi="Arial"/>
          <w:sz w:val="21"/>
          <w:szCs w:val="21"/>
          <w:b w:val="1"/>
          <w:bCs w:val="1"/>
          <w:color w:val="auto"/>
        </w:rPr>
      </w:pPr>
    </w:p>
    <w:p>
      <w:pPr>
        <w:ind w:left="-100" w:right="160" w:firstLine="656"/>
        <w:spacing w:after="0" w:line="256" w:lineRule="auto"/>
        <w:tabs>
          <w:tab w:leader="none" w:pos="1034"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Copies. </w:t>
      </w:r>
      <w:r>
        <w:rPr>
          <w:rFonts w:ascii="Arial" w:cs="Arial" w:eastAsia="Arial" w:hAnsi="Arial"/>
          <w:sz w:val="22"/>
          <w:szCs w:val="22"/>
          <w:color w:val="auto"/>
        </w:rPr>
        <w:t>The Company will furnish to any Holder upon written request and without charge a copy of the Indenture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applicable Authorizing Resolution or supplemental indenture. Requests may be made to: GXO Logistics, Inc., Two American Lane, Greenwich, CT 06831, Attention: Baris Oran.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060"/>
          </w:cols>
          <w:pgMar w:left="420" w:top="1422" w:right="419" w:bottom="1440" w:gutter="0" w:footer="0" w:header="0"/>
        </w:sectPr>
      </w:pPr>
    </w:p>
    <w:bookmarkStart w:id="94" w:name="page95"/>
    <w:bookmarkEnd w:id="94"/>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Security, fill in the form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or we assign and transfer this Security to _________________________________ (insert assignee’s social security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802005</wp:posOffset>
            </wp:positionV>
            <wp:extent cx="40119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630555</wp:posOffset>
            </wp:positionV>
            <wp:extent cx="4011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459105</wp:posOffset>
            </wp:positionV>
            <wp:extent cx="40119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287655</wp:posOffset>
            </wp:positionV>
            <wp:extent cx="40119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(Print or type assignee’s name, address, and zip code)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agent to transfer this Security on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books of the Company. 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24130</wp:posOffset>
            </wp:positionV>
            <wp:extent cx="66008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51"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Your signature</w:t>
      </w:r>
    </w:p>
    <w:p>
      <w:pPr>
        <w:spacing w:after="0" w:line="58" w:lineRule="exact"/>
        <w:rPr>
          <w:sz w:val="20"/>
          <w:szCs w:val="20"/>
          <w:color w:val="auto"/>
        </w:rPr>
      </w:pPr>
    </w:p>
    <w:p>
      <w:pPr>
        <w:ind w:left="6480"/>
        <w:spacing w:after="0"/>
        <w:rPr>
          <w:sz w:val="20"/>
          <w:szCs w:val="20"/>
          <w:color w:val="auto"/>
        </w:rPr>
      </w:pPr>
      <w:r>
        <w:rPr>
          <w:rFonts w:ascii="Arial" w:cs="Arial" w:eastAsia="Arial" w:hAnsi="Arial"/>
          <w:sz w:val="19"/>
          <w:szCs w:val="19"/>
          <w:color w:val="auto"/>
        </w:rPr>
        <w:t>(Sign exactly as your name appears on the other side</w:t>
      </w:r>
    </w:p>
    <w:p>
      <w:pPr>
        <w:spacing w:after="0" w:line="56"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of this Security)</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3669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140"/>
          </w:cols>
          <w:pgMar w:left="320" w:top="1422"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GXO LOGISTICS,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the Company</w:t>
      </w:r>
    </w:p>
    <w:p>
      <w:pPr>
        <w:spacing w:after="0" w:line="19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390525</wp:posOffset>
            </wp:positionV>
            <wp:extent cx="2280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1.650% Notes due 2026</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2.650%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405130</wp:posOffset>
            </wp:positionV>
            <wp:extent cx="2280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First Supplemental Indenture</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July 2, 2021</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Indenture dated as of July 2, 2021</w:t>
      </w:r>
    </w:p>
    <w:p>
      <w:pPr>
        <w:sectPr>
          <w:pgSz w:w="11900" w:h="16838" w:orient="portrait"/>
          <w:cols w:equalWidth="0" w:num="1">
            <w:col w:w="10120"/>
          </w:cols>
          <w:pgMar w:left="144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62230</wp:posOffset>
            </wp:positionV>
            <wp:extent cx="22028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680" w:type="dxa"/>
            <w:vAlign w:val="bottom"/>
            <w:gridSpan w:val="3"/>
          </w:tcPr>
          <w:p>
            <w:pPr>
              <w:jc w:val="right"/>
              <w:ind w:right="180"/>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AGE</w:t>
            </w:r>
          </w:p>
        </w:tc>
      </w:tr>
      <w:tr>
        <w:trPr>
          <w:trHeight w:val="49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1</w:t>
            </w:r>
          </w:p>
        </w:tc>
        <w:tc>
          <w:tcPr>
            <w:tcW w:w="10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 AND</w:t>
            </w:r>
            <w:r>
              <w:rPr>
                <w:rFonts w:ascii="Arial" w:cs="Arial" w:eastAsia="Arial" w:hAnsi="Arial"/>
                <w:sz w:val="22"/>
                <w:szCs w:val="22"/>
                <w:color w:val="auto"/>
              </w:rPr>
              <w:t xml:space="preserve"> O</w:t>
            </w:r>
            <w:r>
              <w:rPr>
                <w:rFonts w:ascii="Arial" w:cs="Arial" w:eastAsia="Arial" w:hAnsi="Arial"/>
                <w:sz w:val="17"/>
                <w:szCs w:val="17"/>
                <w:color w:val="auto"/>
              </w:rPr>
              <w:t>THER</w:t>
            </w:r>
            <w:r>
              <w:rPr>
                <w:rFonts w:ascii="Arial" w:cs="Arial" w:eastAsia="Arial" w:hAnsi="Arial"/>
                <w:sz w:val="22"/>
                <w:szCs w:val="22"/>
                <w:color w:val="auto"/>
              </w:rPr>
              <w:t xml:space="preserve"> P</w:t>
            </w:r>
            <w:r>
              <w:rPr>
                <w:rFonts w:ascii="Arial" w:cs="Arial" w:eastAsia="Arial" w:hAnsi="Arial"/>
                <w:sz w:val="17"/>
                <w:szCs w:val="17"/>
                <w:color w:val="auto"/>
              </w:rPr>
              <w:t>ROVISIONS OF</w:t>
            </w:r>
            <w:r>
              <w:rPr>
                <w:rFonts w:ascii="Arial" w:cs="Arial" w:eastAsia="Arial" w:hAnsi="Arial"/>
                <w:sz w:val="22"/>
                <w:szCs w:val="22"/>
                <w:color w:val="auto"/>
              </w:rPr>
              <w:t xml:space="preserve"> G</w:t>
            </w:r>
            <w:r>
              <w:rPr>
                <w:rFonts w:ascii="Arial" w:cs="Arial" w:eastAsia="Arial" w:hAnsi="Arial"/>
                <w:sz w:val="17"/>
                <w:szCs w:val="17"/>
                <w:color w:val="auto"/>
              </w:rPr>
              <w:t>ENERAL</w:t>
            </w:r>
            <w:r>
              <w:rPr>
                <w:rFonts w:ascii="Arial" w:cs="Arial" w:eastAsia="Arial" w:hAnsi="Arial"/>
                <w:sz w:val="22"/>
                <w:szCs w:val="22"/>
                <w:color w:val="auto"/>
              </w:rPr>
              <w:t xml:space="preserve"> A</w:t>
            </w:r>
            <w:r>
              <w:rPr>
                <w:rFonts w:ascii="Arial" w:cs="Arial" w:eastAsia="Arial" w:hAnsi="Arial"/>
                <w:sz w:val="17"/>
                <w:szCs w:val="17"/>
                <w:color w:val="auto"/>
              </w:rPr>
              <w:t>PPLICATION</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1.01.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Definitions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1600" w:type="dxa"/>
            <w:vAlign w:val="bottom"/>
          </w:tcPr>
          <w:p>
            <w:pPr>
              <w:spacing w:after="0"/>
              <w:rPr>
                <w:sz w:val="20"/>
                <w:szCs w:val="20"/>
                <w:color w:val="auto"/>
              </w:rPr>
            </w:pPr>
            <w:r>
              <w:rPr>
                <w:rFonts w:ascii="Arial" w:cs="Arial" w:eastAsia="Arial" w:hAnsi="Arial"/>
                <w:sz w:val="22"/>
                <w:szCs w:val="22"/>
                <w:color w:val="auto"/>
              </w:rPr>
              <w:t>Section 1.02.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Conflicts with Base Indenture</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8</w:t>
            </w:r>
          </w:p>
        </w:tc>
      </w:tr>
      <w:tr>
        <w:trPr>
          <w:trHeight w:val="473"/>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2</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8"/>
              </w:rPr>
              <w:t>F</w:t>
            </w:r>
            <w:r>
              <w:rPr>
                <w:rFonts w:ascii="Arial" w:cs="Arial" w:eastAsia="Arial" w:hAnsi="Arial"/>
                <w:sz w:val="17"/>
                <w:szCs w:val="17"/>
                <w:color w:val="auto"/>
                <w:w w:val="98"/>
              </w:rPr>
              <w:t>ORM OF</w:t>
            </w:r>
            <w:r>
              <w:rPr>
                <w:rFonts w:ascii="Arial" w:cs="Arial" w:eastAsia="Arial" w:hAnsi="Arial"/>
                <w:sz w:val="22"/>
                <w:szCs w:val="22"/>
                <w:color w:val="auto"/>
                <w:w w:val="98"/>
              </w:rPr>
              <w:t xml:space="preserve"> N</w:t>
            </w:r>
            <w:r>
              <w:rPr>
                <w:rFonts w:ascii="Arial" w:cs="Arial" w:eastAsia="Arial" w:hAnsi="Arial"/>
                <w:sz w:val="17"/>
                <w:szCs w:val="17"/>
                <w:color w:val="auto"/>
                <w:w w:val="98"/>
              </w:rPr>
              <w:t>OTES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2.01.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Form of Notes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2.02.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Special Transfer Provisions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10</w:t>
            </w:r>
          </w:p>
        </w:tc>
      </w:tr>
      <w:tr>
        <w:trPr>
          <w:trHeight w:val="459"/>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3</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1"/>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8"/>
              </w:rPr>
              <w:t>T</w:t>
            </w:r>
            <w:r>
              <w:rPr>
                <w:rFonts w:ascii="Arial" w:cs="Arial" w:eastAsia="Arial" w:hAnsi="Arial"/>
                <w:sz w:val="17"/>
                <w:szCs w:val="17"/>
                <w:color w:val="auto"/>
                <w:w w:val="98"/>
              </w:rPr>
              <w:t>HE</w:t>
            </w:r>
            <w:r>
              <w:rPr>
                <w:rFonts w:ascii="Arial" w:cs="Arial" w:eastAsia="Arial" w:hAnsi="Arial"/>
                <w:sz w:val="22"/>
                <w:szCs w:val="22"/>
                <w:color w:val="auto"/>
                <w:w w:val="98"/>
              </w:rPr>
              <w:t xml:space="preserve"> N</w:t>
            </w:r>
            <w:r>
              <w:rPr>
                <w:rFonts w:ascii="Arial" w:cs="Arial" w:eastAsia="Arial" w:hAnsi="Arial"/>
                <w:sz w:val="17"/>
                <w:szCs w:val="17"/>
                <w:color w:val="auto"/>
                <w:w w:val="98"/>
              </w:rPr>
              <w:t>OTES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3.01.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Amount; Series; Terms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3.02.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Denominations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3.03.</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Book-entry Provisions for Global Securities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600" w:type="dxa"/>
            <w:vAlign w:val="bottom"/>
          </w:tcPr>
          <w:p>
            <w:pPr>
              <w:spacing w:after="0"/>
              <w:rPr>
                <w:sz w:val="20"/>
                <w:szCs w:val="20"/>
                <w:color w:val="auto"/>
              </w:rPr>
            </w:pPr>
            <w:r>
              <w:rPr>
                <w:rFonts w:ascii="Arial" w:cs="Arial" w:eastAsia="Arial" w:hAnsi="Arial"/>
                <w:sz w:val="22"/>
                <w:szCs w:val="22"/>
                <w:color w:val="auto"/>
              </w:rPr>
              <w:t>Section 3.04.</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Additional Notes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18</w:t>
            </w:r>
          </w:p>
        </w:tc>
      </w:tr>
      <w:tr>
        <w:trPr>
          <w:trHeight w:val="459"/>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4</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8"/>
              </w:rPr>
              <w:t>R</w:t>
            </w:r>
            <w:r>
              <w:rPr>
                <w:rFonts w:ascii="Arial" w:cs="Arial" w:eastAsia="Arial" w:hAnsi="Arial"/>
                <w:sz w:val="17"/>
                <w:szCs w:val="17"/>
                <w:color w:val="auto"/>
                <w:w w:val="98"/>
              </w:rPr>
              <w:t>EDEMPTION OR</w:t>
            </w:r>
            <w:r>
              <w:rPr>
                <w:rFonts w:ascii="Arial" w:cs="Arial" w:eastAsia="Arial" w:hAnsi="Arial"/>
                <w:sz w:val="22"/>
                <w:szCs w:val="22"/>
                <w:color w:val="auto"/>
                <w:w w:val="98"/>
              </w:rPr>
              <w:t xml:space="preserve"> R</w:t>
            </w:r>
            <w:r>
              <w:rPr>
                <w:rFonts w:ascii="Arial" w:cs="Arial" w:eastAsia="Arial" w:hAnsi="Arial"/>
                <w:sz w:val="17"/>
                <w:szCs w:val="17"/>
                <w:color w:val="auto"/>
                <w:w w:val="98"/>
              </w:rPr>
              <w:t>EPURCHASE OF</w:t>
            </w:r>
            <w:r>
              <w:rPr>
                <w:rFonts w:ascii="Arial" w:cs="Arial" w:eastAsia="Arial" w:hAnsi="Arial"/>
                <w:sz w:val="22"/>
                <w:szCs w:val="22"/>
                <w:color w:val="auto"/>
                <w:w w:val="98"/>
              </w:rPr>
              <w:t xml:space="preserve"> S</w:t>
            </w:r>
            <w:r>
              <w:rPr>
                <w:rFonts w:ascii="Arial" w:cs="Arial" w:eastAsia="Arial" w:hAnsi="Arial"/>
                <w:sz w:val="17"/>
                <w:szCs w:val="17"/>
                <w:color w:val="auto"/>
                <w:w w:val="98"/>
              </w:rPr>
              <w:t>ECURITIES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4.01.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Applicability of Base Indenture</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4.02.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Optional Redemption</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4.03.</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Escrow of Proceeds; Special Mandatory Redemption</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4.04.</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Repurchase of Notes Upon a Change of Control</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20</w:t>
            </w:r>
          </w:p>
        </w:tc>
      </w:tr>
      <w:tr>
        <w:trPr>
          <w:trHeight w:val="459"/>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r>
              <w:rPr>
                <w:rFonts w:ascii="Arial" w:cs="Arial" w:eastAsia="Arial" w:hAnsi="Arial"/>
                <w:sz w:val="22"/>
                <w:szCs w:val="22"/>
                <w:color w:val="auto"/>
              </w:rPr>
              <w:t>, D</w:t>
            </w:r>
            <w:r>
              <w:rPr>
                <w:rFonts w:ascii="Arial" w:cs="Arial" w:eastAsia="Arial" w:hAnsi="Arial"/>
                <w:sz w:val="17"/>
                <w:szCs w:val="17"/>
                <w:color w:val="auto"/>
              </w:rPr>
              <w:t>EFAULTS AND</w:t>
            </w:r>
            <w:r>
              <w:rPr>
                <w:rFonts w:ascii="Arial" w:cs="Arial" w:eastAsia="Arial" w:hAnsi="Arial"/>
                <w:sz w:val="22"/>
                <w:szCs w:val="22"/>
                <w:color w:val="auto"/>
              </w:rPr>
              <w:t xml:space="preserve"> R</w:t>
            </w:r>
            <w:r>
              <w:rPr>
                <w:rFonts w:ascii="Arial" w:cs="Arial" w:eastAsia="Arial" w:hAnsi="Arial"/>
                <w:sz w:val="17"/>
                <w:szCs w:val="17"/>
                <w:color w:val="auto"/>
              </w:rPr>
              <w:t>EMEDIES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5.01.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Covenants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5.02.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Defaults and Remedies</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r>
        <w:trPr>
          <w:trHeight w:val="459"/>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6</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8"/>
              </w:rPr>
              <w:t>E</w:t>
            </w:r>
            <w:r>
              <w:rPr>
                <w:rFonts w:ascii="Arial" w:cs="Arial" w:eastAsia="Arial" w:hAnsi="Arial"/>
                <w:sz w:val="17"/>
                <w:szCs w:val="17"/>
                <w:color w:val="auto"/>
                <w:w w:val="98"/>
              </w:rPr>
              <w:t>SCROW</w:t>
            </w:r>
            <w:r>
              <w:rPr>
                <w:rFonts w:ascii="Arial" w:cs="Arial" w:eastAsia="Arial" w:hAnsi="Arial"/>
                <w:sz w:val="22"/>
                <w:szCs w:val="22"/>
                <w:color w:val="auto"/>
                <w:w w:val="98"/>
              </w:rPr>
              <w:t xml:space="preserve"> M</w:t>
            </w:r>
            <w:r>
              <w:rPr>
                <w:rFonts w:ascii="Arial" w:cs="Arial" w:eastAsia="Arial" w:hAnsi="Arial"/>
                <w:sz w:val="17"/>
                <w:szCs w:val="17"/>
                <w:color w:val="auto"/>
                <w:w w:val="98"/>
              </w:rPr>
              <w:t>ATTERS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6.01.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Escrow Account</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600" w:type="dxa"/>
            <w:vAlign w:val="bottom"/>
          </w:tcPr>
          <w:p>
            <w:pPr>
              <w:spacing w:after="0"/>
              <w:rPr>
                <w:sz w:val="20"/>
                <w:szCs w:val="20"/>
                <w:color w:val="auto"/>
              </w:rPr>
            </w:pPr>
            <w:r>
              <w:rPr>
                <w:rFonts w:ascii="Arial" w:cs="Arial" w:eastAsia="Arial" w:hAnsi="Arial"/>
                <w:sz w:val="22"/>
                <w:szCs w:val="22"/>
                <w:color w:val="auto"/>
              </w:rPr>
              <w:t>Section 6.02.</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Release of Escrowed Property</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600" w:type="dxa"/>
            <w:vAlign w:val="bottom"/>
          </w:tcPr>
          <w:p>
            <w:pPr>
              <w:spacing w:after="0"/>
              <w:rPr>
                <w:sz w:val="20"/>
                <w:szCs w:val="20"/>
                <w:color w:val="auto"/>
              </w:rPr>
            </w:pPr>
            <w:r>
              <w:rPr>
                <w:rFonts w:ascii="Arial" w:cs="Arial" w:eastAsia="Arial" w:hAnsi="Arial"/>
                <w:sz w:val="22"/>
                <w:szCs w:val="22"/>
                <w:color w:val="auto"/>
              </w:rPr>
              <w:t>Section 6.03.</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Trustee Direction to Execute Escrow Agreement</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r>
        <w:trPr>
          <w:trHeight w:val="459"/>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w w:val="95"/>
              </w:rPr>
              <w:t>ARTICLE 7</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1600" w:type="dxa"/>
            <w:vAlign w:val="bottom"/>
          </w:tcPr>
          <w:p>
            <w:pPr>
              <w:spacing w:after="0"/>
              <w:rPr>
                <w:sz w:val="24"/>
                <w:szCs w:val="24"/>
                <w:color w:val="auto"/>
              </w:rPr>
            </w:pPr>
          </w:p>
        </w:tc>
        <w:tc>
          <w:tcPr>
            <w:tcW w:w="7920" w:type="dxa"/>
            <w:vAlign w:val="bottom"/>
          </w:tcPr>
          <w:p>
            <w:pPr>
              <w:jc w:val="center"/>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22"/>
                <w:szCs w:val="22"/>
                <w:color w:val="auto"/>
              </w:rPr>
              <w:t>Section 7.01.</w:t>
            </w:r>
          </w:p>
        </w:tc>
        <w:tc>
          <w:tcPr>
            <w:tcW w:w="7920" w:type="dxa"/>
            <w:vAlign w:val="bottom"/>
          </w:tcPr>
          <w:p>
            <w:pPr>
              <w:ind w:left="480"/>
              <w:spacing w:after="0"/>
              <w:rPr>
                <w:sz w:val="20"/>
                <w:szCs w:val="20"/>
                <w:color w:val="auto"/>
              </w:rPr>
            </w:pPr>
            <w:r>
              <w:rPr>
                <w:rFonts w:ascii="Arial" w:cs="Arial" w:eastAsia="Arial" w:hAnsi="Arial"/>
                <w:sz w:val="22"/>
                <w:szCs w:val="22"/>
                <w:i w:val="1"/>
                <w:iCs w:val="1"/>
                <w:color w:val="auto"/>
              </w:rPr>
              <w:t>Confirmation of Indenture</w:t>
            </w:r>
          </w:p>
        </w:tc>
        <w:tc>
          <w:tcPr>
            <w:tcW w:w="1680" w:type="dxa"/>
            <w:vAlign w:val="bottom"/>
            <w:gridSpan w:val="3"/>
          </w:tcPr>
          <w:p>
            <w:pPr>
              <w:jc w:val="right"/>
              <w:spacing w:after="0"/>
              <w:rPr>
                <w:sz w:val="20"/>
                <w:szCs w:val="20"/>
                <w:color w:val="auto"/>
              </w:rPr>
            </w:pPr>
            <w:r>
              <w:rPr>
                <w:rFonts w:ascii="Arial" w:cs="Arial" w:eastAsia="Arial" w:hAnsi="Arial"/>
                <w:sz w:val="22"/>
                <w:szCs w:val="22"/>
                <w:color w:val="auto"/>
              </w:rPr>
              <w:t>22</w:t>
            </w:r>
          </w:p>
        </w:tc>
      </w:tr>
    </w:tbl>
    <w:p>
      <w:pPr>
        <w:spacing w:after="0" w:line="200" w:lineRule="exact"/>
        <w:rPr>
          <w:sz w:val="20"/>
          <w:szCs w:val="20"/>
          <w:color w:val="auto"/>
        </w:rPr>
      </w:pPr>
    </w:p>
    <w:p>
      <w:pPr>
        <w:sectPr>
          <w:pgSz w:w="11900" w:h="16838" w:orient="portrait"/>
          <w:cols w:equalWidth="0" w:num="1">
            <w:col w:w="11200"/>
          </w:cols>
          <w:pgMar w:left="340" w:top="180" w:right="359" w:bottom="9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80" w:right="359" w:bottom="931" w:gutter="0" w:footer="0" w:header="0"/>
          <w:type w:val="continuous"/>
        </w:sectPr>
      </w:pPr>
    </w:p>
    <w:bookmarkStart w:id="97" w:name="page98"/>
    <w:bookmarkEnd w:id="9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20" w:type="dxa"/>
            <w:vAlign w:val="bottom"/>
            <w:gridSpan w:val="2"/>
          </w:tcPr>
          <w:p>
            <w:pPr>
              <w:ind w:left="20"/>
              <w:spacing w:after="0"/>
              <w:rPr>
                <w:sz w:val="20"/>
                <w:szCs w:val="20"/>
                <w:color w:val="auto"/>
              </w:rPr>
            </w:pPr>
            <w:r>
              <w:rPr>
                <w:rFonts w:ascii="Arial" w:cs="Arial" w:eastAsia="Arial" w:hAnsi="Arial"/>
                <w:sz w:val="22"/>
                <w:szCs w:val="22"/>
                <w:color w:val="auto"/>
              </w:rPr>
              <w:t>Section 7.02.</w:t>
            </w:r>
          </w:p>
        </w:tc>
        <w:tc>
          <w:tcPr>
            <w:tcW w:w="6000" w:type="dxa"/>
            <w:vAlign w:val="bottom"/>
          </w:tcPr>
          <w:p>
            <w:pPr>
              <w:ind w:left="480"/>
              <w:spacing w:after="0"/>
              <w:rPr>
                <w:sz w:val="20"/>
                <w:szCs w:val="20"/>
                <w:color w:val="auto"/>
              </w:rPr>
            </w:pPr>
            <w:r>
              <w:rPr>
                <w:rFonts w:ascii="Arial" w:cs="Arial" w:eastAsia="Arial" w:hAnsi="Arial"/>
                <w:sz w:val="22"/>
                <w:szCs w:val="22"/>
                <w:i w:val="1"/>
                <w:iCs w:val="1"/>
                <w:color w:val="auto"/>
              </w:rPr>
              <w:t>Counterparts</w:t>
            </w:r>
          </w:p>
        </w:tc>
        <w:tc>
          <w:tcPr>
            <w:tcW w:w="3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620" w:type="dxa"/>
            <w:vAlign w:val="bottom"/>
            <w:gridSpan w:val="2"/>
          </w:tcPr>
          <w:p>
            <w:pPr>
              <w:ind w:left="20"/>
              <w:spacing w:after="0"/>
              <w:rPr>
                <w:sz w:val="20"/>
                <w:szCs w:val="20"/>
                <w:color w:val="auto"/>
              </w:rPr>
            </w:pPr>
            <w:r>
              <w:rPr>
                <w:rFonts w:ascii="Arial" w:cs="Arial" w:eastAsia="Arial" w:hAnsi="Arial"/>
                <w:sz w:val="22"/>
                <w:szCs w:val="22"/>
                <w:color w:val="auto"/>
              </w:rPr>
              <w:t>Section 7.03.</w:t>
            </w:r>
          </w:p>
        </w:tc>
        <w:tc>
          <w:tcPr>
            <w:tcW w:w="6000" w:type="dxa"/>
            <w:vAlign w:val="bottom"/>
          </w:tcPr>
          <w:p>
            <w:pPr>
              <w:ind w:left="480"/>
              <w:spacing w:after="0"/>
              <w:rPr>
                <w:sz w:val="20"/>
                <w:szCs w:val="20"/>
                <w:color w:val="auto"/>
              </w:rPr>
            </w:pPr>
            <w:r>
              <w:rPr>
                <w:rFonts w:ascii="Arial" w:cs="Arial" w:eastAsia="Arial" w:hAnsi="Arial"/>
                <w:sz w:val="22"/>
                <w:szCs w:val="22"/>
                <w:i w:val="1"/>
                <w:iCs w:val="1"/>
                <w:color w:val="auto"/>
              </w:rPr>
              <w:t>Governing Law</w:t>
            </w:r>
          </w:p>
        </w:tc>
        <w:tc>
          <w:tcPr>
            <w:tcW w:w="3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620" w:type="dxa"/>
            <w:vAlign w:val="bottom"/>
            <w:gridSpan w:val="2"/>
          </w:tcPr>
          <w:p>
            <w:pPr>
              <w:ind w:left="20"/>
              <w:spacing w:after="0"/>
              <w:rPr>
                <w:sz w:val="20"/>
                <w:szCs w:val="20"/>
                <w:color w:val="auto"/>
              </w:rPr>
            </w:pPr>
            <w:r>
              <w:rPr>
                <w:rFonts w:ascii="Arial" w:cs="Arial" w:eastAsia="Arial" w:hAnsi="Arial"/>
                <w:sz w:val="22"/>
                <w:szCs w:val="22"/>
                <w:color w:val="auto"/>
              </w:rPr>
              <w:t>Section 7.04.</w:t>
            </w:r>
          </w:p>
        </w:tc>
        <w:tc>
          <w:tcPr>
            <w:tcW w:w="6000" w:type="dxa"/>
            <w:vAlign w:val="bottom"/>
          </w:tcPr>
          <w:p>
            <w:pPr>
              <w:ind w:left="480"/>
              <w:spacing w:after="0"/>
              <w:rPr>
                <w:sz w:val="20"/>
                <w:szCs w:val="20"/>
                <w:color w:val="auto"/>
              </w:rPr>
            </w:pPr>
            <w:r>
              <w:rPr>
                <w:rFonts w:ascii="Arial" w:cs="Arial" w:eastAsia="Arial" w:hAnsi="Arial"/>
                <w:sz w:val="22"/>
                <w:szCs w:val="22"/>
                <w:i w:val="1"/>
                <w:iCs w:val="1"/>
                <w:color w:val="auto"/>
              </w:rPr>
              <w:t>Waiver of Jury Trial</w:t>
            </w:r>
          </w:p>
        </w:tc>
        <w:tc>
          <w:tcPr>
            <w:tcW w:w="3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620" w:type="dxa"/>
            <w:vAlign w:val="bottom"/>
            <w:gridSpan w:val="2"/>
          </w:tcPr>
          <w:p>
            <w:pPr>
              <w:ind w:left="20"/>
              <w:spacing w:after="0"/>
              <w:rPr>
                <w:sz w:val="20"/>
                <w:szCs w:val="20"/>
                <w:color w:val="auto"/>
              </w:rPr>
            </w:pPr>
            <w:r>
              <w:rPr>
                <w:rFonts w:ascii="Arial" w:cs="Arial" w:eastAsia="Arial" w:hAnsi="Arial"/>
                <w:sz w:val="22"/>
                <w:szCs w:val="22"/>
                <w:color w:val="auto"/>
              </w:rPr>
              <w:t>Section 7.05.</w:t>
            </w:r>
          </w:p>
        </w:tc>
        <w:tc>
          <w:tcPr>
            <w:tcW w:w="6000" w:type="dxa"/>
            <w:vAlign w:val="bottom"/>
          </w:tcPr>
          <w:p>
            <w:pPr>
              <w:ind w:left="480"/>
              <w:spacing w:after="0"/>
              <w:rPr>
                <w:sz w:val="20"/>
                <w:szCs w:val="20"/>
                <w:color w:val="auto"/>
              </w:rPr>
            </w:pPr>
            <w:r>
              <w:rPr>
                <w:rFonts w:ascii="Arial" w:cs="Arial" w:eastAsia="Arial" w:hAnsi="Arial"/>
                <w:sz w:val="22"/>
                <w:szCs w:val="22"/>
                <w:i w:val="1"/>
                <w:iCs w:val="1"/>
                <w:color w:val="auto"/>
              </w:rPr>
              <w:t>Jurisdiction</w:t>
            </w:r>
          </w:p>
        </w:tc>
        <w:tc>
          <w:tcPr>
            <w:tcW w:w="3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620" w:type="dxa"/>
            <w:vAlign w:val="bottom"/>
            <w:gridSpan w:val="2"/>
          </w:tcPr>
          <w:p>
            <w:pPr>
              <w:ind w:left="20"/>
              <w:spacing w:after="0"/>
              <w:rPr>
                <w:sz w:val="20"/>
                <w:szCs w:val="20"/>
                <w:color w:val="auto"/>
              </w:rPr>
            </w:pPr>
            <w:r>
              <w:rPr>
                <w:rFonts w:ascii="Arial" w:cs="Arial" w:eastAsia="Arial" w:hAnsi="Arial"/>
                <w:sz w:val="22"/>
                <w:szCs w:val="22"/>
                <w:color w:val="auto"/>
              </w:rPr>
              <w:t>Section 7.06.</w:t>
            </w:r>
          </w:p>
        </w:tc>
        <w:tc>
          <w:tcPr>
            <w:tcW w:w="6000" w:type="dxa"/>
            <w:vAlign w:val="bottom"/>
          </w:tcPr>
          <w:p>
            <w:pPr>
              <w:ind w:left="480"/>
              <w:spacing w:after="0"/>
              <w:rPr>
                <w:sz w:val="20"/>
                <w:szCs w:val="20"/>
                <w:color w:val="auto"/>
              </w:rPr>
            </w:pPr>
            <w:r>
              <w:rPr>
                <w:rFonts w:ascii="Arial" w:cs="Arial" w:eastAsia="Arial" w:hAnsi="Arial"/>
                <w:sz w:val="22"/>
                <w:szCs w:val="22"/>
                <w:i w:val="1"/>
                <w:iCs w:val="1"/>
                <w:color w:val="auto"/>
              </w:rPr>
              <w:t>Recitals by the Company</w:t>
            </w:r>
          </w:p>
        </w:tc>
        <w:tc>
          <w:tcPr>
            <w:tcW w:w="36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522"/>
        </w:trPr>
        <w:tc>
          <w:tcPr>
            <w:tcW w:w="1140" w:type="dxa"/>
            <w:vAlign w:val="bottom"/>
          </w:tcPr>
          <w:p>
            <w:pPr>
              <w:spacing w:after="0"/>
              <w:rPr>
                <w:sz w:val="20"/>
                <w:szCs w:val="20"/>
                <w:color w:val="auto"/>
              </w:rPr>
            </w:pPr>
            <w:r>
              <w:rPr>
                <w:rFonts w:ascii="Arial" w:cs="Arial" w:eastAsia="Arial" w:hAnsi="Arial"/>
                <w:sz w:val="22"/>
                <w:szCs w:val="22"/>
                <w:color w:val="auto"/>
              </w:rPr>
              <w:t>Exhibit A-1</w:t>
            </w:r>
          </w:p>
        </w:tc>
        <w:tc>
          <w:tcPr>
            <w:tcW w:w="6480" w:type="dxa"/>
            <w:vAlign w:val="bottom"/>
            <w:gridSpan w:val="2"/>
          </w:tcPr>
          <w:p>
            <w:pPr>
              <w:ind w:left="120"/>
              <w:spacing w:after="0"/>
              <w:rPr>
                <w:sz w:val="20"/>
                <w:szCs w:val="20"/>
                <w:color w:val="auto"/>
              </w:rPr>
            </w:pPr>
            <w:r>
              <w:rPr>
                <w:rFonts w:ascii="Arial" w:cs="Arial" w:eastAsia="Arial" w:hAnsi="Arial"/>
                <w:sz w:val="22"/>
                <w:szCs w:val="22"/>
                <w:color w:val="auto"/>
              </w:rPr>
              <w:t>Form of 2026 Note</w:t>
            </w:r>
          </w:p>
        </w:tc>
        <w:tc>
          <w:tcPr>
            <w:tcW w:w="3600" w:type="dxa"/>
            <w:vAlign w:val="bottom"/>
          </w:tcPr>
          <w:p>
            <w:pPr>
              <w:spacing w:after="0"/>
              <w:rPr>
                <w:sz w:val="24"/>
                <w:szCs w:val="24"/>
                <w:color w:val="auto"/>
              </w:rPr>
            </w:pPr>
          </w:p>
        </w:tc>
      </w:tr>
      <w:tr>
        <w:trPr>
          <w:trHeight w:val="274"/>
        </w:trPr>
        <w:tc>
          <w:tcPr>
            <w:tcW w:w="1140" w:type="dxa"/>
            <w:vAlign w:val="bottom"/>
          </w:tcPr>
          <w:p>
            <w:pPr>
              <w:spacing w:after="0"/>
              <w:rPr>
                <w:sz w:val="20"/>
                <w:szCs w:val="20"/>
                <w:color w:val="auto"/>
              </w:rPr>
            </w:pPr>
            <w:r>
              <w:rPr>
                <w:rFonts w:ascii="Arial" w:cs="Arial" w:eastAsia="Arial" w:hAnsi="Arial"/>
                <w:sz w:val="22"/>
                <w:szCs w:val="22"/>
                <w:color w:val="auto"/>
              </w:rPr>
              <w:t>Exhibit A-2</w:t>
            </w:r>
          </w:p>
        </w:tc>
        <w:tc>
          <w:tcPr>
            <w:tcW w:w="6480" w:type="dxa"/>
            <w:vAlign w:val="bottom"/>
            <w:gridSpan w:val="2"/>
          </w:tcPr>
          <w:p>
            <w:pPr>
              <w:ind w:left="120"/>
              <w:spacing w:after="0"/>
              <w:rPr>
                <w:sz w:val="20"/>
                <w:szCs w:val="20"/>
                <w:color w:val="auto"/>
              </w:rPr>
            </w:pPr>
            <w:r>
              <w:rPr>
                <w:rFonts w:ascii="Arial" w:cs="Arial" w:eastAsia="Arial" w:hAnsi="Arial"/>
                <w:sz w:val="22"/>
                <w:szCs w:val="22"/>
                <w:color w:val="auto"/>
              </w:rPr>
              <w:t>Form of 2031 Note</w:t>
            </w:r>
          </w:p>
        </w:tc>
        <w:tc>
          <w:tcPr>
            <w:tcW w:w="3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20" w:top="1440" w:right="359" w:bottom="1440" w:gutter="0" w:footer="0" w:header="0"/>
        </w:sectPr>
      </w:pPr>
    </w:p>
    <w:bookmarkStart w:id="98" w:name="page99"/>
    <w:bookmarkEnd w:id="98"/>
    <w:p>
      <w:pPr>
        <w:ind w:right="180" w:firstLine="648"/>
        <w:spacing w:after="0" w:line="298" w:lineRule="auto"/>
        <w:rPr>
          <w:sz w:val="20"/>
          <w:szCs w:val="20"/>
          <w:color w:val="auto"/>
        </w:rPr>
      </w:pPr>
      <w:r>
        <w:rPr>
          <w:rFonts w:ascii="Arial" w:cs="Arial" w:eastAsia="Arial" w:hAnsi="Arial"/>
          <w:sz w:val="19"/>
          <w:szCs w:val="19"/>
          <w:color w:val="auto"/>
        </w:rPr>
        <w:t>FIRST SUPPLEMENTAL INDENTURE, dated as of July 2, 2021 (“</w:t>
      </w:r>
      <w:r>
        <w:rPr>
          <w:rFonts w:ascii="Arial" w:cs="Arial" w:eastAsia="Arial" w:hAnsi="Arial"/>
          <w:sz w:val="19"/>
          <w:szCs w:val="19"/>
          <w:b w:val="1"/>
          <w:bCs w:val="1"/>
          <w:color w:val="auto"/>
        </w:rPr>
        <w:t>First Supplemental Indenture</w:t>
      </w:r>
      <w:r>
        <w:rPr>
          <w:rFonts w:ascii="Arial" w:cs="Arial" w:eastAsia="Arial" w:hAnsi="Arial"/>
          <w:sz w:val="19"/>
          <w:szCs w:val="19"/>
          <w:color w:val="auto"/>
        </w:rPr>
        <w:t>”), to the Indenture dated as of July 2, 2021 (as amended, modified or supplemented from time to time in accordance therewith, other than with respect to a particular Series of debt securities that are not the Notes, the “</w:t>
      </w:r>
      <w:r>
        <w:rPr>
          <w:rFonts w:ascii="Arial" w:cs="Arial" w:eastAsia="Arial" w:hAnsi="Arial"/>
          <w:sz w:val="19"/>
          <w:szCs w:val="19"/>
          <w:b w:val="1"/>
          <w:bCs w:val="1"/>
          <w:color w:val="auto"/>
        </w:rPr>
        <w:t>Base Indenture</w:t>
      </w:r>
      <w:r>
        <w:rPr>
          <w:rFonts w:ascii="Arial" w:cs="Arial" w:eastAsia="Arial" w:hAnsi="Arial"/>
          <w:sz w:val="19"/>
          <w:szCs w:val="19"/>
          <w:color w:val="auto"/>
        </w:rPr>
        <w:t>” and, as amended, modified and supplemented by this First Supplemental Indenture, the “</w:t>
      </w:r>
      <w:r>
        <w:rPr>
          <w:rFonts w:ascii="Arial" w:cs="Arial" w:eastAsia="Arial" w:hAnsi="Arial"/>
          <w:sz w:val="19"/>
          <w:szCs w:val="19"/>
          <w:b w:val="1"/>
          <w:bCs w:val="1"/>
          <w:color w:val="auto"/>
        </w:rPr>
        <w:t>Indenture</w:t>
      </w:r>
      <w:r>
        <w:rPr>
          <w:rFonts w:ascii="Arial" w:cs="Arial" w:eastAsia="Arial" w:hAnsi="Arial"/>
          <w:sz w:val="19"/>
          <w:szCs w:val="19"/>
          <w:color w:val="auto"/>
        </w:rPr>
        <w:t>”), by and between GXO LOGISTICS, INC. (the “</w:t>
      </w:r>
      <w:r>
        <w:rPr>
          <w:rFonts w:ascii="Arial" w:cs="Arial" w:eastAsia="Arial" w:hAnsi="Arial"/>
          <w:sz w:val="19"/>
          <w:szCs w:val="19"/>
          <w:b w:val="1"/>
          <w:bCs w:val="1"/>
          <w:color w:val="auto"/>
        </w:rPr>
        <w:t>Company</w:t>
      </w:r>
      <w:r>
        <w:rPr>
          <w:rFonts w:ascii="Arial" w:cs="Arial" w:eastAsia="Arial" w:hAnsi="Arial"/>
          <w:sz w:val="19"/>
          <w:szCs w:val="19"/>
          <w:color w:val="auto"/>
        </w:rPr>
        <w:t>”), and WELLS FARGO BANK, NATIONAL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party agrees as follows for the benefit of the other party and for the equal and ratable benefit of the Holders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48" w:lineRule="exact"/>
        <w:rPr>
          <w:sz w:val="20"/>
          <w:szCs w:val="20"/>
          <w:color w:val="auto"/>
        </w:rPr>
      </w:pPr>
    </w:p>
    <w:p>
      <w:pPr>
        <w:ind w:right="680" w:firstLine="648"/>
        <w:spacing w:after="0" w:line="343" w:lineRule="auto"/>
        <w:rPr>
          <w:sz w:val="20"/>
          <w:szCs w:val="20"/>
          <w:color w:val="auto"/>
        </w:rPr>
      </w:pPr>
      <w:r>
        <w:rPr>
          <w:rFonts w:ascii="Arial" w:cs="Arial" w:eastAsia="Arial" w:hAnsi="Arial"/>
          <w:sz w:val="19"/>
          <w:szCs w:val="19"/>
          <w:color w:val="auto"/>
        </w:rPr>
        <w:t>WHEREAS, the Company has duly authorized the execution and delivery of the Base Indenture to provide for the issuance from time to time of debt securities to be issued in one or more Series as provided in the Base Indenture;</w:t>
      </w:r>
    </w:p>
    <w:p>
      <w:pPr>
        <w:spacing w:after="0" w:line="5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WHEREAS, the Company has duly authorized the execution and delivery, and desires and has requested the Trustee to join it in the execution and delivery, of this First Supplemental Indenture in order to establish and provide for the issuance by the Company of a Series of Securities designated as its 1.650% Notes due 2026 (the “</w:t>
      </w:r>
      <w:r>
        <w:rPr>
          <w:rFonts w:ascii="Arial" w:cs="Arial" w:eastAsia="Arial" w:hAnsi="Arial"/>
          <w:sz w:val="22"/>
          <w:szCs w:val="22"/>
          <w:b w:val="1"/>
          <w:bCs w:val="1"/>
          <w:color w:val="auto"/>
        </w:rPr>
        <w:t>2026 Notes</w:t>
      </w:r>
      <w:r>
        <w:rPr>
          <w:rFonts w:ascii="Arial" w:cs="Arial" w:eastAsia="Arial" w:hAnsi="Arial"/>
          <w:sz w:val="22"/>
          <w:szCs w:val="22"/>
          <w:color w:val="auto"/>
        </w:rPr>
        <w:t>”) and a Series of Securities designated as its 2.650% Notes due 2031 (the “</w:t>
      </w:r>
      <w:r>
        <w:rPr>
          <w:rFonts w:ascii="Arial" w:cs="Arial" w:eastAsia="Arial" w:hAnsi="Arial"/>
          <w:sz w:val="22"/>
          <w:szCs w:val="22"/>
          <w:b w:val="1"/>
          <w:bCs w:val="1"/>
          <w:color w:val="auto"/>
        </w:rPr>
        <w:t>2031 Notes</w:t>
      </w:r>
      <w:r>
        <w:rPr>
          <w:rFonts w:ascii="Arial" w:cs="Arial" w:eastAsia="Arial" w:hAnsi="Arial"/>
          <w:sz w:val="22"/>
          <w:szCs w:val="22"/>
          <w:color w:val="auto"/>
        </w:rPr>
        <w:t>,” and together with the 2026 Notes, the “</w:t>
      </w:r>
      <w:r>
        <w:rPr>
          <w:rFonts w:ascii="Arial" w:cs="Arial" w:eastAsia="Arial" w:hAnsi="Arial"/>
          <w:sz w:val="22"/>
          <w:szCs w:val="22"/>
          <w:b w:val="1"/>
          <w:bCs w:val="1"/>
          <w:color w:val="auto"/>
        </w:rPr>
        <w:t>Notes</w:t>
      </w:r>
      <w:r>
        <w:rPr>
          <w:rFonts w:ascii="Arial" w:cs="Arial" w:eastAsia="Arial" w:hAnsi="Arial"/>
          <w:sz w:val="22"/>
          <w:szCs w:val="22"/>
          <w:color w:val="auto"/>
        </w:rPr>
        <w:t>”), on the terms set forth herein;</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WHEREAS, Section 2.01 of the Base Indenture provides that a supplemental indenture may be entered into by the parties for such purpose without the consent of any Holders; and</w:t>
      </w:r>
    </w:p>
    <w:p>
      <w:pPr>
        <w:spacing w:after="0" w:line="121"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WHEREAS, all things necessary to make this First Supplemental Indenture a valid and binding agreement of the parties, in accordance with its terms, and a valid amendment of, and supplement to, the Base Indenture with respect to the Notes have been done.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 AND</w:t>
      </w:r>
      <w:r>
        <w:rPr>
          <w:rFonts w:ascii="Arial" w:cs="Arial" w:eastAsia="Arial" w:hAnsi="Arial"/>
          <w:sz w:val="22"/>
          <w:szCs w:val="22"/>
          <w:color w:val="auto"/>
        </w:rPr>
        <w:t xml:space="preserve"> O</w:t>
      </w:r>
      <w:r>
        <w:rPr>
          <w:rFonts w:ascii="Arial" w:cs="Arial" w:eastAsia="Arial" w:hAnsi="Arial"/>
          <w:sz w:val="17"/>
          <w:szCs w:val="17"/>
          <w:color w:val="auto"/>
        </w:rPr>
        <w:t>THER</w:t>
      </w:r>
      <w:r>
        <w:rPr>
          <w:rFonts w:ascii="Arial" w:cs="Arial" w:eastAsia="Arial" w:hAnsi="Arial"/>
          <w:sz w:val="22"/>
          <w:szCs w:val="22"/>
          <w:color w:val="auto"/>
        </w:rPr>
        <w:t xml:space="preserve"> P</w:t>
      </w:r>
      <w:r>
        <w:rPr>
          <w:rFonts w:ascii="Arial" w:cs="Arial" w:eastAsia="Arial" w:hAnsi="Arial"/>
          <w:sz w:val="17"/>
          <w:szCs w:val="17"/>
          <w:color w:val="auto"/>
        </w:rPr>
        <w:t>ROVISIONS OF</w:t>
      </w:r>
      <w:r>
        <w:rPr>
          <w:rFonts w:ascii="Arial" w:cs="Arial" w:eastAsia="Arial" w:hAnsi="Arial"/>
          <w:sz w:val="22"/>
          <w:szCs w:val="22"/>
          <w:color w:val="auto"/>
        </w:rPr>
        <w:t xml:space="preserve"> G</w:t>
      </w:r>
      <w:r>
        <w:rPr>
          <w:rFonts w:ascii="Arial" w:cs="Arial" w:eastAsia="Arial" w:hAnsi="Arial"/>
          <w:sz w:val="17"/>
          <w:szCs w:val="17"/>
          <w:color w:val="auto"/>
        </w:rPr>
        <w:t>ENERAL</w:t>
      </w:r>
      <w:r>
        <w:rPr>
          <w:rFonts w:ascii="Arial" w:cs="Arial" w:eastAsia="Arial" w:hAnsi="Arial"/>
          <w:sz w:val="22"/>
          <w:szCs w:val="22"/>
          <w:color w:val="auto"/>
        </w:rPr>
        <w:t xml:space="preserve"> A</w:t>
      </w:r>
      <w:r>
        <w:rPr>
          <w:rFonts w:ascii="Arial" w:cs="Arial" w:eastAsia="Arial" w:hAnsi="Arial"/>
          <w:sz w:val="17"/>
          <w:szCs w:val="17"/>
          <w:color w:val="auto"/>
        </w:rPr>
        <w:t>PPLICATION</w:t>
      </w:r>
    </w:p>
    <w:p>
      <w:pPr>
        <w:spacing w:after="0" w:line="148"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Definitions</w:t>
      </w:r>
      <w:r>
        <w:rPr>
          <w:rFonts w:ascii="Arial" w:cs="Arial" w:eastAsia="Arial" w:hAnsi="Arial"/>
          <w:sz w:val="19"/>
          <w:szCs w:val="19"/>
          <w:color w:val="auto"/>
        </w:rPr>
        <w:t>. Capitalized terms used herein and not otherwise defined herein have the meanings assigned to them in the Base Indenture. The words “herein,” “hereof” and “hereby” and other words of similar import used in this First Supplemental Indenture refer to this First Supplemental Indenture as a whole and not to any particular section hereof.</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herein, the following terms have the specified meanings: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2026 Notes</w:t>
      </w:r>
      <w:r>
        <w:rPr>
          <w:rFonts w:ascii="Arial" w:cs="Arial" w:eastAsia="Arial" w:hAnsi="Arial"/>
          <w:sz w:val="22"/>
          <w:szCs w:val="22"/>
          <w:color w:val="auto"/>
        </w:rPr>
        <w:t>” has the meaning specified in the recitals of this First Supplemental Indenture.</w:t>
      </w:r>
    </w:p>
    <w:p>
      <w:pPr>
        <w:sectPr>
          <w:pgSz w:w="11900" w:h="16838" w:orient="portrait"/>
          <w:cols w:equalWidth="0" w:num="1">
            <w:col w:w="11200"/>
          </w:cols>
          <w:pgMar w:left="320" w:top="1422" w:right="379" w:bottom="1440" w:gutter="0" w:footer="0" w:header="0"/>
        </w:sectPr>
      </w:pPr>
    </w:p>
    <w:bookmarkStart w:id="99" w:name="page100"/>
    <w:bookmarkEnd w:id="9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2031 Notes</w:t>
      </w:r>
      <w:r>
        <w:rPr>
          <w:rFonts w:ascii="Arial" w:cs="Arial" w:eastAsia="Arial" w:hAnsi="Arial"/>
          <w:sz w:val="22"/>
          <w:szCs w:val="22"/>
          <w:color w:val="auto"/>
        </w:rPr>
        <w:t>” has the meaning specified in the recitals of this First Supplemental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Notes</w:t>
      </w:r>
      <w:r>
        <w:rPr>
          <w:rFonts w:ascii="Arial" w:cs="Arial" w:eastAsia="Arial" w:hAnsi="Arial"/>
          <w:sz w:val="22"/>
          <w:szCs w:val="22"/>
          <w:color w:val="auto"/>
        </w:rPr>
        <w:t>” has the meaning specified in Section 3.04 of this First Supplemental Indenture.</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Procedures</w:t>
      </w:r>
      <w:r>
        <w:rPr>
          <w:rFonts w:ascii="Arial" w:cs="Arial" w:eastAsia="Arial" w:hAnsi="Arial"/>
          <w:sz w:val="22"/>
          <w:szCs w:val="22"/>
          <w:color w:val="auto"/>
        </w:rPr>
        <w:t>” means, with respect to any transfer or transaction involving a Global Note or beneficial interest therein, the rules and procedures of DTC, and its direct and indirect participants, including, if applicable those of Euroclear and Clearstream, in each case in effect from time to time.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Indenture</w:t>
      </w:r>
      <w:r>
        <w:rPr>
          <w:rFonts w:ascii="Arial" w:cs="Arial" w:eastAsia="Arial" w:hAnsi="Arial"/>
          <w:sz w:val="22"/>
          <w:szCs w:val="22"/>
          <w:color w:val="auto"/>
        </w:rPr>
        <w:t>” has the meaning specified in the recitals of this First Supplemental Indenture.</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xml:space="preserve">” means the occurrence of any of the following: (1) the direct or indirect sale, lease, transfer, conveyance or other disposition (other than by way of merger or consolidation), in one or a series of related transactions, of all or substantially all of the Company’s assets and the assets of its Subsidiaries taken as a whole to any “person” (as that term is used in Section 13(d)(3) of the Exchange Act) other than the Company or one or more of its Subsidiaries; or (2) the consummation of any transaction (including, without limitation, any merger or consolidation) the result of which is that any “person” (as defined above), including any group defined as a person for the purpose of Section 13(d)(3) of the Exchange Act, other than the Company or its Subsidiaries, becomes the beneficial owner, directly or indirectly, of more than 50% of the then outstanding number of shares of the Company’s Voting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person shall not be deemed the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Notwithstanding the foregoing, (1) in no event will (i) the distribution or (ii) provided the Company is a direct or indirect wholly owned subsidiary of XPO Logistics, Inc. immediately after giving effect thereto, any transaction undertaken prior to the distribution in connection with the separation and distribution be considered to be a Change of Control and (2) a transaction will not be considered to be a Change of Control if (A) the Company becomes a direct or indirect wholly owned subsidiary of another Person and (B) either (i) the shares of the Company’s Voting Stock outstanding immediately prior to such transaction constitute, or are converted into or exchanged for, a majority of the Voting Stock of such Person immediately after giving effect to such transaction or (ii) immediately following such transaction, no person (other than a person satisfying the requirements of this sentence) is the beneficial owner, directly or indirectly, of more than 50% of the Voting Stock of such Person.</w:t>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Offer</w:t>
      </w:r>
      <w:r>
        <w:rPr>
          <w:rFonts w:ascii="Arial" w:cs="Arial" w:eastAsia="Arial" w:hAnsi="Arial"/>
          <w:sz w:val="22"/>
          <w:szCs w:val="22"/>
          <w:color w:val="auto"/>
        </w:rPr>
        <w:t>” has the meaning set forth in Section 4.04(a).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2" w:right="35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Payment Date</w:t>
      </w:r>
      <w:r>
        <w:rPr>
          <w:rFonts w:ascii="Arial" w:cs="Arial" w:eastAsia="Arial" w:hAnsi="Arial"/>
          <w:sz w:val="22"/>
          <w:szCs w:val="22"/>
          <w:color w:val="auto"/>
        </w:rPr>
        <w:t>” has the meaning set forth in Section 4.04(a).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 Repurchase Event</w:t>
      </w:r>
      <w:r>
        <w:rPr>
          <w:rFonts w:ascii="Arial" w:cs="Arial" w:eastAsia="Arial" w:hAnsi="Arial"/>
          <w:sz w:val="19"/>
          <w:szCs w:val="19"/>
          <w:color w:val="auto"/>
        </w:rPr>
        <w:t>” means the occurrence of both a Change of Control and a Rating Event.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Clearstream</w:t>
      </w:r>
      <w:r>
        <w:rPr>
          <w:rFonts w:ascii="Arial" w:cs="Arial" w:eastAsia="Arial" w:hAnsi="Arial"/>
          <w:sz w:val="19"/>
          <w:szCs w:val="19"/>
          <w:color w:val="auto"/>
        </w:rPr>
        <w:t>” means Clearstream Banking, S.A., or the successor to its securities clearance and settlement operations.</w:t>
      </w:r>
    </w:p>
    <w:p>
      <w:pPr>
        <w:spacing w:after="0" w:line="200"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the party named as such in this First Supplemental Indenture until a successor replaces it pursuant to the Indenture and thereafter means the successor.</w:t>
      </w:r>
    </w:p>
    <w:p>
      <w:pPr>
        <w:spacing w:after="0" w:line="10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Comparable Treasury Issue</w:t>
      </w:r>
      <w:r>
        <w:rPr>
          <w:rFonts w:ascii="Arial" w:cs="Arial" w:eastAsia="Arial" w:hAnsi="Arial"/>
          <w:sz w:val="19"/>
          <w:szCs w:val="19"/>
          <w:color w:val="auto"/>
        </w:rPr>
        <w:t>” means the United States Treasury security selected by an Independent Investment Banker as having an actual maturity most nearly comparable to the remaining term of the Notes to be redeemed pursuant to Section 4.02 (assuming, for this purpose, that the Notes to be redeemed matured on the applicable Par Call Date).</w:t>
      </w:r>
    </w:p>
    <w:p>
      <w:pPr>
        <w:spacing w:after="0" w:line="71" w:lineRule="exact"/>
        <w:rPr>
          <w:sz w:val="20"/>
          <w:szCs w:val="20"/>
          <w:color w:val="auto"/>
        </w:rPr>
      </w:pPr>
    </w:p>
    <w:p>
      <w:pPr>
        <w:ind w:right="2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Comparable Treasury Price</w:t>
      </w:r>
      <w:r>
        <w:rPr>
          <w:rFonts w:ascii="Arial" w:cs="Arial" w:eastAsia="Arial" w:hAnsi="Arial"/>
          <w:sz w:val="19"/>
          <w:szCs w:val="19"/>
          <w:color w:val="auto"/>
        </w:rPr>
        <w:t>” means, with respect to any Redemption Date pursuant to Section 4.02 hereof, (1) the arithmetic average of the applicable Reference Treasury Dealer Quotations for such Redemption Date after excluding the highest and lowest Reference Treasury Dealer Quotations, or (2) if the Company obtains fewer than four applicable Reference Treasury Dealer Quotations, the arithmetic average of all applicable Reference Treasury Dealer Quotations for such Redemption Date.</w:t>
      </w:r>
    </w:p>
    <w:p>
      <w:pPr>
        <w:spacing w:after="0" w:line="81"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Trust Office</w:t>
      </w:r>
      <w:r>
        <w:rPr>
          <w:rFonts w:ascii="Arial" w:cs="Arial" w:eastAsia="Arial" w:hAnsi="Arial"/>
          <w:sz w:val="22"/>
          <w:szCs w:val="22"/>
          <w:color w:val="auto"/>
        </w:rPr>
        <w:t>” means the designated office of the Trustee at which at any time its corporate trust business relating to this First Supplemental Indenture shall be administered, which office at the date hereof is located at CTSO Mail Operations, 600 South 4th Street, 7th Floor, Minneapolis, MN 55415, Attention: Theresa M. Jacobson,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133" w:lineRule="exact"/>
        <w:rPr>
          <w:sz w:val="20"/>
          <w:szCs w:val="20"/>
          <w:color w:val="auto"/>
        </w:rPr>
      </w:pPr>
    </w:p>
    <w:p>
      <w:pPr>
        <w:ind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Definitive Note</w:t>
      </w:r>
      <w:r>
        <w:rPr>
          <w:rFonts w:ascii="Arial" w:cs="Arial" w:eastAsia="Arial" w:hAnsi="Arial"/>
          <w:sz w:val="22"/>
          <w:szCs w:val="22"/>
          <w:color w:val="auto"/>
        </w:rPr>
        <w:t>” means a certificated Note containing, if required, the appropriate Restricted Notes Legend set forth in Section 2.02(e)(ii).</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 means DTC or any successor designated by the Company pursuant to the Indenture.</w:t>
      </w:r>
    </w:p>
    <w:p>
      <w:pPr>
        <w:spacing w:after="0" w:line="16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distribution</w:t>
      </w:r>
      <w:r>
        <w:rPr>
          <w:rFonts w:ascii="Arial" w:cs="Arial" w:eastAsia="Arial" w:hAnsi="Arial"/>
          <w:sz w:val="22"/>
          <w:szCs w:val="22"/>
          <w:color w:val="auto"/>
        </w:rPr>
        <w:t>” means the pro rata distribution of all of the Company’s issued and outstanding shares of common stock by XPO Logistics, Inc. to the stockholders of XPO Logistics, Inc. as of the close of business on the record date of such distribution, as determined by the board of directors of XPO Logistics, Inc.</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Account</w:t>
      </w:r>
      <w:r>
        <w:rPr>
          <w:rFonts w:ascii="Arial" w:cs="Arial" w:eastAsia="Arial" w:hAnsi="Arial"/>
          <w:sz w:val="22"/>
          <w:szCs w:val="22"/>
          <w:color w:val="auto"/>
        </w:rPr>
        <w:t>” means “Escrow Accounts,” as defined in the 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2" w:right="399" w:bottom="1440" w:gutter="0" w:footer="0" w:header="0"/>
        </w:sectPr>
      </w:pPr>
    </w:p>
    <w:bookmarkStart w:id="101" w:name="page102"/>
    <w:bookmarkEnd w:id="101"/>
    <w:p>
      <w:pPr>
        <w:ind w:right="5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Agent</w:t>
      </w:r>
      <w:r>
        <w:rPr>
          <w:rFonts w:ascii="Arial" w:cs="Arial" w:eastAsia="Arial" w:hAnsi="Arial"/>
          <w:sz w:val="22"/>
          <w:szCs w:val="22"/>
          <w:color w:val="auto"/>
        </w:rPr>
        <w:t>” means Wells Fargo Bank, National Association, in its capacity as Escrow Agent under the Escrow Agreement.</w:t>
      </w:r>
    </w:p>
    <w:p>
      <w:pPr>
        <w:spacing w:after="0" w:line="108" w:lineRule="exact"/>
        <w:rPr>
          <w:sz w:val="20"/>
          <w:szCs w:val="20"/>
          <w:color w:val="auto"/>
        </w:rPr>
      </w:pPr>
    </w:p>
    <w:p>
      <w:pPr>
        <w:ind w:right="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Agreement</w:t>
      </w:r>
      <w:r>
        <w:rPr>
          <w:rFonts w:ascii="Arial" w:cs="Arial" w:eastAsia="Arial" w:hAnsi="Arial"/>
          <w:sz w:val="22"/>
          <w:szCs w:val="22"/>
          <w:color w:val="auto"/>
        </w:rPr>
        <w:t>” means the Escrow Agreement entered into by and among the Company, the Escrow Agent and the Trustee concurrently with the closing of the offering of the Notes on the Issue Date.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 Certificate</w:t>
      </w:r>
      <w:r>
        <w:rPr>
          <w:rFonts w:ascii="Arial" w:cs="Arial" w:eastAsia="Arial" w:hAnsi="Arial"/>
          <w:sz w:val="22"/>
          <w:szCs w:val="22"/>
          <w:color w:val="auto"/>
        </w:rPr>
        <w:t>” has the meaning assigned to such term in the Escrow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Escrowed Property</w:t>
      </w:r>
      <w:r>
        <w:rPr>
          <w:rFonts w:ascii="Arial" w:cs="Arial" w:eastAsia="Arial" w:hAnsi="Arial"/>
          <w:sz w:val="22"/>
          <w:szCs w:val="22"/>
          <w:color w:val="auto"/>
        </w:rPr>
        <w:t>” has the meaning assigned to such term in the Escrow Agreement.</w:t>
      </w:r>
    </w:p>
    <w:p>
      <w:pPr>
        <w:spacing w:after="0" w:line="166"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Euroclear</w:t>
      </w:r>
      <w:r>
        <w:rPr>
          <w:rFonts w:ascii="Arial" w:cs="Arial" w:eastAsia="Arial" w:hAnsi="Arial"/>
          <w:sz w:val="22"/>
          <w:szCs w:val="22"/>
          <w:color w:val="auto"/>
        </w:rPr>
        <w:t>” means Euroclear S.A./N.V., a company organized under the laws of Belgium, as operator of the Euroclear System, or its successor in such capacity.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Notes</w:t>
      </w:r>
      <w:r>
        <w:rPr>
          <w:rFonts w:ascii="Arial" w:cs="Arial" w:eastAsia="Arial" w:hAnsi="Arial"/>
          <w:sz w:val="22"/>
          <w:szCs w:val="22"/>
          <w:color w:val="auto"/>
        </w:rPr>
        <w:t>” has the meaning specified in the Registration Rights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Supplemental Indenture</w:t>
      </w:r>
      <w:r>
        <w:rPr>
          <w:rFonts w:ascii="Arial" w:cs="Arial" w:eastAsia="Arial" w:hAnsi="Arial"/>
          <w:sz w:val="21"/>
          <w:szCs w:val="21"/>
          <w:color w:val="auto"/>
        </w:rPr>
        <w:t>” has the meaning specified in the recitals of this First Supplemental Indenture.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Fitch</w:t>
      </w:r>
      <w:r>
        <w:rPr>
          <w:rFonts w:ascii="Arial" w:cs="Arial" w:eastAsia="Arial" w:hAnsi="Arial"/>
          <w:sz w:val="22"/>
          <w:szCs w:val="22"/>
          <w:color w:val="auto"/>
        </w:rPr>
        <w:t>” means Fitch Ratings, Inc. and its subsidiaries, or any successor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w:t>
      </w:r>
      <w:r>
        <w:rPr>
          <w:rFonts w:ascii="Arial" w:cs="Arial" w:eastAsia="Arial" w:hAnsi="Arial"/>
          <w:sz w:val="22"/>
          <w:szCs w:val="22"/>
          <w:color w:val="auto"/>
        </w:rPr>
        <w:t>” has the meaning set forth in Section 2.01(b)(ii).</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Notes Legend</w:t>
      </w:r>
      <w:r>
        <w:rPr>
          <w:rFonts w:ascii="Arial" w:cs="Arial" w:eastAsia="Arial" w:hAnsi="Arial"/>
          <w:sz w:val="22"/>
          <w:szCs w:val="22"/>
          <w:color w:val="auto"/>
        </w:rPr>
        <w:t>” means the legend set forth in Section 2.02(e)(i).</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Indenture</w:t>
      </w:r>
      <w:r>
        <w:rPr>
          <w:rFonts w:ascii="Arial" w:cs="Arial" w:eastAsia="Arial" w:hAnsi="Arial"/>
          <w:sz w:val="22"/>
          <w:szCs w:val="22"/>
          <w:color w:val="auto"/>
        </w:rPr>
        <w:t>” has the meaning specified in the recitals of this First Supplemental Indenture.</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Investment Banker</w:t>
      </w:r>
      <w:r>
        <w:rPr>
          <w:rFonts w:ascii="Arial" w:cs="Arial" w:eastAsia="Arial" w:hAnsi="Arial"/>
          <w:sz w:val="22"/>
          <w:szCs w:val="22"/>
          <w:color w:val="auto"/>
        </w:rPr>
        <w:t xml:space="preserve">” means Barclays Capital Inc., Citigroup Global Markets Inc., Credit Agricole Securities (USA) Inc. or Goldman Sachs &amp; Co. LLC and any of their respective successors or their respective Affiliates as the Company may appoint from time to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of the foregoing ceases to be a Primary Treasury Dealer, the Company may substitute another Primary Treasury Dealer.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2026 Notes</w:t>
      </w:r>
      <w:r>
        <w:rPr>
          <w:rFonts w:ascii="Arial" w:cs="Arial" w:eastAsia="Arial" w:hAnsi="Arial"/>
          <w:sz w:val="22"/>
          <w:szCs w:val="22"/>
          <w:color w:val="auto"/>
        </w:rPr>
        <w:t>” has the meaning set forth in Section 3.01(b).</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2031 Notes</w:t>
      </w:r>
      <w:r>
        <w:rPr>
          <w:rFonts w:ascii="Arial" w:cs="Arial" w:eastAsia="Arial" w:hAnsi="Arial"/>
          <w:sz w:val="22"/>
          <w:szCs w:val="22"/>
          <w:color w:val="auto"/>
        </w:rPr>
        <w:t>” has the meaning set forth in Section 3.01(b).</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Notes</w:t>
      </w:r>
      <w:r>
        <w:rPr>
          <w:rFonts w:ascii="Arial" w:cs="Arial" w:eastAsia="Arial" w:hAnsi="Arial"/>
          <w:sz w:val="22"/>
          <w:szCs w:val="22"/>
          <w:color w:val="auto"/>
        </w:rPr>
        <w:t>” has the meaning set forth in Section 3.01(b).</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when used with respect to any Note, means the Stated Maturity of an installment of interest on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22" w:right="379" w:bottom="1440" w:gutter="0" w:footer="0" w:header="0"/>
        </w:sectPr>
      </w:pPr>
    </w:p>
    <w:bookmarkStart w:id="102" w:name="page103"/>
    <w:bookmarkEnd w:id="102"/>
    <w:p>
      <w:pPr>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 Grade Rating</w:t>
      </w:r>
      <w:r>
        <w:rPr>
          <w:rFonts w:ascii="Arial" w:cs="Arial" w:eastAsia="Arial" w:hAnsi="Arial"/>
          <w:sz w:val="19"/>
          <w:szCs w:val="19"/>
          <w:color w:val="auto"/>
        </w:rPr>
        <w:t>” means a rating of BBB- or better by Fitch (or its equivalent under any successor Rating Categories of Fitch); a rating of BBB- or better by S&amp;P (or its equivalent under any successor Rating Categories of S&amp;P); and the equivalent investment grade credit rating from any additional Rating Agency or Rating Agencies selected by the Company.</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w:t>
      </w:r>
      <w:r>
        <w:rPr>
          <w:rFonts w:ascii="Arial" w:cs="Arial" w:eastAsia="Arial" w:hAnsi="Arial"/>
          <w:sz w:val="22"/>
          <w:szCs w:val="22"/>
          <w:color w:val="auto"/>
        </w:rPr>
        <w:t>” has the meaning specified in the recitals of this First Supplemental Indenture.</w:t>
      </w:r>
    </w:p>
    <w:p>
      <w:pPr>
        <w:spacing w:after="0" w:line="166" w:lineRule="exact"/>
        <w:rPr>
          <w:sz w:val="20"/>
          <w:szCs w:val="20"/>
          <w:color w:val="auto"/>
        </w:rPr>
      </w:pPr>
    </w:p>
    <w:p>
      <w:pPr>
        <w:ind w:right="2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 Custodian</w:t>
      </w:r>
      <w:r>
        <w:rPr>
          <w:rFonts w:ascii="Arial" w:cs="Arial" w:eastAsia="Arial" w:hAnsi="Arial"/>
          <w:sz w:val="22"/>
          <w:szCs w:val="22"/>
          <w:color w:val="auto"/>
        </w:rPr>
        <w:t>” means the custodian with respect to a Global Note (as appointed by DTC), or any successor Person thereto and will initially be the Trustee.</w:t>
      </w:r>
    </w:p>
    <w:p>
      <w:pPr>
        <w:spacing w:after="0" w:line="108"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 Call Date</w:t>
      </w:r>
      <w:r>
        <w:rPr>
          <w:rFonts w:ascii="Arial" w:cs="Arial" w:eastAsia="Arial" w:hAnsi="Arial"/>
          <w:sz w:val="22"/>
          <w:szCs w:val="22"/>
          <w:color w:val="auto"/>
        </w:rPr>
        <w:t>” means (i) with respect to the 2026 Notes, June 15, 2026 (the date that is one month prior to the Stated Maturity of the principal of the 2026 Notes) and (ii) with respect to the 2031 Notes, April 15, 2031 (the date that is three months prior to the Stated Maturity of the principal of the 2031 Notes).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Primary Treasury Dealer</w:t>
      </w:r>
      <w:r>
        <w:rPr>
          <w:rFonts w:ascii="Arial" w:cs="Arial" w:eastAsia="Arial" w:hAnsi="Arial"/>
          <w:sz w:val="21"/>
          <w:szCs w:val="21"/>
          <w:color w:val="auto"/>
        </w:rPr>
        <w:t>” means a primary U.S. Government securities dealer in the United States of America.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w:t>
      </w:r>
      <w:r>
        <w:rPr>
          <w:rFonts w:ascii="Arial" w:cs="Arial" w:eastAsia="Arial" w:hAnsi="Arial"/>
          <w:sz w:val="22"/>
          <w:szCs w:val="22"/>
          <w:color w:val="auto"/>
        </w:rPr>
        <w:t>” of a Note means the principal amount of the Note.</w:t>
      </w:r>
    </w:p>
    <w:p>
      <w:pPr>
        <w:spacing w:after="0" w:line="166" w:lineRule="exact"/>
        <w:rPr>
          <w:sz w:val="20"/>
          <w:szCs w:val="20"/>
          <w:color w:val="auto"/>
        </w:rPr>
      </w:pPr>
    </w:p>
    <w:p>
      <w:pPr>
        <w:ind w:right="8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means the Purchase Agreement, dated as of July 17, 2021, among the Company and the Representatives.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Institutional Buyer</w:t>
      </w:r>
      <w:r>
        <w:rPr>
          <w:rFonts w:ascii="Arial" w:cs="Arial" w:eastAsia="Arial" w:hAnsi="Arial"/>
          <w:sz w:val="19"/>
          <w:szCs w:val="19"/>
          <w:color w:val="auto"/>
        </w:rPr>
        <w:t>” or “</w:t>
      </w:r>
      <w:r>
        <w:rPr>
          <w:rFonts w:ascii="Arial" w:cs="Arial" w:eastAsia="Arial" w:hAnsi="Arial"/>
          <w:sz w:val="19"/>
          <w:szCs w:val="19"/>
          <w:b w:val="1"/>
          <w:bCs w:val="1"/>
          <w:color w:val="auto"/>
        </w:rPr>
        <w:t>QIB</w:t>
      </w:r>
      <w:r>
        <w:rPr>
          <w:rFonts w:ascii="Arial" w:cs="Arial" w:eastAsia="Arial" w:hAnsi="Arial"/>
          <w:sz w:val="19"/>
          <w:szCs w:val="19"/>
          <w:color w:val="auto"/>
        </w:rPr>
        <w:t>” has the meaning specified in Rule 144A promulgated under the Securities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42" w:lineRule="exact"/>
        <w:rPr>
          <w:sz w:val="20"/>
          <w:szCs w:val="20"/>
          <w:color w:val="auto"/>
        </w:rPr>
      </w:pPr>
    </w:p>
    <w:p>
      <w:pPr>
        <w:ind w:right="8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Rating Agency</w:t>
      </w:r>
      <w:r>
        <w:rPr>
          <w:rFonts w:ascii="Arial" w:cs="Arial" w:eastAsia="Arial" w:hAnsi="Arial"/>
          <w:sz w:val="19"/>
          <w:szCs w:val="19"/>
          <w:color w:val="auto"/>
        </w:rPr>
        <w:t>” means (1) each of Fitch and S&amp;P, so long as such entity makes a rating of the Notes publicly available; and (2) if either of Fitch or S&amp;P ceases to rate the Notes or fails to make a rating of the Notes publicly available, a “nationally recognized statistical rating organization” within the meaning of Section 3(a)(62) of the Exchange Act, selected by the Company (as certified by a resolution of the Board of Directors) as a replacement agency for Fitch or S&amp;P, or both, as the case may be.</w:t>
      </w:r>
    </w:p>
    <w:p>
      <w:pPr>
        <w:spacing w:after="0" w:line="8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Rating Category</w:t>
      </w:r>
      <w:r>
        <w:rPr>
          <w:rFonts w:ascii="Arial" w:cs="Arial" w:eastAsia="Arial" w:hAnsi="Arial"/>
          <w:sz w:val="22"/>
          <w:szCs w:val="22"/>
          <w:color w:val="auto"/>
        </w:rPr>
        <w:t>” means (i) with respect to S&amp;P or Fitch, any of the following categories: BBB, BB, B, CCC, CC, C and D (or equivalent successor categories); and (ii) the equivalent of any such category of Fitch or S&amp;P used by another Rating Agency. In determining whether the rating of the Notes has decreased by one or more gradations, gradations within rating categories (+ and − for S&amp;P and Fitch; or the equivalent gradations for another Rating Agency) shall be taken into account (</w:t>
      </w:r>
      <w:r>
        <w:rPr>
          <w:rFonts w:ascii="Arial" w:cs="Arial" w:eastAsia="Arial" w:hAnsi="Arial"/>
          <w:sz w:val="22"/>
          <w:szCs w:val="22"/>
          <w:i w:val="1"/>
          <w:iCs w:val="1"/>
          <w:color w:val="auto"/>
        </w:rPr>
        <w:t>e.g.</w:t>
      </w:r>
      <w:r>
        <w:rPr>
          <w:rFonts w:ascii="Arial" w:cs="Arial" w:eastAsia="Arial" w:hAnsi="Arial"/>
          <w:sz w:val="22"/>
          <w:szCs w:val="22"/>
          <w:color w:val="auto"/>
        </w:rPr>
        <w:t>, with respect to S&amp;P and Fitch, a decline in a rating from BB+ to BB, as well as from BB− to B+, will constitute a decrease of one gradation).</w:t>
      </w:r>
    </w:p>
    <w:p>
      <w:pPr>
        <w:spacing w:after="0" w:line="133" w:lineRule="exact"/>
        <w:rPr>
          <w:sz w:val="20"/>
          <w:szCs w:val="20"/>
          <w:color w:val="auto"/>
        </w:rPr>
      </w:pPr>
    </w:p>
    <w:p>
      <w:pPr>
        <w:jc w:val="both"/>
        <w:ind w:right="30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Rating Event</w:t>
      </w:r>
      <w:r>
        <w:rPr>
          <w:rFonts w:ascii="Arial" w:cs="Arial" w:eastAsia="Arial" w:hAnsi="Arial"/>
          <w:sz w:val="21"/>
          <w:szCs w:val="21"/>
          <w:color w:val="auto"/>
        </w:rPr>
        <w:t>” means, with respect to a Series of Notes, the rating on such Series of Notes is lowered by both Rating Agencies and such Notes are rated below an Investment Grade Rating by both Rating Agencies, in any case on any day during the period (which period will be extended so long as the rating of such Series of Notes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103" w:name="page104"/>
    <w:bookmarkEnd w:id="103"/>
    <w:p>
      <w:pPr>
        <w:spacing w:after="0" w:line="290" w:lineRule="auto"/>
        <w:rPr>
          <w:sz w:val="20"/>
          <w:szCs w:val="20"/>
          <w:color w:val="auto"/>
        </w:rPr>
      </w:pPr>
      <w:r>
        <w:rPr>
          <w:rFonts w:ascii="Arial" w:cs="Arial" w:eastAsia="Arial" w:hAnsi="Arial"/>
          <w:sz w:val="19"/>
          <w:szCs w:val="19"/>
          <w:color w:val="auto"/>
        </w:rPr>
        <w:t xml:space="preserve">under publicly announced consideration for a possible downgrade by any of the Rating Agencies) commencing upon the first public notice of the occurrence of a Change of Control or the Company’s intention to effect a Change of Control and ending 60 days following the consummation of the Change of 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 Rating Event otherwise arising by virtue of a particular reduction in rating shall not be deemed to have occurred in respect of a particular Change of Control (and thus shall not be deemed a Rating Event) if the Rating Agencies making the reduction in rating to which this definition would otherwise apply do not announce or publicly confirm or inform the Company in writing at the Company’s request that the reduction was the result, in whole or in part, of any event or circumstance comprised of or arising as a result of, or in respect of, the applicable Change of Control (whether or not the applicable Change of Control shall have occurred at the time of the reduction).</w:t>
      </w:r>
    </w:p>
    <w:p>
      <w:pPr>
        <w:spacing w:after="0" w:line="96" w:lineRule="exact"/>
        <w:rPr>
          <w:sz w:val="20"/>
          <w:szCs w:val="20"/>
          <w:color w:val="auto"/>
        </w:rPr>
      </w:pPr>
    </w:p>
    <w:p>
      <w:pPr>
        <w:ind w:right="9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 with respect to any Note or portion thereof to be redeemed, means the date fixed for such redemption by or pursuant to the Indenture or such Note.</w:t>
      </w:r>
    </w:p>
    <w:p>
      <w:pPr>
        <w:spacing w:after="0" w:line="10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Treasury Dealer</w:t>
      </w:r>
      <w:r>
        <w:rPr>
          <w:rFonts w:ascii="Arial" w:cs="Arial" w:eastAsia="Arial" w:hAnsi="Arial"/>
          <w:sz w:val="22"/>
          <w:szCs w:val="22"/>
          <w:color w:val="auto"/>
        </w:rPr>
        <w:t>” means each of Barclays Capital Inc., Citigroup Global Markets Inc., Goldman Sachs &amp; Co. LLC and a primary U.S. government securities dealer selected by Credit Agricole Securities (USA) Inc., and any of their respective successors or Affiliates as the Company may appoint from time to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of them ceases to be a Primary Treasury Dealer, the Company may substitute therefor another Primary Treasury Dealer) and any other Primary Treasury Dealers selected by the Company, and any of their respective Affiliates or successors as the Company may appoint from time to time.</w:t>
      </w:r>
    </w:p>
    <w:p>
      <w:pPr>
        <w:spacing w:after="0" w:line="133" w:lineRule="exact"/>
        <w:rPr>
          <w:sz w:val="20"/>
          <w:szCs w:val="20"/>
          <w:color w:val="auto"/>
        </w:rPr>
      </w:pPr>
    </w:p>
    <w:p>
      <w:pPr>
        <w:ind w:right="8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Treasury Dealer Quotations</w:t>
      </w:r>
      <w:r>
        <w:rPr>
          <w:rFonts w:ascii="Arial" w:cs="Arial" w:eastAsia="Arial" w:hAnsi="Arial"/>
          <w:sz w:val="19"/>
          <w:szCs w:val="19"/>
          <w:color w:val="auto"/>
        </w:rPr>
        <w:t>” means, with respect to each Reference Treasury Dealer and any Redemption Date, the arithmetic average, as determined by the Company, of the bid and asked prices for the applicable Comparable Treasury Issue (expressed in each case as a percentage of its principal amount) quoted in writing to the Company by such Reference Treasury Dealer as of 5:00 p.m., New York City time, on the third Business Day preceding such Redemption Date.</w:t>
      </w:r>
    </w:p>
    <w:p>
      <w:pPr>
        <w:spacing w:after="0" w:line="81"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Registered Exchange Offer</w:t>
      </w:r>
      <w:r>
        <w:rPr>
          <w:rFonts w:ascii="Arial" w:cs="Arial" w:eastAsia="Arial" w:hAnsi="Arial"/>
          <w:sz w:val="22"/>
          <w:szCs w:val="22"/>
          <w:color w:val="auto"/>
        </w:rPr>
        <w:t>” means the offer by the Company, pursuant to the Registration Rights Agreement, to certain Holders of Initial Notes, to issue and deliver to such Holders, in exchange for their Initial Notes, a like aggregate principal amount of Exchange Notes registered under the Securities Act.</w:t>
      </w:r>
    </w:p>
    <w:p>
      <w:pPr>
        <w:spacing w:after="0" w:line="122" w:lineRule="exact"/>
        <w:rPr>
          <w:sz w:val="20"/>
          <w:szCs w:val="20"/>
          <w:color w:val="auto"/>
        </w:rPr>
      </w:pPr>
    </w:p>
    <w:p>
      <w:pPr>
        <w:ind w:right="6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means the Registration Rights Agreement, dated as of July 2, 2021, among the Company and the Representatives, as in effect from time to time.</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Regular Record Date</w:t>
      </w:r>
      <w:r>
        <w:rPr>
          <w:rFonts w:ascii="Arial" w:cs="Arial" w:eastAsia="Arial" w:hAnsi="Arial"/>
          <w:sz w:val="22"/>
          <w:szCs w:val="22"/>
          <w:color w:val="auto"/>
        </w:rPr>
        <w:t>,” for the interest payable on any Interest Payment Date on the Notes of any Series, means the date specified for that purpose herein.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S</w:t>
      </w:r>
      <w:r>
        <w:rPr>
          <w:rFonts w:ascii="Arial" w:cs="Arial" w:eastAsia="Arial" w:hAnsi="Arial"/>
          <w:sz w:val="22"/>
          <w:szCs w:val="22"/>
          <w:color w:val="auto"/>
        </w:rPr>
        <w:t>” means Regulation S promulgated under the Securities 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S Global Note</w:t>
      </w:r>
      <w:r>
        <w:rPr>
          <w:rFonts w:ascii="Arial" w:cs="Arial" w:eastAsia="Arial" w:hAnsi="Arial"/>
          <w:sz w:val="22"/>
          <w:szCs w:val="22"/>
          <w:color w:val="auto"/>
        </w:rPr>
        <w:t>” has the meaning set forth in Section 2.01(b).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8" w:right="359" w:bottom="1440" w:gutter="0" w:footer="0" w:header="0"/>
        </w:sectPr>
      </w:pPr>
    </w:p>
    <w:bookmarkStart w:id="104" w:name="page105"/>
    <w:bookmarkEnd w:id="104"/>
    <w:p>
      <w:pPr>
        <w:ind w:right="1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Remaining Scheduled Payments</w:t>
      </w:r>
      <w:r>
        <w:rPr>
          <w:rFonts w:ascii="Arial" w:cs="Arial" w:eastAsia="Arial" w:hAnsi="Arial"/>
          <w:sz w:val="21"/>
          <w:szCs w:val="21"/>
          <w:color w:val="auto"/>
        </w:rPr>
        <w:t xml:space="preserve">” means, with respect to any Note to be redeemed, the remaining scheduled payments of the principal thereof and interest thereon that would be due after the related Redemption Date if such note matured on the applicable Par Call Date but for such redemption;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such Redemption Date is not an Interest Payment Date with respect to such Note, the amount of the next scheduled interest payment thereon will be reduced by the amount of interest accrued thereon to, but excluding, such Redemption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means Barclays Capital Inc., Citigroup Global Markets Inc., Credit Agricole Securities (USA) Inc.</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and Goldman Sachs &amp; Co. LLC, as representatives of the initial purchasers named in Schedule A to the Purchase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Notes Legend</w:t>
      </w:r>
      <w:r>
        <w:rPr>
          <w:rFonts w:ascii="Arial" w:cs="Arial" w:eastAsia="Arial" w:hAnsi="Arial"/>
          <w:sz w:val="22"/>
          <w:szCs w:val="22"/>
          <w:color w:val="auto"/>
        </w:rPr>
        <w:t>” means the legend set forth in Section 2.02(e)(ii).</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Period</w:t>
      </w:r>
      <w:r>
        <w:rPr>
          <w:rFonts w:ascii="Arial" w:cs="Arial" w:eastAsia="Arial" w:hAnsi="Arial"/>
          <w:sz w:val="22"/>
          <w:szCs w:val="22"/>
          <w:color w:val="auto"/>
        </w:rPr>
        <w:t>” means with respect to any Notes the period that is 40 days after the later of (i) the original Issue Date of the Notes and (ii) the date when the Notes or any predecessor of the Notes are first offered to Persons other than distributors (as defined in Rule 902 of Regulation S) in reliance on Regulation 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promulgated under the Securities 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promulgated under the Securities 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 Global Note</w:t>
      </w:r>
      <w:r>
        <w:rPr>
          <w:rFonts w:ascii="Arial" w:cs="Arial" w:eastAsia="Arial" w:hAnsi="Arial"/>
          <w:sz w:val="22"/>
          <w:szCs w:val="22"/>
          <w:color w:val="auto"/>
        </w:rPr>
        <w:t>” has the meaning set forth in Section 2.01(b).</w:t>
      </w:r>
    </w:p>
    <w:p>
      <w:pPr>
        <w:spacing w:after="0" w:line="166" w:lineRule="exact"/>
        <w:rPr>
          <w:sz w:val="20"/>
          <w:szCs w:val="20"/>
          <w:color w:val="auto"/>
        </w:rPr>
      </w:pPr>
    </w:p>
    <w:p>
      <w:pPr>
        <w:ind w:right="3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Ratings Services, a division of The McGraw- Hill Companies, Inc., or any successor thereto.</w:t>
      </w:r>
    </w:p>
    <w:p>
      <w:pPr>
        <w:spacing w:after="0" w:line="108"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separation</w:t>
      </w:r>
      <w:r>
        <w:rPr>
          <w:rFonts w:ascii="Arial" w:cs="Arial" w:eastAsia="Arial" w:hAnsi="Arial"/>
          <w:sz w:val="22"/>
          <w:szCs w:val="22"/>
          <w:color w:val="auto"/>
        </w:rPr>
        <w:t>” means the separation of XPO Logistics, Inc.’s Logistics reporting segment from XPO Logistics, Inc.’s other businesses and the creation, as a result of the distribution, of the Company as an independent, publicly traded company holding the assets and liabilities associated with such Logistics business.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Mandatory Redemption</w:t>
      </w:r>
      <w:r>
        <w:rPr>
          <w:rFonts w:ascii="Arial" w:cs="Arial" w:eastAsia="Arial" w:hAnsi="Arial"/>
          <w:sz w:val="22"/>
          <w:szCs w:val="22"/>
          <w:color w:val="auto"/>
        </w:rPr>
        <w:t>” has the meaning set forth in Section 4.03(a).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Mandatory Redemption Date</w:t>
      </w:r>
      <w:r>
        <w:rPr>
          <w:rFonts w:ascii="Arial" w:cs="Arial" w:eastAsia="Arial" w:hAnsi="Arial"/>
          <w:sz w:val="22"/>
          <w:szCs w:val="22"/>
          <w:color w:val="auto"/>
        </w:rPr>
        <w:t>” has the meaning set forth in Section 4.03(b).</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Mandatory Redemption Event</w:t>
      </w:r>
      <w:r>
        <w:rPr>
          <w:rFonts w:ascii="Arial" w:cs="Arial" w:eastAsia="Arial" w:hAnsi="Arial"/>
          <w:sz w:val="22"/>
          <w:szCs w:val="22"/>
          <w:color w:val="auto"/>
        </w:rPr>
        <w:t>” has the meaning set forth in Section 4.03(a).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Mandatory Redemption Notice Date</w:t>
      </w:r>
      <w:r>
        <w:rPr>
          <w:rFonts w:ascii="Arial" w:cs="Arial" w:eastAsia="Arial" w:hAnsi="Arial"/>
          <w:sz w:val="22"/>
          <w:szCs w:val="22"/>
          <w:color w:val="auto"/>
        </w:rPr>
        <w:t>” has the meaning set forth in Section 4.03(b).</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Special Mandatory Redemption Price</w:t>
      </w:r>
      <w:r>
        <w:rPr>
          <w:rFonts w:ascii="Arial" w:cs="Arial" w:eastAsia="Arial" w:hAnsi="Arial"/>
          <w:sz w:val="22"/>
          <w:szCs w:val="22"/>
          <w:color w:val="auto"/>
        </w:rPr>
        <w:t>” has the meaning set forth in Section 4.03(a).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105" w:name="page106"/>
    <w:bookmarkEnd w:id="105"/>
    <w:p>
      <w:pPr>
        <w:jc w:val="both"/>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Stated Maturity</w:t>
      </w:r>
      <w:r>
        <w:rPr>
          <w:rFonts w:ascii="Arial" w:cs="Arial" w:eastAsia="Arial" w:hAnsi="Arial"/>
          <w:sz w:val="22"/>
          <w:szCs w:val="22"/>
          <w:color w:val="auto"/>
        </w:rPr>
        <w:t>” means, when used with respect to any Note or any installment of principal thereof or interest thereon, the date specified in such Note as the fixed date on which the principal of such Note or such installment of principal or interest is due and payable.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Restricted Note</w:t>
      </w:r>
      <w:r>
        <w:rPr>
          <w:rFonts w:ascii="Arial" w:cs="Arial" w:eastAsia="Arial" w:hAnsi="Arial"/>
          <w:sz w:val="21"/>
          <w:szCs w:val="21"/>
          <w:color w:val="auto"/>
        </w:rPr>
        <w:t>” means any Note that contains or is required to contain a Restricted Notes Legend.</w:t>
      </w:r>
    </w:p>
    <w:p>
      <w:pPr>
        <w:spacing w:after="0" w:line="177"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Rate</w:t>
      </w:r>
      <w:r>
        <w:rPr>
          <w:rFonts w:ascii="Arial" w:cs="Arial" w:eastAsia="Arial" w:hAnsi="Arial"/>
          <w:sz w:val="22"/>
          <w:szCs w:val="22"/>
          <w:color w:val="auto"/>
        </w:rPr>
        <w:t>” means, with respect to any Redemption Date pursuant to Section 4.02 hereof, the rate per annum equal to the semi-annual equivalent yield to maturity (computed as of the third Business Day immediately preceding that Redemption Date) of the applicable Comparable Treasury Issue. In determining this rate, the Company will assume a price for the applicable Comparable Treasury Issue (expressed as a percentage of its principal amount) equal to the applicable Comparable Treasury Price for such Redemption Date.</w:t>
      </w:r>
    </w:p>
    <w:p>
      <w:pPr>
        <w:spacing w:after="0" w:line="138"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All references to “interest” on the Notes will be deemed to include any additional interest thereof pursuant to the Registration Rights Agreement.</w:t>
      </w:r>
    </w:p>
    <w:p>
      <w:pPr>
        <w:spacing w:after="0" w:line="121" w:lineRule="exact"/>
        <w:rPr>
          <w:sz w:val="20"/>
          <w:szCs w:val="20"/>
          <w:color w:val="auto"/>
        </w:rPr>
      </w:pPr>
    </w:p>
    <w:p>
      <w:pPr>
        <w:ind w:right="160" w:firstLine="648"/>
        <w:spacing w:after="0" w:line="34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Conflicts with Base Indenture</w:t>
      </w:r>
      <w:r>
        <w:rPr>
          <w:rFonts w:ascii="Arial" w:cs="Arial" w:eastAsia="Arial" w:hAnsi="Arial"/>
          <w:sz w:val="19"/>
          <w:szCs w:val="19"/>
          <w:color w:val="auto"/>
        </w:rPr>
        <w:t>. In the event that any provision of this First Supplemental Indenture limits, qualifies or conflicts with a provision of the Base Indenture, such provision of this First Supplemental Indenture shall control.</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ORM OF</w:t>
      </w:r>
      <w:r>
        <w:rPr>
          <w:rFonts w:ascii="Arial" w:cs="Arial" w:eastAsia="Arial" w:hAnsi="Arial"/>
          <w:sz w:val="22"/>
          <w:szCs w:val="22"/>
          <w:color w:val="auto"/>
        </w:rPr>
        <w:t xml:space="preserve"> N</w:t>
      </w:r>
      <w:r>
        <w:rPr>
          <w:rFonts w:ascii="Arial" w:cs="Arial" w:eastAsia="Arial" w:hAnsi="Arial"/>
          <w:sz w:val="17"/>
          <w:szCs w:val="17"/>
          <w:color w:val="auto"/>
        </w:rPr>
        <w:t>OTES</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of Notes.</w:t>
      </w:r>
    </w:p>
    <w:p>
      <w:pPr>
        <w:spacing w:after="0" w:line="166" w:lineRule="exact"/>
        <w:rPr>
          <w:sz w:val="20"/>
          <w:szCs w:val="20"/>
          <w:color w:val="auto"/>
        </w:rPr>
      </w:pPr>
    </w:p>
    <w:p>
      <w:pPr>
        <w:ind w:right="40" w:firstLine="656"/>
        <w:spacing w:after="0" w:line="294" w:lineRule="auto"/>
        <w:tabs>
          <w:tab w:leader="none" w:pos="11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2026 Notes shall be substantially in the form of Exhibit A-1 and the 2031 Notes shall be substantially in the form of Exhibit A-2 hereto, which are hereby incorporated in and expressly made a part of the Indenture (other than, with respect to (x) any Additional Notes of any Series of the Notes, changes contemplated by Section 3.04 and (y) any Exchange Notes of any Series of the Notes, changes related to legends, transfer restrictions, CUSIP/ISIN numbers and other changes customary for notes registered pursuant to the Securities Act). The Notes may have notations, legends or endorsements required by law, rule or usage to which the Company is subject. Each Note shall be dated the date of its authentication.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660" w:right="100" w:firstLine="644"/>
        <w:spacing w:after="0" w:line="263" w:lineRule="auto"/>
        <w:tabs>
          <w:tab w:leader="none" w:pos="1724"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Initial Notes shall be offered and sold by the Company pursuant to the Purchase Agreement. The Notes shall be resold initially only (A) to persons reasonably believed to be QIBs in reliance on Rule 144A under the Securities Act or (B) outside the United States, to persons other than “U.S. persons” as defined in Rule 902 under the Securities Act in reliance on Regulation S. Notes may thereafter be transferred to, among others, purchasers reasonably believed to be QIBs, purchasers in reliance on Regulation S, and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106" w:name="page107"/>
    <w:bookmarkEnd w:id="106"/>
    <w:p>
      <w:pPr>
        <w:ind w:left="640"/>
        <w:spacing w:after="0" w:line="259" w:lineRule="auto"/>
        <w:rPr>
          <w:sz w:val="20"/>
          <w:szCs w:val="20"/>
          <w:color w:val="auto"/>
        </w:rPr>
      </w:pPr>
      <w:r>
        <w:rPr>
          <w:rFonts w:ascii="Arial" w:cs="Arial" w:eastAsia="Arial" w:hAnsi="Arial"/>
          <w:sz w:val="21"/>
          <w:szCs w:val="21"/>
          <w:color w:val="auto"/>
        </w:rPr>
        <w:t>subject to the restrictions on transfer set forth herein. Notes initially resold pursuant to Rule 144A shall be initially issued in the form of one or more permanent global securities in fully registered form (collectively, the “</w:t>
      </w:r>
      <w:r>
        <w:rPr>
          <w:rFonts w:ascii="Arial" w:cs="Arial" w:eastAsia="Arial" w:hAnsi="Arial"/>
          <w:sz w:val="21"/>
          <w:szCs w:val="21"/>
          <w:b w:val="1"/>
          <w:bCs w:val="1"/>
          <w:color w:val="auto"/>
        </w:rPr>
        <w:t>Rule 144A Global</w:t>
      </w:r>
      <w:r>
        <w:rPr>
          <w:rFonts w:ascii="Arial" w:cs="Arial" w:eastAsia="Arial" w:hAnsi="Arial"/>
          <w:sz w:val="21"/>
          <w:szCs w:val="21"/>
          <w:color w:val="auto"/>
        </w:rPr>
        <w:t xml:space="preserve"> </w:t>
      </w:r>
      <w:r>
        <w:rPr>
          <w:rFonts w:ascii="Arial" w:cs="Arial" w:eastAsia="Arial" w:hAnsi="Arial"/>
          <w:sz w:val="21"/>
          <w:szCs w:val="21"/>
          <w:b w:val="1"/>
          <w:bCs w:val="1"/>
          <w:color w:val="auto"/>
        </w:rPr>
        <w:t>Note</w:t>
      </w:r>
      <w:r>
        <w:rPr>
          <w:rFonts w:ascii="Arial" w:cs="Arial" w:eastAsia="Arial" w:hAnsi="Arial"/>
          <w:sz w:val="21"/>
          <w:szCs w:val="21"/>
          <w:color w:val="auto"/>
        </w:rPr>
        <w:t>”) and Notes initially resold pursuant to Regulation S shall be initially issued in the form of one or more permanent</w:t>
      </w:r>
      <w:r>
        <w:rPr>
          <w:rFonts w:ascii="Arial" w:cs="Arial" w:eastAsia="Arial" w:hAnsi="Arial"/>
          <w:sz w:val="21"/>
          <w:szCs w:val="21"/>
          <w:b w:val="1"/>
          <w:bCs w:val="1"/>
          <w:color w:val="auto"/>
        </w:rPr>
        <w:t xml:space="preserve"> </w:t>
      </w:r>
      <w:r>
        <w:rPr>
          <w:rFonts w:ascii="Arial" w:cs="Arial" w:eastAsia="Arial" w:hAnsi="Arial"/>
          <w:sz w:val="21"/>
          <w:szCs w:val="21"/>
          <w:color w:val="auto"/>
        </w:rPr>
        <w:t>global securities in fully registered form (collectively, the “</w:t>
      </w:r>
      <w:r>
        <w:rPr>
          <w:rFonts w:ascii="Arial" w:cs="Arial" w:eastAsia="Arial" w:hAnsi="Arial"/>
          <w:sz w:val="21"/>
          <w:szCs w:val="21"/>
          <w:b w:val="1"/>
          <w:bCs w:val="1"/>
          <w:color w:val="auto"/>
        </w:rPr>
        <w:t>Regulation S Global Note</w:t>
      </w:r>
      <w:r>
        <w:rPr>
          <w:rFonts w:ascii="Arial" w:cs="Arial" w:eastAsia="Arial" w:hAnsi="Arial"/>
          <w:sz w:val="21"/>
          <w:szCs w:val="21"/>
          <w:color w:val="auto"/>
        </w:rPr>
        <w:t>”), in each case without interest coupons and with the Global Notes Legend and the applicable Restricted Notes Legend set forth in Section 2.02(e) hereof. Such global securities shall be deposited on behalf of the purchasers of the Notes represented thereby with the Notes Custodian and registered in the name of DTC or a nominee of DTC, duly executed by the Company and authenticated by the Trustee as provided in this Indenture.</w:t>
      </w:r>
    </w:p>
    <w:p>
      <w:pPr>
        <w:spacing w:after="0" w:line="123" w:lineRule="exact"/>
        <w:rPr>
          <w:sz w:val="20"/>
          <w:szCs w:val="20"/>
          <w:color w:val="auto"/>
        </w:rPr>
      </w:pPr>
    </w:p>
    <w:p>
      <w:pPr>
        <w:ind w:left="640" w:right="100" w:firstLine="644"/>
        <w:spacing w:after="0" w:line="274" w:lineRule="auto"/>
        <w:tabs>
          <w:tab w:leader="none" w:pos="1764"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Rule 144A Global Note and the Regulation S Global Note are collectively referred to herein as “</w:t>
      </w:r>
      <w:r>
        <w:rPr>
          <w:rFonts w:ascii="Arial" w:cs="Arial" w:eastAsia="Arial" w:hAnsi="Arial"/>
          <w:sz w:val="21"/>
          <w:szCs w:val="21"/>
          <w:b w:val="1"/>
          <w:bCs w:val="1"/>
          <w:color w:val="auto"/>
        </w:rPr>
        <w:t>Global</w:t>
      </w:r>
      <w:r>
        <w:rPr>
          <w:rFonts w:ascii="Arial" w:cs="Arial" w:eastAsia="Arial" w:hAnsi="Arial"/>
          <w:sz w:val="21"/>
          <w:szCs w:val="21"/>
          <w:color w:val="auto"/>
        </w:rPr>
        <w:t xml:space="preserve"> </w:t>
      </w:r>
      <w:r>
        <w:rPr>
          <w:rFonts w:ascii="Arial" w:cs="Arial" w:eastAsia="Arial" w:hAnsi="Arial"/>
          <w:sz w:val="21"/>
          <w:szCs w:val="21"/>
          <w:b w:val="1"/>
          <w:bCs w:val="1"/>
          <w:color w:val="auto"/>
        </w:rPr>
        <w:t>Notes</w:t>
      </w:r>
      <w:r>
        <w:rPr>
          <w:rFonts w:ascii="Arial" w:cs="Arial" w:eastAsia="Arial" w:hAnsi="Arial"/>
          <w:sz w:val="21"/>
          <w:szCs w:val="21"/>
          <w:color w:val="auto"/>
        </w:rPr>
        <w:t>.” The aggregate principal amount of the Global Notes may from time to time be increased or decreased by</w:t>
      </w:r>
      <w:r>
        <w:rPr>
          <w:rFonts w:ascii="Arial" w:cs="Arial" w:eastAsia="Arial" w:hAnsi="Arial"/>
          <w:sz w:val="21"/>
          <w:szCs w:val="21"/>
          <w:b w:val="1"/>
          <w:bCs w:val="1"/>
          <w:color w:val="auto"/>
        </w:rPr>
        <w:t xml:space="preserve"> </w:t>
      </w:r>
      <w:r>
        <w:rPr>
          <w:rFonts w:ascii="Arial" w:cs="Arial" w:eastAsia="Arial" w:hAnsi="Arial"/>
          <w:sz w:val="21"/>
          <w:szCs w:val="21"/>
          <w:color w:val="auto"/>
        </w:rPr>
        <w:t>adjustments made on the records of the Trustee and DTC or its nominee as hereinafter provided.</w:t>
      </w:r>
    </w:p>
    <w:p>
      <w:pPr>
        <w:spacing w:after="0" w:line="110" w:lineRule="exact"/>
        <w:rPr>
          <w:rFonts w:ascii="Arial" w:cs="Arial" w:eastAsia="Arial" w:hAnsi="Arial"/>
          <w:sz w:val="21"/>
          <w:szCs w:val="21"/>
          <w:color w:val="auto"/>
        </w:rPr>
      </w:pPr>
    </w:p>
    <w:p>
      <w:pPr>
        <w:ind w:left="1080" w:hanging="44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This Section 2.01(c) shall apply only to a Global Note deposited with or on behalf of DTC.</w:t>
      </w:r>
    </w:p>
    <w:p>
      <w:pPr>
        <w:spacing w:after="0" w:line="165" w:lineRule="exact"/>
        <w:rPr>
          <w:rFonts w:ascii="Arial" w:cs="Arial" w:eastAsia="Arial" w:hAnsi="Arial"/>
          <w:sz w:val="22"/>
          <w:szCs w:val="22"/>
          <w:color w:val="auto"/>
        </w:rPr>
      </w:pPr>
    </w:p>
    <w:p>
      <w:pPr>
        <w:ind w:left="640" w:right="100" w:firstLine="644"/>
        <w:spacing w:after="0" w:line="312" w:lineRule="auto"/>
        <w:tabs>
          <w:tab w:leader="none" w:pos="1704"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Company shall execute and the Trustee shall, in accordance with this Section 2.01(c), authenticate and deliver initially one or more Global Notes that (A) shall be registered in the name of DTC or its nominee and (B) shall be delivered by the Trustee to DTC or pursuant to DTC’s instructions or held by the Trustee as Notes Custodian for DTC.</w:t>
      </w:r>
    </w:p>
    <w:p>
      <w:pPr>
        <w:spacing w:after="0" w:line="73" w:lineRule="exact"/>
        <w:rPr>
          <w:sz w:val="20"/>
          <w:szCs w:val="20"/>
          <w:color w:val="auto"/>
        </w:rPr>
      </w:pPr>
    </w:p>
    <w:p>
      <w:pPr>
        <w:ind w:left="640" w:right="60" w:firstLine="644"/>
        <w:spacing w:after="0" w:line="260" w:lineRule="auto"/>
        <w:tabs>
          <w:tab w:leader="none" w:pos="1768" w:val="left"/>
        </w:tabs>
        <w:numPr>
          <w:ilvl w:val="1"/>
          <w:numId w:val="73"/>
        </w:numPr>
        <w:rPr>
          <w:rFonts w:ascii="Arial" w:cs="Arial" w:eastAsia="Arial" w:hAnsi="Arial"/>
          <w:sz w:val="21"/>
          <w:szCs w:val="21"/>
          <w:color w:val="auto"/>
        </w:rPr>
      </w:pPr>
      <w:r>
        <w:rPr>
          <w:rFonts w:ascii="Arial" w:cs="Arial" w:eastAsia="Arial" w:hAnsi="Arial"/>
          <w:sz w:val="21"/>
          <w:szCs w:val="21"/>
          <w:color w:val="auto"/>
        </w:rPr>
        <w:t>Members of, or participants in, DTC (“</w:t>
      </w:r>
      <w:r>
        <w:rPr>
          <w:rFonts w:ascii="Arial" w:cs="Arial" w:eastAsia="Arial" w:hAnsi="Arial"/>
          <w:sz w:val="21"/>
          <w:szCs w:val="21"/>
          <w:b w:val="1"/>
          <w:bCs w:val="1"/>
          <w:color w:val="auto"/>
        </w:rPr>
        <w:t>Agent Members</w:t>
      </w:r>
      <w:r>
        <w:rPr>
          <w:rFonts w:ascii="Arial" w:cs="Arial" w:eastAsia="Arial" w:hAnsi="Arial"/>
          <w:sz w:val="21"/>
          <w:szCs w:val="21"/>
          <w:color w:val="auto"/>
        </w:rPr>
        <w:t>”) shall have no rights under this Indenture with respect to any Global Note held on their behalf by DTC (or by the Trustee as the Notes Custodian for DTC) or under such Global Note, and the Company, the Trustee and any agent of the Company or the Trustee shall be entitled to treat DTC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27" w:lineRule="exact"/>
        <w:rPr>
          <w:rFonts w:ascii="Arial" w:cs="Arial" w:eastAsia="Arial" w:hAnsi="Arial"/>
          <w:sz w:val="21"/>
          <w:szCs w:val="21"/>
          <w:color w:val="auto"/>
        </w:rPr>
      </w:pPr>
    </w:p>
    <w:p>
      <w:pPr>
        <w:ind w:left="-20" w:right="80" w:firstLine="656"/>
        <w:spacing w:after="0" w:line="263" w:lineRule="auto"/>
        <w:tabs>
          <w:tab w:leader="none" w:pos="10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Except as provided in Section 2.15 of the Base Indenture, owners of beneficial interests in Global Notes shall not be entitled to receive physical delivery of Definitive Notes.</w:t>
      </w:r>
    </w:p>
    <w:p>
      <w:pPr>
        <w:spacing w:after="0" w:line="120" w:lineRule="exact"/>
        <w:rPr>
          <w:rFonts w:ascii="Arial" w:cs="Arial" w:eastAsia="Arial" w:hAnsi="Arial"/>
          <w:sz w:val="22"/>
          <w:szCs w:val="22"/>
          <w:color w:val="auto"/>
        </w:rPr>
      </w:pPr>
    </w:p>
    <w:p>
      <w:pPr>
        <w:ind w:left="1080" w:hanging="444"/>
        <w:spacing w:after="0"/>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Notes may be presented for registration of transfer and exchange at the offices of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28" w:right="339" w:bottom="1440" w:gutter="0" w:footer="0" w:header="0"/>
        </w:sectPr>
      </w:pPr>
    </w:p>
    <w:bookmarkStart w:id="107" w:name="page108"/>
    <w:bookmarkEnd w:id="107"/>
    <w:p>
      <w:pPr>
        <w:ind w:left="660"/>
        <w:spacing w:after="0"/>
        <w:tabs>
          <w:tab w:leader="none" w:pos="19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Special Transfer Provisions</w:t>
      </w:r>
      <w:r>
        <w:rPr>
          <w:rFonts w:ascii="Arial" w:cs="Arial" w:eastAsia="Arial" w:hAnsi="Arial"/>
          <w:sz w:val="19"/>
          <w:szCs w:val="19"/>
          <w:color w:val="auto"/>
        </w:rPr>
        <w:t>.</w:t>
      </w:r>
    </w:p>
    <w:p>
      <w:pPr>
        <w:spacing w:after="0" w:line="166" w:lineRule="exact"/>
        <w:rPr>
          <w:sz w:val="20"/>
          <w:szCs w:val="20"/>
          <w:color w:val="auto"/>
        </w:rPr>
      </w:pPr>
    </w:p>
    <w:p>
      <w:pPr>
        <w:ind w:left="1120" w:hanging="464"/>
        <w:spacing w:after="0"/>
        <w:tabs>
          <w:tab w:leader="none" w:pos="1120"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Transfer and Exchange of Definitive Notes</w:t>
      </w:r>
      <w:r>
        <w:rPr>
          <w:rFonts w:ascii="Arial" w:cs="Arial" w:eastAsia="Arial" w:hAnsi="Arial"/>
          <w:sz w:val="19"/>
          <w:szCs w:val="19"/>
          <w:color w:val="auto"/>
        </w:rPr>
        <w:t>. When Definitive Notes are presented to the Registrar with a request:</w:t>
      </w:r>
    </w:p>
    <w:p>
      <w:pPr>
        <w:spacing w:after="0" w:line="200" w:lineRule="exact"/>
        <w:rPr>
          <w:rFonts w:ascii="Arial" w:cs="Arial" w:eastAsia="Arial" w:hAnsi="Arial"/>
          <w:sz w:val="19"/>
          <w:szCs w:val="19"/>
          <w:color w:val="auto"/>
        </w:rPr>
      </w:pPr>
    </w:p>
    <w:p>
      <w:pPr>
        <w:ind w:left="1720" w:hanging="416"/>
        <w:spacing w:after="0"/>
        <w:tabs>
          <w:tab w:leader="none" w:pos="17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to register the transfer of such Definitive Notes; or</w:t>
      </w:r>
    </w:p>
    <w:p>
      <w:pPr>
        <w:spacing w:after="0" w:line="165" w:lineRule="exact"/>
        <w:rPr>
          <w:rFonts w:ascii="Arial" w:cs="Arial" w:eastAsia="Arial" w:hAnsi="Arial"/>
          <w:sz w:val="22"/>
          <w:szCs w:val="22"/>
          <w:color w:val="auto"/>
        </w:rPr>
      </w:pPr>
    </w:p>
    <w:p>
      <w:pPr>
        <w:ind w:left="660" w:right="440" w:firstLine="644"/>
        <w:spacing w:after="0" w:line="263" w:lineRule="auto"/>
        <w:tabs>
          <w:tab w:leader="none" w:pos="1788" w:val="left"/>
        </w:tabs>
        <w:numPr>
          <w:ilvl w:val="1"/>
          <w:numId w:val="75"/>
        </w:numPr>
        <w:rPr>
          <w:rFonts w:ascii="Arial" w:cs="Arial" w:eastAsia="Arial" w:hAnsi="Arial"/>
          <w:sz w:val="22"/>
          <w:szCs w:val="22"/>
          <w:color w:val="auto"/>
        </w:rPr>
      </w:pPr>
      <w:r>
        <w:rPr>
          <w:rFonts w:ascii="Arial" w:cs="Arial" w:eastAsia="Arial" w:hAnsi="Arial"/>
          <w:sz w:val="22"/>
          <w:szCs w:val="22"/>
          <w:color w:val="auto"/>
        </w:rPr>
        <w:t>to exchange such Definitive Notes for an equal principal amount of Definitive Notes of other authorized denominations,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the Registrar shall register the transfer or make the exchange as requested if its reasonable requirements for such transaction are met; provided, however, that the Definitive Notes surrendered for transfer or exchange:</w:t>
      </w:r>
    </w:p>
    <w:p>
      <w:pPr>
        <w:spacing w:after="0" w:line="121" w:lineRule="exact"/>
        <w:rPr>
          <w:sz w:val="20"/>
          <w:szCs w:val="20"/>
          <w:color w:val="auto"/>
        </w:rPr>
      </w:pPr>
    </w:p>
    <w:p>
      <w:pPr>
        <w:ind w:left="1300" w:right="80" w:firstLine="652"/>
        <w:spacing w:after="0" w:line="253" w:lineRule="auto"/>
        <w:tabs>
          <w:tab w:leader="none" w:pos="2464" w:val="left"/>
        </w:tabs>
        <w:numPr>
          <w:ilvl w:val="2"/>
          <w:numId w:val="76"/>
        </w:numPr>
        <w:rPr>
          <w:rFonts w:ascii="Arial" w:cs="Arial" w:eastAsia="Arial" w:hAnsi="Arial"/>
          <w:sz w:val="22"/>
          <w:szCs w:val="22"/>
          <w:color w:val="auto"/>
        </w:rPr>
      </w:pPr>
      <w:r>
        <w:rPr>
          <w:rFonts w:ascii="Arial" w:cs="Arial" w:eastAsia="Arial" w:hAnsi="Arial"/>
          <w:sz w:val="22"/>
          <w:szCs w:val="22"/>
          <w:color w:val="auto"/>
        </w:rPr>
        <w:t>shall be duly endorsed or accompanied by a written instrument of transfer in form reasonably satisfactory to the Company and the Registrar, duly executed by the Holder thereof or its attorney duly authorized in writing; and</w:t>
      </w:r>
    </w:p>
    <w:p>
      <w:pPr>
        <w:spacing w:after="0" w:line="131" w:lineRule="exact"/>
        <w:rPr>
          <w:rFonts w:ascii="Arial" w:cs="Arial" w:eastAsia="Arial" w:hAnsi="Arial"/>
          <w:sz w:val="22"/>
          <w:szCs w:val="22"/>
          <w:color w:val="auto"/>
        </w:rPr>
      </w:pPr>
    </w:p>
    <w:p>
      <w:pPr>
        <w:ind w:left="1300" w:right="240" w:firstLine="652"/>
        <w:spacing w:after="0" w:line="248" w:lineRule="auto"/>
        <w:tabs>
          <w:tab w:leader="none" w:pos="2452" w:val="left"/>
        </w:tabs>
        <w:numPr>
          <w:ilvl w:val="2"/>
          <w:numId w:val="76"/>
        </w:numPr>
        <w:rPr>
          <w:rFonts w:ascii="Arial" w:cs="Arial" w:eastAsia="Arial" w:hAnsi="Arial"/>
          <w:sz w:val="22"/>
          <w:szCs w:val="22"/>
          <w:color w:val="auto"/>
        </w:rPr>
      </w:pPr>
      <w:r>
        <w:rPr>
          <w:rFonts w:ascii="Arial" w:cs="Arial" w:eastAsia="Arial" w:hAnsi="Arial"/>
          <w:sz w:val="22"/>
          <w:szCs w:val="22"/>
          <w:color w:val="auto"/>
        </w:rPr>
        <w:t>are accompanied by the following additional information and documents, as applicable: (x) if such Definitive Notes are being delivered to the Registrar by a Holder for registration in the name of such Holder, without transfer, a certification from such Holder to that effect; or (y) if such Definitive Notes are being transferred to the Company, a certification to that effect (in each case in the form set forth on the reverse side of the Initial Note); or</w:t>
      </w:r>
    </w:p>
    <w:p>
      <w:pPr>
        <w:spacing w:after="0" w:line="137" w:lineRule="exact"/>
        <w:rPr>
          <w:rFonts w:ascii="Arial" w:cs="Arial" w:eastAsia="Arial" w:hAnsi="Arial"/>
          <w:sz w:val="22"/>
          <w:szCs w:val="22"/>
          <w:color w:val="auto"/>
        </w:rPr>
      </w:pPr>
    </w:p>
    <w:p>
      <w:pPr>
        <w:ind w:left="1300" w:right="160" w:firstLine="652"/>
        <w:spacing w:after="0" w:line="297" w:lineRule="auto"/>
        <w:tabs>
          <w:tab w:leader="none" w:pos="2452"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such Definitive Notes are being transferred pursuant to an exemption from registration in accordance with Rule 144 under the Securities Act or in reliance upon another exemption from the registration requirements of the Securities Act, (i) a certification to that effect (in the form set forth on the reverse side of the Initial Note) and (ii) if the Company or Registrar so requests, an opinion of counsel or other evidence reasonably satisfactory to it as to the compliance with the restrictions set forth in the legend set forth in Section 2.02(e)(ii).</w:t>
      </w:r>
    </w:p>
    <w:p>
      <w:pPr>
        <w:spacing w:after="0" w:line="92" w:lineRule="exact"/>
        <w:rPr>
          <w:rFonts w:ascii="Arial" w:cs="Arial" w:eastAsia="Arial" w:hAnsi="Arial"/>
          <w:sz w:val="19"/>
          <w:szCs w:val="19"/>
          <w:color w:val="auto"/>
        </w:rPr>
      </w:pPr>
    </w:p>
    <w:p>
      <w:pPr>
        <w:ind w:firstLine="656"/>
        <w:spacing w:after="0" w:line="250" w:lineRule="auto"/>
        <w:tabs>
          <w:tab w:leader="none" w:pos="1116"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Restrictions on Transfer of a Definitive Note for a Beneficial Interest in a Global Note</w:t>
      </w:r>
      <w:r>
        <w:rPr>
          <w:rFonts w:ascii="Arial" w:cs="Arial" w:eastAsia="Arial" w:hAnsi="Arial"/>
          <w:sz w:val="22"/>
          <w:szCs w:val="22"/>
          <w:color w:val="auto"/>
        </w:rPr>
        <w:t>. A Definitive Note may not</w:t>
      </w:r>
      <w:r>
        <w:rPr>
          <w:rFonts w:ascii="Arial" w:cs="Arial" w:eastAsia="Arial" w:hAnsi="Arial"/>
          <w:sz w:val="22"/>
          <w:szCs w:val="22"/>
          <w:i w:val="1"/>
          <w:iCs w:val="1"/>
          <w:color w:val="auto"/>
        </w:rPr>
        <w:t xml:space="preserve"> </w:t>
      </w:r>
      <w:r>
        <w:rPr>
          <w:rFonts w:ascii="Arial" w:cs="Arial" w:eastAsia="Arial" w:hAnsi="Arial"/>
          <w:sz w:val="22"/>
          <w:szCs w:val="22"/>
          <w:color w:val="auto"/>
        </w:rPr>
        <w:t>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33" w:lineRule="exact"/>
        <w:rPr>
          <w:rFonts w:ascii="Arial" w:cs="Arial" w:eastAsia="Arial" w:hAnsi="Arial"/>
          <w:sz w:val="22"/>
          <w:szCs w:val="22"/>
          <w:color w:val="auto"/>
        </w:rPr>
      </w:pPr>
    </w:p>
    <w:p>
      <w:pPr>
        <w:ind w:left="660" w:right="80" w:firstLine="644"/>
        <w:spacing w:after="0" w:line="253" w:lineRule="auto"/>
        <w:tabs>
          <w:tab w:leader="none" w:pos="1728" w:val="left"/>
        </w:tabs>
        <w:numPr>
          <w:ilvl w:val="1"/>
          <w:numId w:val="77"/>
        </w:numPr>
        <w:rPr>
          <w:rFonts w:ascii="Arial" w:cs="Arial" w:eastAsia="Arial" w:hAnsi="Arial"/>
          <w:sz w:val="22"/>
          <w:szCs w:val="22"/>
          <w:color w:val="auto"/>
        </w:rPr>
      </w:pPr>
      <w:r>
        <w:rPr>
          <w:rFonts w:ascii="Arial" w:cs="Arial" w:eastAsia="Arial" w:hAnsi="Arial"/>
          <w:sz w:val="22"/>
          <w:szCs w:val="22"/>
          <w:color w:val="auto"/>
        </w:rPr>
        <w:t>certification (in the form set forth on the reverse side of the applicable Initial Note) that such Definitive Note is being transferred (A) to a person reasonably believed to be QIB in accordance with Rule 144A or (B) to a non-U.S. Person outside the United States in an offshore transaction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108" w:name="page109"/>
    <w:bookmarkEnd w:id="108"/>
    <w:p>
      <w:pPr>
        <w:ind w:left="660"/>
        <w:spacing w:after="0"/>
        <w:rPr>
          <w:sz w:val="20"/>
          <w:szCs w:val="20"/>
          <w:color w:val="auto"/>
        </w:rPr>
      </w:pPr>
      <w:r>
        <w:rPr>
          <w:rFonts w:ascii="Arial" w:cs="Arial" w:eastAsia="Arial" w:hAnsi="Arial"/>
          <w:sz w:val="22"/>
          <w:szCs w:val="22"/>
          <w:color w:val="auto"/>
        </w:rPr>
        <w:t>meaning of Regulation S and in compliance with Rule 903 or Rule 904 under the Securities Act; and</w:t>
      </w:r>
    </w:p>
    <w:p>
      <w:pPr>
        <w:spacing w:after="0" w:line="166" w:lineRule="exact"/>
        <w:rPr>
          <w:sz w:val="20"/>
          <w:szCs w:val="20"/>
          <w:color w:val="auto"/>
        </w:rPr>
      </w:pPr>
    </w:p>
    <w:p>
      <w:pPr>
        <w:ind w:left="660" w:firstLine="644"/>
        <w:spacing w:after="0" w:line="250" w:lineRule="auto"/>
        <w:tabs>
          <w:tab w:leader="none" w:pos="1788" w:val="left"/>
        </w:tabs>
        <w:numPr>
          <w:ilvl w:val="0"/>
          <w:numId w:val="78"/>
        </w:numPr>
        <w:rPr>
          <w:rFonts w:ascii="Arial" w:cs="Arial" w:eastAsia="Arial" w:hAnsi="Arial"/>
          <w:sz w:val="22"/>
          <w:szCs w:val="22"/>
          <w:color w:val="auto"/>
        </w:rPr>
      </w:pPr>
      <w:r>
        <w:rPr>
          <w:rFonts w:ascii="Arial" w:cs="Arial" w:eastAsia="Arial" w:hAnsi="Arial"/>
          <w:sz w:val="22"/>
          <w:szCs w:val="22"/>
          <w:color w:val="auto"/>
        </w:rPr>
        <w:t>written instructions directing the Trustee to make, or to direct the Notes Custodian to make, an adjustment on its books and records with respect to such Global Note to reflect an increase in the aggregate principal amount of the Notes represented by the Global Note, such instructions to contain information regarding the DTC account to be credited with such increase,</w:t>
      </w:r>
    </w:p>
    <w:p>
      <w:pPr>
        <w:spacing w:after="0" w:line="134"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then the Trustee shall cancel such Definitive Note and cause, or direct the Notes Custodian to cause, in accordance with the standing instructions and procedures existing between DTC and the Notes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Definitive Notes pursuant to this Indenture, the Company shall issue and the Trustee shall authenticate, upon receipt of an order from the Company, a new Global Note in the appropriate principal amount.</w:t>
      </w:r>
    </w:p>
    <w:p>
      <w:pPr>
        <w:spacing w:after="0" w:line="97" w:lineRule="exact"/>
        <w:rPr>
          <w:sz w:val="20"/>
          <w:szCs w:val="20"/>
          <w:color w:val="auto"/>
        </w:rPr>
      </w:pPr>
    </w:p>
    <w:p>
      <w:pPr>
        <w:ind w:left="1120" w:hanging="464"/>
        <w:spacing w:after="0"/>
        <w:tabs>
          <w:tab w:leader="none" w:pos="112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660" w:right="80" w:firstLine="644"/>
        <w:spacing w:after="0" w:line="246" w:lineRule="auto"/>
        <w:tabs>
          <w:tab w:leader="none" w:pos="1724"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transfer and exchange of Global Notes or beneficial interests therein shall be effected through DTC, in accordance with this First Supplemental Indenture (including applicable restrictions on transfer set forth herein, if any) and the Applicable Procedures therefor. A transferor of a beneficial interest in a Global Note shall deliver a written or electronic order given in accordance with the Applicable Procedures containing information regarding the participant account of DTC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39" w:lineRule="exact"/>
        <w:rPr>
          <w:rFonts w:ascii="Arial" w:cs="Arial" w:eastAsia="Arial" w:hAnsi="Arial"/>
          <w:sz w:val="22"/>
          <w:szCs w:val="22"/>
          <w:color w:val="auto"/>
        </w:rPr>
      </w:pPr>
    </w:p>
    <w:p>
      <w:pPr>
        <w:ind w:left="660" w:right="80" w:firstLine="644"/>
        <w:spacing w:after="0" w:line="292" w:lineRule="auto"/>
        <w:tabs>
          <w:tab w:leader="none" w:pos="1784" w:val="left"/>
        </w:tabs>
        <w:numPr>
          <w:ilvl w:val="1"/>
          <w:numId w:val="79"/>
        </w:numPr>
        <w:rPr>
          <w:rFonts w:ascii="Arial" w:cs="Arial" w:eastAsia="Arial" w:hAnsi="Arial"/>
          <w:sz w:val="19"/>
          <w:szCs w:val="19"/>
          <w:color w:val="auto"/>
        </w:rPr>
      </w:pPr>
      <w:r>
        <w:rPr>
          <w:rFonts w:ascii="Arial" w:cs="Arial" w:eastAsia="Arial" w:hAnsi="Arial"/>
          <w:sz w:val="19"/>
          <w:szCs w:val="19"/>
          <w:color w:val="auto"/>
        </w:rPr>
        <w:t>Transfers by an owner of a beneficial interest in a Rule 144A Global Note to a transferee who takes delivery of such interest through a Regulation S Global Note of the same Series, whether before or after the expiration of the Restricted Period, shall be made in accordance with the Applicable Procedures and only upon receipt by the Trustee of a written certification (in the form set forth on the reverse side of the Initial Note) from the transferor to the effect that such transfer is being made in accordance with Rule 903 or Rule 904 of Regulation S or (if available) Rule 144 under the Securities Act and, if such transfer is being made prior to the expiration of the Restricted Period, the interest transferred shall be held immediately thereafter through Euroclear, Clearstream or their respective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28" w:right="359" w:bottom="1440" w:gutter="0" w:footer="0" w:header="0"/>
        </w:sectPr>
      </w:pPr>
    </w:p>
    <w:bookmarkStart w:id="109" w:name="page110"/>
    <w:bookmarkEnd w:id="109"/>
    <w:p>
      <w:pPr>
        <w:ind w:left="4" w:firstLine="644"/>
        <w:spacing w:after="0" w:line="259" w:lineRule="auto"/>
        <w:tabs>
          <w:tab w:leader="none" w:pos="1192" w:val="left"/>
        </w:tabs>
        <w:numPr>
          <w:ilvl w:val="1"/>
          <w:numId w:val="80"/>
        </w:numPr>
        <w:rPr>
          <w:rFonts w:ascii="Arial" w:cs="Arial" w:eastAsia="Arial" w:hAnsi="Arial"/>
          <w:sz w:val="21"/>
          <w:szCs w:val="21"/>
          <w:color w:val="auto"/>
        </w:rPr>
      </w:pPr>
      <w:r>
        <w:rPr>
          <w:rFonts w:ascii="Arial" w:cs="Arial" w:eastAsia="Arial" w:hAnsi="Arial"/>
          <w:sz w:val="21"/>
          <w:szCs w:val="21"/>
          <w:color w:val="auto"/>
        </w:rPr>
        <w:t>Beneficial interests in a Regulation S Global Note may be exchanged for interests in a Rule 144A Global Note of the same Series in accordance with the Applicable Procedures and if (1) such exchange occurs in connection with a transfer of Notes in compliance with Rule 144A and (2) the transferor of the beneficial interest in the Regulation S Global Note first delivers to the Trustee a written certificate (in the form set forth on the reverse side of the Initial Note) to the effect that the beneficial interest in the Regulation S Global Note, is being transferred to a Person (A) who the transferor reasonably believes to be a QIB, (B) purchasing for its own account or the account of a QIB in a transaction meeting the requirements of Rule 144A, and (C) in accordance with all applicable securities laws of the States of the United States and other jurisdictions.</w:t>
      </w:r>
    </w:p>
    <w:p>
      <w:pPr>
        <w:spacing w:after="0" w:line="129" w:lineRule="exact"/>
        <w:rPr>
          <w:rFonts w:ascii="Arial" w:cs="Arial" w:eastAsia="Arial" w:hAnsi="Arial"/>
          <w:sz w:val="21"/>
          <w:szCs w:val="21"/>
          <w:color w:val="auto"/>
        </w:rPr>
      </w:pPr>
    </w:p>
    <w:p>
      <w:pPr>
        <w:ind w:left="4" w:right="80" w:firstLine="644"/>
        <w:spacing w:after="0" w:line="297" w:lineRule="auto"/>
        <w:tabs>
          <w:tab w:leader="none" w:pos="11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92" w:lineRule="exact"/>
        <w:rPr>
          <w:rFonts w:ascii="Arial" w:cs="Arial" w:eastAsia="Arial" w:hAnsi="Arial"/>
          <w:sz w:val="19"/>
          <w:szCs w:val="19"/>
          <w:color w:val="auto"/>
        </w:rPr>
      </w:pPr>
    </w:p>
    <w:p>
      <w:pPr>
        <w:ind w:left="4" w:firstLine="644"/>
        <w:spacing w:after="0" w:line="250" w:lineRule="auto"/>
        <w:tabs>
          <w:tab w:leader="none" w:pos="11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Notwithstanding any other provisions of this First Supplemental Indenture (other than the provisions set forth in Section 2.15 of the Base Indenture), a Global Note may not be transferred as a whole except by DTC to a nominee of DTC or by a nominee of DTC to DTC or another nominee of DTC or by DTC or any such nominee to a successor to DTC or a nominee of such successor to DTC.</w:t>
      </w:r>
    </w:p>
    <w:p>
      <w:pPr>
        <w:spacing w:after="0" w:line="133" w:lineRule="exact"/>
        <w:rPr>
          <w:rFonts w:ascii="Arial" w:cs="Arial" w:eastAsia="Arial" w:hAnsi="Arial"/>
          <w:sz w:val="22"/>
          <w:szCs w:val="22"/>
          <w:color w:val="auto"/>
        </w:rPr>
      </w:pPr>
    </w:p>
    <w:p>
      <w:pPr>
        <w:ind w:left="4" w:right="60" w:firstLine="644"/>
        <w:spacing w:after="0" w:line="292" w:lineRule="auto"/>
        <w:tabs>
          <w:tab w:leader="none" w:pos="11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In the event that a Global Note is exchanged for Definitive Notes pursuant to Section 2.15 of the Base Indenture prior to the consummation of the Registered Exchange Offer or the effectiveness of a Shelf Registration Statement (as defined in the Registration Rights Agreement) with respect to such Notes, such Notes may be exchanged only in accordance with such procedures as are substantially consistent with the provisions of this Section 2.02 (including the certification requirements set forth on the reverse of the Initial Notes intended to ensure that such transfers comply with Rule 144, Rule 144A, Regulation S or such other applicable exemption from registration under the Securities Act, as the case may be) and such other procedures as may from time to time be adopted by the Company.</w:t>
      </w:r>
    </w:p>
    <w:p>
      <w:pPr>
        <w:spacing w:after="0" w:line="96" w:lineRule="exact"/>
        <w:rPr>
          <w:rFonts w:ascii="Arial" w:cs="Arial" w:eastAsia="Arial" w:hAnsi="Arial"/>
          <w:sz w:val="19"/>
          <w:szCs w:val="19"/>
          <w:color w:val="auto"/>
        </w:rPr>
      </w:pPr>
    </w:p>
    <w:p>
      <w:pPr>
        <w:ind w:left="464" w:hanging="464"/>
        <w:spacing w:after="0"/>
        <w:tabs>
          <w:tab w:leader="none" w:pos="464"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Restrictions on Transfer of Regulation S Global Notes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 w:right="180" w:firstLine="644"/>
        <w:spacing w:after="0" w:line="250" w:lineRule="auto"/>
        <w:tabs>
          <w:tab w:leader="none" w:pos="1072" w:val="left"/>
        </w:tabs>
        <w:numPr>
          <w:ilvl w:val="1"/>
          <w:numId w:val="81"/>
        </w:numPr>
        <w:rPr>
          <w:rFonts w:ascii="Arial" w:cs="Arial" w:eastAsia="Arial" w:hAnsi="Arial"/>
          <w:sz w:val="22"/>
          <w:szCs w:val="22"/>
          <w:color w:val="auto"/>
        </w:rPr>
      </w:pPr>
      <w:r>
        <w:rPr>
          <w:rFonts w:ascii="Arial" w:cs="Arial" w:eastAsia="Arial" w:hAnsi="Arial"/>
          <w:sz w:val="22"/>
          <w:szCs w:val="22"/>
          <w:color w:val="auto"/>
        </w:rPr>
        <w:t>Prior to the expiration of the Restricted Period, interests in a Regulation S Global Note may be held through Euroclear, Clearstream or through organizations that are participants in Euroclear or Clearsteam. During the Restricted Period, beneficial ownership interests in a Regulation S Global Note may only be sold, pledged or transferred through Euroclear, Clearstream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84"/>
          </w:cols>
          <w:pgMar w:left="976" w:top="1428" w:right="339" w:bottom="1440" w:gutter="0" w:footer="0" w:header="0"/>
        </w:sectPr>
      </w:pPr>
    </w:p>
    <w:bookmarkStart w:id="110" w:name="page111"/>
    <w:bookmarkEnd w:id="110"/>
    <w:p>
      <w:pPr>
        <w:ind w:left="4"/>
        <w:spacing w:after="0" w:line="257" w:lineRule="auto"/>
        <w:rPr>
          <w:sz w:val="20"/>
          <w:szCs w:val="20"/>
          <w:color w:val="auto"/>
        </w:rPr>
      </w:pPr>
      <w:r>
        <w:rPr>
          <w:rFonts w:ascii="Arial" w:cs="Arial" w:eastAsia="Arial" w:hAnsi="Arial"/>
          <w:sz w:val="21"/>
          <w:szCs w:val="21"/>
          <w:color w:val="auto"/>
        </w:rPr>
        <w:t>respective participants in accordance with the Applicable Procedures and only (a) to the Company or any Subsidiary thereof, (b) pursuant to a registration statement that has been declared effective under the Securities Act, (c) for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in each case in accordance with any applicable securities laws of any state of the United States, subject to the Company’s and the Trustee’s right prior to any such offer, sale or transfer pursuant to clause (d) or (e) to require the delivery of an opinion of counsel, certification and/or other information satisfactory to each of them. Prior to the expiration of the Restricted Period, transfers by an owner of a beneficial interest in a Regulation S Global Note to a transferee who takes delivery of such interest through a Rule 144A Global Note shall be made only in accordance with the Applicable Procedures, pursuant to Rule 144 or 144A of the Securities Act and upon receipt by the Trustee of a written certification (in the form on the reverse side of the Initial Note).</w:t>
      </w:r>
    </w:p>
    <w:p>
      <w:pPr>
        <w:spacing w:after="0" w:line="133" w:lineRule="exact"/>
        <w:rPr>
          <w:sz w:val="20"/>
          <w:szCs w:val="20"/>
          <w:color w:val="auto"/>
        </w:rPr>
      </w:pPr>
    </w:p>
    <w:p>
      <w:pPr>
        <w:ind w:left="4" w:right="240" w:firstLine="644"/>
        <w:spacing w:after="0" w:line="263" w:lineRule="auto"/>
        <w:tabs>
          <w:tab w:leader="none" w:pos="1132" w:val="left"/>
        </w:tabs>
        <w:numPr>
          <w:ilvl w:val="1"/>
          <w:numId w:val="82"/>
        </w:numPr>
        <w:rPr>
          <w:rFonts w:ascii="Arial" w:cs="Arial" w:eastAsia="Arial" w:hAnsi="Arial"/>
          <w:sz w:val="22"/>
          <w:szCs w:val="22"/>
          <w:color w:val="auto"/>
        </w:rPr>
      </w:pPr>
      <w:r>
        <w:rPr>
          <w:rFonts w:ascii="Arial" w:cs="Arial" w:eastAsia="Arial" w:hAnsi="Arial"/>
          <w:sz w:val="22"/>
          <w:szCs w:val="22"/>
          <w:color w:val="auto"/>
        </w:rPr>
        <w:t>Upon the expiration of the Restricted Period, beneficial ownership interests in a Regulation S Global Note shall be transferable in accordance with applicable law and the other terms of the Indenture.</w:t>
      </w:r>
    </w:p>
    <w:p>
      <w:pPr>
        <w:spacing w:after="0" w:line="120" w:lineRule="exact"/>
        <w:rPr>
          <w:rFonts w:ascii="Arial" w:cs="Arial" w:eastAsia="Arial" w:hAnsi="Arial"/>
          <w:sz w:val="22"/>
          <w:szCs w:val="22"/>
          <w:color w:val="auto"/>
        </w:rPr>
      </w:pPr>
    </w:p>
    <w:p>
      <w:pPr>
        <w:ind w:left="464" w:hanging="464"/>
        <w:spacing w:after="0"/>
        <w:tabs>
          <w:tab w:leader="none" w:pos="464" w:val="left"/>
        </w:tabs>
        <w:numPr>
          <w:ilvl w:val="0"/>
          <w:numId w:val="83"/>
        </w:numPr>
        <w:rPr>
          <w:rFonts w:ascii="Arial" w:cs="Arial" w:eastAsia="Arial" w:hAnsi="Arial"/>
          <w:sz w:val="22"/>
          <w:szCs w:val="22"/>
          <w:color w:val="auto"/>
        </w:rPr>
      </w:pPr>
      <w:r>
        <w:rPr>
          <w:rFonts w:ascii="Arial" w:cs="Arial" w:eastAsia="Arial" w:hAnsi="Arial"/>
          <w:sz w:val="22"/>
          <w:szCs w:val="22"/>
          <w:i w:val="1"/>
          <w:iCs w:val="1"/>
          <w:color w:val="auto"/>
        </w:rPr>
        <w:t>Legend</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4" w:right="280" w:firstLine="644"/>
        <w:spacing w:after="0" w:line="253" w:lineRule="auto"/>
        <w:tabs>
          <w:tab w:leader="none" w:pos="1072" w:val="left"/>
        </w:tabs>
        <w:numPr>
          <w:ilvl w:val="1"/>
          <w:numId w:val="83"/>
        </w:numPr>
        <w:rPr>
          <w:rFonts w:ascii="Arial" w:cs="Arial" w:eastAsia="Arial" w:hAnsi="Arial"/>
          <w:sz w:val="22"/>
          <w:szCs w:val="22"/>
          <w:color w:val="auto"/>
        </w:rPr>
      </w:pPr>
      <w:r>
        <w:rPr>
          <w:rFonts w:ascii="Arial" w:cs="Arial" w:eastAsia="Arial" w:hAnsi="Arial"/>
          <w:sz w:val="22"/>
          <w:szCs w:val="22"/>
          <w:color w:val="auto"/>
        </w:rPr>
        <w:t>Each Note certificate evidencing the Global Notes (and all Notes that are Global Notes issued in exchange therefor or in substitution thereof) will contain a legend substantially to the following effect (each defined term in the legend being defined as such for purposes of the legend only):</w:t>
      </w:r>
    </w:p>
    <w:p>
      <w:pPr>
        <w:spacing w:after="0" w:line="131" w:lineRule="exact"/>
        <w:rPr>
          <w:sz w:val="20"/>
          <w:szCs w:val="20"/>
          <w:color w:val="auto"/>
        </w:rPr>
      </w:pPr>
    </w:p>
    <w:p>
      <w:pPr>
        <w:ind w:left="4" w:right="40" w:firstLine="648"/>
        <w:spacing w:after="0" w:line="259" w:lineRule="auto"/>
        <w:rPr>
          <w:sz w:val="20"/>
          <w:szCs w:val="20"/>
          <w:color w:val="auto"/>
        </w:rPr>
      </w:pPr>
      <w:r>
        <w:rPr>
          <w:rFonts w:ascii="Arial" w:cs="Arial" w:eastAsia="Arial" w:hAnsi="Arial"/>
          <w:sz w:val="21"/>
          <w:szCs w:val="21"/>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44"/>
          </w:cols>
          <w:pgMar w:left="976" w:top="1428" w:right="379" w:bottom="1440" w:gutter="0" w:footer="0" w:header="0"/>
        </w:sectPr>
      </w:pPr>
    </w:p>
    <w:bookmarkStart w:id="111" w:name="page112"/>
    <w:bookmarkEnd w:id="111"/>
    <w:p>
      <w:pPr>
        <w:ind w:left="660"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9" w:lineRule="exact"/>
        <w:rPr>
          <w:sz w:val="20"/>
          <w:szCs w:val="20"/>
          <w:color w:val="auto"/>
        </w:rPr>
      </w:pPr>
    </w:p>
    <w:p>
      <w:pPr>
        <w:ind w:left="660" w:right="100" w:firstLine="644"/>
        <w:spacing w:after="0" w:line="250" w:lineRule="auto"/>
        <w:tabs>
          <w:tab w:leader="none" w:pos="1788" w:val="left"/>
        </w:tabs>
        <w:numPr>
          <w:ilvl w:val="0"/>
          <w:numId w:val="84"/>
        </w:numPr>
        <w:rPr>
          <w:rFonts w:ascii="Arial" w:cs="Arial" w:eastAsia="Arial" w:hAnsi="Arial"/>
          <w:sz w:val="22"/>
          <w:szCs w:val="22"/>
          <w:color w:val="auto"/>
        </w:rPr>
      </w:pPr>
      <w:r>
        <w:rPr>
          <w:rFonts w:ascii="Arial" w:cs="Arial" w:eastAsia="Arial" w:hAnsi="Arial"/>
          <w:sz w:val="22"/>
          <w:szCs w:val="22"/>
          <w:color w:val="auto"/>
        </w:rPr>
        <w:t>Except as permitted by the following paragraphs (iii), (iv), (v) or (vi), each Note certificate evidencing the Global Notes and the Definitive Notes (and all Notes issued in exchange therefor or in substitution thereof) will contain a legend substantially to the following effect (each defined term in the legend being defined as such for purposes of the legend only):</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SECURITY HAS NOT BEEN REGISTERED UNDER THE SECURITIES ACT OF 1933, AS AMENDED (THE “SECURITIES ACT”), OR THE SECURITIES LAWS OF ANY STATE OR OTHER JURISDICTION. BY ITS ACQUISITION HEREOF OR OF A BENEFICIAL INTEREST HEREIN, THE ACQUIRER REPRESENTS THAT</w:t>
      </w:r>
    </w:p>
    <w:p>
      <w:pPr>
        <w:spacing w:after="0" w:line="113" w:lineRule="exact"/>
        <w:rPr>
          <w:sz w:val="20"/>
          <w:szCs w:val="20"/>
          <w:color w:val="auto"/>
        </w:rPr>
      </w:pPr>
    </w:p>
    <w:p>
      <w:pPr>
        <w:ind w:right="40" w:firstLine="656"/>
        <w:spacing w:after="0" w:line="253" w:lineRule="auto"/>
        <w:tabs>
          <w:tab w:leader="none" w:pos="95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IT AND ANY ACCOUNT FOR WHICH IT IS ACTING IS A “QUALIFIED INSTITUTIONAL BUYER” (WITHIN THE MEANING OF RULE 144A UNDER THE SECURITIES ACT) AND THAT IT EXERCISES SOLE INVESTMENT DISCRETION WITH RESPECT TO EACH SUCH ACCOUNT, OR</w:t>
      </w:r>
    </w:p>
    <w:p>
      <w:pPr>
        <w:spacing w:after="0" w:line="131" w:lineRule="exact"/>
        <w:rPr>
          <w:rFonts w:ascii="Arial" w:cs="Arial" w:eastAsia="Arial" w:hAnsi="Arial"/>
          <w:sz w:val="22"/>
          <w:szCs w:val="22"/>
          <w:color w:val="auto"/>
        </w:rPr>
      </w:pPr>
    </w:p>
    <w:p>
      <w:pPr>
        <w:ind w:right="600" w:firstLine="656"/>
        <w:spacing w:after="0" w:line="263" w:lineRule="auto"/>
        <w:tabs>
          <w:tab w:leader="none" w:pos="95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IT IS NOT A “U.S. PERSON” AND IS OUTSIDE OF THE UNITED STATES (WITHIN THE MEANING OF REGULATION S UNDER THE SECURITIES ACT).</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THAT IS (A) IN THE CASE OF RULE 144A GLOBAL NOTES, ONE YEAR, OR (B) IN THE CASE OF REGULATION S GLOBAL NOTES, 40 DAYS, IN EACH CASE AFTER THE LATER OF THE ORIGINAL ISSUE DATE HEREOF AND THE LAST DATE ON WHICH THE COMPANY OR ANY AFFILIATE OF THE COMPANY WAS THE OWNER OF THIS SECURITY (OR ANY PREDECESSOR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12" w:name="page113"/>
    <w:bookmarkEnd w:id="112"/>
    <w:p>
      <w:pPr>
        <w:ind w:right="60"/>
        <w:spacing w:after="0" w:line="287" w:lineRule="auto"/>
        <w:rPr>
          <w:sz w:val="20"/>
          <w:szCs w:val="20"/>
          <w:color w:val="auto"/>
        </w:rPr>
      </w:pPr>
      <w:r>
        <w:rPr>
          <w:rFonts w:ascii="Arial" w:cs="Arial" w:eastAsia="Arial" w:hAnsi="Arial"/>
          <w:sz w:val="19"/>
          <w:szCs w:val="19"/>
          <w:color w:val="auto"/>
        </w:rPr>
        <w:t>THIS SECURITY), ONLY (A) TO THE COMPANY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w:t>
      </w:r>
    </w:p>
    <w:p>
      <w:pPr>
        <w:spacing w:after="0" w:line="36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Each Note evidencing a Global Note offered and sold to a QIB pursuant to Rule 144A will contain a legend substantially to the following effect:</w:t>
      </w:r>
    </w:p>
    <w:p>
      <w:pPr>
        <w:spacing w:after="0" w:line="121" w:lineRule="exact"/>
        <w:rPr>
          <w:sz w:val="20"/>
          <w:szCs w:val="20"/>
          <w:color w:val="auto"/>
        </w:rPr>
      </w:pPr>
    </w:p>
    <w:p>
      <w:pPr>
        <w:ind w:right="480" w:firstLine="648"/>
        <w:spacing w:after="0" w:line="253" w:lineRule="auto"/>
        <w:rPr>
          <w:sz w:val="20"/>
          <w:szCs w:val="20"/>
          <w:color w:val="auto"/>
        </w:rPr>
      </w:pPr>
      <w:r>
        <w:rPr>
          <w:rFonts w:ascii="Arial" w:cs="Arial" w:eastAsia="Arial" w:hAnsi="Arial"/>
          <w:sz w:val="22"/>
          <w:szCs w:val="22"/>
          <w:color w:val="auto"/>
        </w:rPr>
        <w:t>“EACH PURCHASER OF THIS SECURITY IS HEREBY NOTIFIED THAT THE SELLER OF THIS SECURITY MAY BE RELYING ON THE EXEMPTION FROM THE PROVISIONS OF SECTION 5 OF THE SECURITIES ACT PROVIDED BY RULE 144A THEREUNDER.”</w:t>
      </w:r>
    </w:p>
    <w:p>
      <w:pPr>
        <w:spacing w:after="0" w:line="131" w:lineRule="exact"/>
        <w:rPr>
          <w:sz w:val="20"/>
          <w:szCs w:val="20"/>
          <w:color w:val="auto"/>
        </w:rPr>
      </w:pPr>
    </w:p>
    <w:p>
      <w:pPr>
        <w:ind w:left="660" w:right="40" w:firstLine="644"/>
        <w:spacing w:after="0" w:line="248" w:lineRule="auto"/>
        <w:tabs>
          <w:tab w:leader="none" w:pos="18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 Rule 144 (such certification to be in the form set forth on the reverse of the Initial Note).</w:t>
      </w:r>
    </w:p>
    <w:p>
      <w:pPr>
        <w:spacing w:after="0" w:line="137" w:lineRule="exact"/>
        <w:rPr>
          <w:rFonts w:ascii="Arial" w:cs="Arial" w:eastAsia="Arial" w:hAnsi="Arial"/>
          <w:sz w:val="22"/>
          <w:szCs w:val="22"/>
          <w:color w:val="auto"/>
        </w:rPr>
      </w:pPr>
    </w:p>
    <w:p>
      <w:pPr>
        <w:jc w:val="both"/>
        <w:ind w:left="660" w:right="160" w:firstLine="644"/>
        <w:spacing w:after="0" w:line="250" w:lineRule="auto"/>
        <w:tabs>
          <w:tab w:leader="none" w:pos="18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After a transfer of any Initial Notes during the period of the effectiveness of a Shelf Registration Statement (as defined in the Registration Rights Agreement) with respect to such Initial Notes, as the case may be, all requirements pertaining to the Restricted Notes Legend on such Initial Notes shall cease to apply and the requirements that any such Initial Notes be issued in global form shall continue to apply.</w:t>
      </w:r>
    </w:p>
    <w:p>
      <w:pPr>
        <w:spacing w:after="0" w:line="133" w:lineRule="exact"/>
        <w:rPr>
          <w:rFonts w:ascii="Arial" w:cs="Arial" w:eastAsia="Arial" w:hAnsi="Arial"/>
          <w:sz w:val="22"/>
          <w:szCs w:val="22"/>
          <w:color w:val="auto"/>
        </w:rPr>
      </w:pPr>
    </w:p>
    <w:p>
      <w:pPr>
        <w:ind w:left="660" w:firstLine="644"/>
        <w:spacing w:after="0" w:line="250" w:lineRule="auto"/>
        <w:tabs>
          <w:tab w:leader="none" w:pos="1776" w:val="left"/>
        </w:tabs>
        <w:numPr>
          <w:ilvl w:val="0"/>
          <w:numId w:val="86"/>
        </w:numPr>
        <w:rPr>
          <w:rFonts w:ascii="Arial" w:cs="Arial" w:eastAsia="Arial" w:hAnsi="Arial"/>
          <w:sz w:val="22"/>
          <w:szCs w:val="22"/>
          <w:color w:val="auto"/>
        </w:rPr>
      </w:pPr>
      <w:r>
        <w:rPr>
          <w:rFonts w:ascii="Arial" w:cs="Arial" w:eastAsia="Arial" w:hAnsi="Arial"/>
          <w:sz w:val="22"/>
          <w:szCs w:val="22"/>
          <w:color w:val="auto"/>
        </w:rPr>
        <w:t>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13" w:name="page114"/>
    <w:bookmarkEnd w:id="113"/>
    <w:p>
      <w:pPr>
        <w:ind w:left="640"/>
        <w:spacing w:after="0"/>
        <w:rPr>
          <w:sz w:val="20"/>
          <w:szCs w:val="20"/>
          <w:color w:val="auto"/>
        </w:rPr>
      </w:pPr>
      <w:r>
        <w:rPr>
          <w:rFonts w:ascii="Arial" w:cs="Arial" w:eastAsia="Arial" w:hAnsi="Arial"/>
          <w:sz w:val="22"/>
          <w:szCs w:val="22"/>
          <w:color w:val="auto"/>
        </w:rPr>
        <w:t>Notes Legend will be deposited with the Notes Custodian and the Initial Notes cancelled.</w:t>
      </w:r>
    </w:p>
    <w:p>
      <w:pPr>
        <w:spacing w:after="0" w:line="166" w:lineRule="exact"/>
        <w:rPr>
          <w:sz w:val="20"/>
          <w:szCs w:val="20"/>
          <w:color w:val="auto"/>
        </w:rPr>
      </w:pPr>
    </w:p>
    <w:p>
      <w:pPr>
        <w:ind w:left="640" w:right="180" w:firstLine="644"/>
        <w:spacing w:after="0" w:line="271" w:lineRule="auto"/>
        <w:tabs>
          <w:tab w:leader="none" w:pos="1816" w:val="left"/>
        </w:tabs>
        <w:numPr>
          <w:ilvl w:val="1"/>
          <w:numId w:val="87"/>
        </w:numPr>
        <w:rPr>
          <w:rFonts w:ascii="Arial" w:cs="Arial" w:eastAsia="Arial" w:hAnsi="Arial"/>
          <w:sz w:val="21"/>
          <w:szCs w:val="21"/>
          <w:color w:val="auto"/>
        </w:rPr>
      </w:pPr>
      <w:r>
        <w:rPr>
          <w:rFonts w:ascii="Arial" w:cs="Arial" w:eastAsia="Arial" w:hAnsi="Arial"/>
          <w:sz w:val="21"/>
          <w:szCs w:val="21"/>
          <w:color w:val="auto"/>
        </w:rPr>
        <w:t>Upon a sale or transfer after the expiration of the Restricted Period of any Initial Note acquired pursuant to Regulation S, all requirements that such Initial Note bear the Restricted Notes Legend shall cease to apply and the requirements requiring any such Initial Note be issued in global form shall continue to apply.</w:t>
      </w:r>
    </w:p>
    <w:p>
      <w:pPr>
        <w:spacing w:after="0" w:line="113" w:lineRule="exact"/>
        <w:rPr>
          <w:rFonts w:ascii="Arial" w:cs="Arial" w:eastAsia="Arial" w:hAnsi="Arial"/>
          <w:sz w:val="21"/>
          <w:szCs w:val="21"/>
          <w:color w:val="auto"/>
        </w:rPr>
      </w:pPr>
    </w:p>
    <w:p>
      <w:pPr>
        <w:ind w:left="-20" w:firstLine="656"/>
        <w:spacing w:after="0" w:line="292" w:lineRule="auto"/>
        <w:tabs>
          <w:tab w:leader="none" w:pos="10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Cancellation or Adjustment of Global Note. 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96" w:lineRule="exact"/>
        <w:rPr>
          <w:rFonts w:ascii="Arial" w:cs="Arial" w:eastAsia="Arial" w:hAnsi="Arial"/>
          <w:sz w:val="19"/>
          <w:szCs w:val="19"/>
          <w:color w:val="auto"/>
        </w:rPr>
      </w:pPr>
    </w:p>
    <w:p>
      <w:pPr>
        <w:ind w:left="-20" w:right="20" w:firstLine="656"/>
        <w:spacing w:after="0" w:line="248" w:lineRule="auto"/>
        <w:tabs>
          <w:tab w:leader="none" w:pos="10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Prior to the due presentation for registration of transfer of any Note, the Company, the Trustee, the Paying Agent and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Company, the Trustee, the Paying Agent or the Registrar shall be affected by notice to the contrary.</w:t>
      </w:r>
    </w:p>
    <w:p>
      <w:pPr>
        <w:spacing w:after="0" w:line="137" w:lineRule="exact"/>
        <w:rPr>
          <w:rFonts w:ascii="Arial" w:cs="Arial" w:eastAsia="Arial" w:hAnsi="Arial"/>
          <w:sz w:val="22"/>
          <w:szCs w:val="22"/>
          <w:color w:val="auto"/>
        </w:rPr>
      </w:pPr>
    </w:p>
    <w:p>
      <w:pPr>
        <w:ind w:left="-20" w:right="80" w:firstLine="656"/>
        <w:spacing w:after="0" w:line="253" w:lineRule="auto"/>
        <w:tabs>
          <w:tab w:leader="none" w:pos="1084" w:val="left"/>
        </w:tabs>
        <w:numPr>
          <w:ilvl w:val="0"/>
          <w:numId w:val="88"/>
        </w:numPr>
        <w:rPr>
          <w:rFonts w:ascii="Arial" w:cs="Arial" w:eastAsia="Arial" w:hAnsi="Arial"/>
          <w:sz w:val="22"/>
          <w:szCs w:val="22"/>
          <w:color w:val="auto"/>
        </w:rPr>
      </w:pPr>
      <w:r>
        <w:rPr>
          <w:rFonts w:ascii="Arial" w:cs="Arial" w:eastAsia="Arial" w:hAnsi="Arial"/>
          <w:sz w:val="22"/>
          <w:szCs w:val="22"/>
          <w:color w:val="auto"/>
        </w:rPr>
        <w:t>All Notes issued upon any transfer or exchange pursuant to the terms of this First Supplemental Indenture shall evidence the same debt and shall be entitled to the same benefits under the Indenture as the Notes surrendered upon such transfer or exchange.</w:t>
      </w:r>
    </w:p>
    <w:p>
      <w:pPr>
        <w:spacing w:after="0" w:line="131" w:lineRule="exact"/>
        <w:rPr>
          <w:rFonts w:ascii="Arial" w:cs="Arial" w:eastAsia="Arial" w:hAnsi="Arial"/>
          <w:sz w:val="22"/>
          <w:szCs w:val="22"/>
          <w:color w:val="auto"/>
        </w:rPr>
      </w:pPr>
    </w:p>
    <w:p>
      <w:pPr>
        <w:ind w:left="-20" w:right="220" w:firstLine="656"/>
        <w:spacing w:after="0" w:line="343" w:lineRule="auto"/>
        <w:tabs>
          <w:tab w:leader="none" w:pos="10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Any Definitive Note delivered in exchange for an interest in the Transfer Restricted Note shall, except as otherwise provided by Section 2.02(e) hereof, contain the applicable Restricted Notes Legend set forth in Section 2.02(e)(ii) hereof.</w:t>
      </w:r>
    </w:p>
    <w:p>
      <w:pPr>
        <w:spacing w:after="0" w:line="50" w:lineRule="exact"/>
        <w:rPr>
          <w:rFonts w:ascii="Arial" w:cs="Arial" w:eastAsia="Arial" w:hAnsi="Arial"/>
          <w:sz w:val="19"/>
          <w:szCs w:val="19"/>
          <w:color w:val="auto"/>
        </w:rPr>
      </w:pPr>
    </w:p>
    <w:p>
      <w:pPr>
        <w:ind w:left="-20" w:right="120" w:firstLine="656"/>
        <w:spacing w:after="0" w:line="253" w:lineRule="auto"/>
        <w:tabs>
          <w:tab w:leader="none" w:pos="1048" w:val="left"/>
        </w:tabs>
        <w:numPr>
          <w:ilvl w:val="0"/>
          <w:numId w:val="88"/>
        </w:numPr>
        <w:rPr>
          <w:rFonts w:ascii="Arial" w:cs="Arial" w:eastAsia="Arial" w:hAnsi="Arial"/>
          <w:sz w:val="22"/>
          <w:szCs w:val="22"/>
          <w:color w:val="auto"/>
        </w:rPr>
      </w:pPr>
      <w:r>
        <w:rPr>
          <w:rFonts w:ascii="Arial" w:cs="Arial" w:eastAsia="Arial" w:hAnsi="Arial"/>
          <w:sz w:val="22"/>
          <w:szCs w:val="22"/>
          <w:color w:val="auto"/>
        </w:rPr>
        <w:t>By its acceptance of any Note containing any legend in Section 2.02(e), each Holder of such Note acknowledges the restrictions on transfer of such Note set forth in this Indenture and in such legend in Section 2.02(e) and agrees that it shall transfer such Note only as provided in this Indenture.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N</w:t>
      </w:r>
      <w:r>
        <w:rPr>
          <w:rFonts w:ascii="Arial" w:cs="Arial" w:eastAsia="Arial" w:hAnsi="Arial"/>
          <w:sz w:val="17"/>
          <w:szCs w:val="17"/>
          <w:color w:val="auto"/>
        </w:rPr>
        <w:t>OTES</w:t>
      </w:r>
    </w:p>
    <w:p>
      <w:pPr>
        <w:spacing w:after="0" w:line="148"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Amount; Series; Terms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40" w:top="1428" w:right="339" w:bottom="1440" w:gutter="0" w:footer="0" w:header="0"/>
        </w:sectPr>
      </w:pPr>
    </w:p>
    <w:bookmarkStart w:id="114" w:name="page115"/>
    <w:bookmarkEnd w:id="114"/>
    <w:p>
      <w:pPr>
        <w:ind w:left="-20" w:right="20" w:firstLine="656"/>
        <w:spacing w:after="0" w:line="294" w:lineRule="auto"/>
        <w:tabs>
          <w:tab w:leader="none" w:pos="10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There is hereby created and designated two Series of Securities under the Base Indenture: the title of the 2026 Notes shall be “1.650% Notes due 2026” and the title of the 2031 Notes shall be “2.650% Notes due 2031.” The changes, modifications and supplements to the Base Indenture effected by this First Supplemental Indenture shall be applicable only with respect to, and govern the terms of, the Notes and shall not apply to any other Series of Securities that may be issued under the Base Indenture unless a supplemental indenture or Authorizing Resolution with respect to such other Series of Securities or Officer’s Certificate establishing such Series of Securities specifically incorporates such changes, modifications and supplements.</w:t>
      </w:r>
    </w:p>
    <w:p>
      <w:pPr>
        <w:spacing w:after="0" w:line="95" w:lineRule="exact"/>
        <w:rPr>
          <w:rFonts w:ascii="Arial" w:cs="Arial" w:eastAsia="Arial" w:hAnsi="Arial"/>
          <w:sz w:val="19"/>
          <w:szCs w:val="19"/>
          <w:color w:val="auto"/>
        </w:rPr>
      </w:pPr>
    </w:p>
    <w:p>
      <w:pPr>
        <w:ind w:left="-20" w:right="20" w:firstLine="656"/>
        <w:spacing w:after="0" w:line="248" w:lineRule="auto"/>
        <w:tabs>
          <w:tab w:leader="none" w:pos="10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aggregate principal amount of 2026 Notes that initially may be authenticated and delivered under this First Supplemental Indenture (the “</w:t>
      </w:r>
      <w:r>
        <w:rPr>
          <w:rFonts w:ascii="Arial" w:cs="Arial" w:eastAsia="Arial" w:hAnsi="Arial"/>
          <w:sz w:val="22"/>
          <w:szCs w:val="22"/>
          <w:b w:val="1"/>
          <w:bCs w:val="1"/>
          <w:color w:val="auto"/>
        </w:rPr>
        <w:t>Initial 2026 Notes</w:t>
      </w:r>
      <w:r>
        <w:rPr>
          <w:rFonts w:ascii="Arial" w:cs="Arial" w:eastAsia="Arial" w:hAnsi="Arial"/>
          <w:sz w:val="22"/>
          <w:szCs w:val="22"/>
          <w:color w:val="auto"/>
        </w:rPr>
        <w:t>”) shall be limited to $400,000,000, and the aggregate principal amount of 2031 Notes that initially may be authenticated and delivered under this First Supplemental Indenture (the “</w:t>
      </w:r>
      <w:r>
        <w:rPr>
          <w:rFonts w:ascii="Arial" w:cs="Arial" w:eastAsia="Arial" w:hAnsi="Arial"/>
          <w:sz w:val="22"/>
          <w:szCs w:val="22"/>
          <w:b w:val="1"/>
          <w:bCs w:val="1"/>
          <w:color w:val="auto"/>
        </w:rPr>
        <w:t>Initial 2031 Notes</w:t>
      </w:r>
      <w:r>
        <w:rPr>
          <w:rFonts w:ascii="Arial" w:cs="Arial" w:eastAsia="Arial" w:hAnsi="Arial"/>
          <w:sz w:val="22"/>
          <w:szCs w:val="22"/>
          <w:color w:val="auto"/>
        </w:rPr>
        <w:t>,” and together with the Initial 2026 Notes, the “</w:t>
      </w:r>
      <w:r>
        <w:rPr>
          <w:rFonts w:ascii="Arial" w:cs="Arial" w:eastAsia="Arial" w:hAnsi="Arial"/>
          <w:sz w:val="22"/>
          <w:szCs w:val="22"/>
          <w:b w:val="1"/>
          <w:bCs w:val="1"/>
          <w:color w:val="auto"/>
        </w:rPr>
        <w:t>Initial Notes</w:t>
      </w:r>
      <w:r>
        <w:rPr>
          <w:rFonts w:ascii="Arial" w:cs="Arial" w:eastAsia="Arial" w:hAnsi="Arial"/>
          <w:sz w:val="22"/>
          <w:szCs w:val="22"/>
          <w:color w:val="auto"/>
        </w:rPr>
        <w:t>”) shall be limited to $400,000,000, subject, in each case, to increase as set forth in Section 3.04.</w:t>
      </w:r>
    </w:p>
    <w:p>
      <w:pPr>
        <w:spacing w:after="0" w:line="137" w:lineRule="exact"/>
        <w:rPr>
          <w:rFonts w:ascii="Arial" w:cs="Arial" w:eastAsia="Arial" w:hAnsi="Arial"/>
          <w:sz w:val="22"/>
          <w:szCs w:val="22"/>
          <w:color w:val="auto"/>
        </w:rPr>
      </w:pPr>
    </w:p>
    <w:p>
      <w:pPr>
        <w:ind w:left="-20" w:right="40" w:firstLine="656"/>
        <w:spacing w:after="0" w:line="302" w:lineRule="auto"/>
        <w:tabs>
          <w:tab w:leader="none" w:pos="10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Stated Maturity of the 2026 Notes, on which principal thereof is due and payable, shall be July 15, 2026 and the Stated Maturity of the 2031 Notes, on which principal thereof is due and payable, shall be July 15, 2031. The Notes shall be payable and may be presented for payment, purchase, redemption, registration of transfer and exchange at the office of the Company maintained for such purpose, which shall initially be the Corporate Trust Office of the Trustee.</w:t>
      </w:r>
    </w:p>
    <w:p>
      <w:pPr>
        <w:spacing w:after="0" w:line="88" w:lineRule="exact"/>
        <w:rPr>
          <w:rFonts w:ascii="Arial" w:cs="Arial" w:eastAsia="Arial" w:hAnsi="Arial"/>
          <w:sz w:val="19"/>
          <w:szCs w:val="19"/>
          <w:color w:val="auto"/>
        </w:rPr>
      </w:pPr>
    </w:p>
    <w:p>
      <w:pPr>
        <w:ind w:left="-20" w:firstLine="656"/>
        <w:spacing w:after="0" w:line="287" w:lineRule="auto"/>
        <w:tabs>
          <w:tab w:leader="none" w:pos="10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2026 Notes shall accrue interest at the rate of 1.650% per year and the 2031 Notes shall accrue interest at the rate of 2.650% per year, in each case beginning on July 2, 2021 or from the most recent date to which interest has been paid or duly provided for, as further provided in the forms of Notes annexed hereto as Exhibit A-1 or Exhibit A-2. Interest on the Notes shall be computed on the basis of a 360-day year comprised of twelve 30-day months. The Interest Payment Dates for the Notes shall be January 15 and July 15 of each year, beginning on January 15, 2022, and the Regular Record Date for any interest payable on each such Interest Payment Date shall be the immediately preceding December 31 and June 30, respectively;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Stated Maturity of the principal of the Notes, interest shall be payable on such Stated Maturity from the most recent date to which interest has been paid or duly provided, and shall include the required payment of principal or premium, if any. If any Interest Payment Date, Stated Maturity or other payment date with respect to the Notes is not a Business Day, the required payment of principal, premium, if any, or interest will be due on the next succeeding Business Day as if made on the date that such payment was due, and no interest will accrue on that payment for the period from and after that Interest Payment Date, Stated Maturity or other payment date, as the case may be, to the date of that payment on the next succeeding Business Day.</w:t>
      </w:r>
    </w:p>
    <w:p>
      <w:pPr>
        <w:spacing w:after="0" w:line="104" w:lineRule="exact"/>
        <w:rPr>
          <w:rFonts w:ascii="Arial" w:cs="Arial" w:eastAsia="Arial" w:hAnsi="Arial"/>
          <w:sz w:val="19"/>
          <w:szCs w:val="19"/>
          <w:color w:val="auto"/>
        </w:rPr>
      </w:pPr>
    </w:p>
    <w:p>
      <w:pPr>
        <w:ind w:left="-20" w:firstLine="656"/>
        <w:spacing w:after="0" w:line="263" w:lineRule="auto"/>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Notes of each Series will be initially issued in the form of one or more Global Notes, deposited with the Trustee, as Notes Custodian, or its nominee,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40" w:top="1428" w:right="35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executed by the Company and authenticated by the Trustee as provided in the Base Indenture.</w:t>
      </w:r>
    </w:p>
    <w:p>
      <w:pPr>
        <w:spacing w:after="0" w:line="166" w:lineRule="exact"/>
        <w:rPr>
          <w:sz w:val="20"/>
          <w:szCs w:val="20"/>
          <w:color w:val="auto"/>
        </w:rPr>
      </w:pPr>
    </w:p>
    <w:p>
      <w:pPr>
        <w:ind w:right="60" w:firstLine="656"/>
        <w:spacing w:after="0" w:line="261" w:lineRule="auto"/>
        <w:tabs>
          <w:tab w:leader="none" w:pos="10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Payment of principal of and premium, if any, and interest on a Global Note registered in the name of or held by the Depositary or its nominee will be made in immediately available funds to the Depositary or its nominee, as the case may be, as the Holder of such Global Note. If the Notes are no longer represented by a Global Note, payment of interest on certificated Notes in definitive form may, at the Company’s option, be made by (i) check mailed directly to Holders of such Notes at their registered addresses or (ii) upon request of any Holder of at least $1,000,000 principal amount of Notes, wire transfer to an account located in the United States maintained by the payee.</w:t>
      </w:r>
    </w:p>
    <w:p>
      <w:pPr>
        <w:spacing w:after="0" w:line="125" w:lineRule="exact"/>
        <w:rPr>
          <w:sz w:val="20"/>
          <w:szCs w:val="20"/>
          <w:color w:val="auto"/>
        </w:rPr>
      </w:pPr>
    </w:p>
    <w:p>
      <w:pPr>
        <w:ind w:right="860" w:firstLine="648"/>
        <w:spacing w:after="0" w:line="26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Denominations</w:t>
      </w:r>
      <w:r>
        <w:rPr>
          <w:rFonts w:ascii="Arial" w:cs="Arial" w:eastAsia="Arial" w:hAnsi="Arial"/>
          <w:sz w:val="22"/>
          <w:szCs w:val="22"/>
          <w:color w:val="auto"/>
        </w:rPr>
        <w:t>. The Notes of each Series shall be issuable only in registered form in minimum denominations of $2,000 and integral multiples of $1,000 in excess thereof.</w:t>
      </w:r>
    </w:p>
    <w:p>
      <w:pPr>
        <w:spacing w:after="0" w:line="121"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Book-entry Provisions for Global Securities</w:t>
      </w:r>
      <w:r>
        <w:rPr>
          <w:rFonts w:ascii="Arial" w:cs="Arial" w:eastAsia="Arial" w:hAnsi="Arial"/>
          <w:sz w:val="22"/>
          <w:szCs w:val="22"/>
          <w:color w:val="auto"/>
        </w:rPr>
        <w:t>. Except for the circumstances described in Article 2 of the Base Indenture, no Global Note may be exchanged in whole or in part for Notes registered, and no transfer of a Global Note in whole or in part may be registered, in the name of any Person other than the Depositary for such Global Note or a nominee thereof.</w:t>
      </w:r>
    </w:p>
    <w:p>
      <w:pPr>
        <w:spacing w:after="0" w:line="134"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3.04. </w:t>
      </w:r>
      <w:r>
        <w:rPr>
          <w:rFonts w:ascii="Arial" w:cs="Arial" w:eastAsia="Arial" w:hAnsi="Arial"/>
          <w:sz w:val="21"/>
          <w:szCs w:val="21"/>
          <w:i w:val="1"/>
          <w:iCs w:val="1"/>
          <w:color w:val="auto"/>
        </w:rPr>
        <w:t>Additional Notes</w:t>
      </w:r>
      <w:r>
        <w:rPr>
          <w:rFonts w:ascii="Arial" w:cs="Arial" w:eastAsia="Arial" w:hAnsi="Arial"/>
          <w:sz w:val="21"/>
          <w:szCs w:val="21"/>
          <w:color w:val="auto"/>
        </w:rPr>
        <w:t>. The Company may, without notice to or the consent of the Holders of the Notes, create and issue pursuant to the Indenture additional Notes of a Series (“</w:t>
      </w:r>
      <w:r>
        <w:rPr>
          <w:rFonts w:ascii="Arial" w:cs="Arial" w:eastAsia="Arial" w:hAnsi="Arial"/>
          <w:sz w:val="21"/>
          <w:szCs w:val="21"/>
          <w:b w:val="1"/>
          <w:bCs w:val="1"/>
          <w:color w:val="auto"/>
        </w:rPr>
        <w:t>Additional Notes</w:t>
      </w:r>
      <w:r>
        <w:rPr>
          <w:rFonts w:ascii="Arial" w:cs="Arial" w:eastAsia="Arial" w:hAnsi="Arial"/>
          <w:sz w:val="21"/>
          <w:szCs w:val="21"/>
          <w:color w:val="auto"/>
        </w:rPr>
        <w:t xml:space="preserve">”) having the same terms as, and ranking equally and ratably with, the applicable Series of Notes in all respects, except for the issue date, the public offering price and, if applicable, the payment of interest accruing prior to the issue date of such Additional Notes and the first payment of interest following the issue date of such Additional Notes;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Additional Notes are not fungible with the applicable Series of Notes for U.S. federal income tax purposes, such Additional Notes will have a separate CUSIP number. Such Additional Notes may be consolidated and form a single Series with, and will have the same terms as to ranking, redemption, waivers, amendments or otherwise as, the applicable Series of Notes (including any Exchange Notes issued with respect to such Series in accordance with the Registration Rights Agreement), and will vote together as one class on all matters with respect to such Series of Notes.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EDEMPTION OR</w:t>
      </w:r>
      <w:r>
        <w:rPr>
          <w:rFonts w:ascii="Arial" w:cs="Arial" w:eastAsia="Arial" w:hAnsi="Arial"/>
          <w:sz w:val="22"/>
          <w:szCs w:val="22"/>
          <w:color w:val="auto"/>
        </w:rPr>
        <w:t xml:space="preserve"> R</w:t>
      </w:r>
      <w:r>
        <w:rPr>
          <w:rFonts w:ascii="Arial" w:cs="Arial" w:eastAsia="Arial" w:hAnsi="Arial"/>
          <w:sz w:val="17"/>
          <w:szCs w:val="17"/>
          <w:color w:val="auto"/>
        </w:rPr>
        <w:t>EPURCHASE OF</w:t>
      </w:r>
      <w:r>
        <w:rPr>
          <w:rFonts w:ascii="Arial" w:cs="Arial" w:eastAsia="Arial" w:hAnsi="Arial"/>
          <w:sz w:val="22"/>
          <w:szCs w:val="22"/>
          <w:color w:val="auto"/>
        </w:rPr>
        <w:t xml:space="preserve"> S</w:t>
      </w:r>
      <w:r>
        <w:rPr>
          <w:rFonts w:ascii="Arial" w:cs="Arial" w:eastAsia="Arial" w:hAnsi="Arial"/>
          <w:sz w:val="17"/>
          <w:szCs w:val="17"/>
          <w:color w:val="auto"/>
        </w:rPr>
        <w:t>ECURITIES</w:t>
      </w:r>
    </w:p>
    <w:p>
      <w:pPr>
        <w:spacing w:after="0" w:line="148"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Applicability of Base Indenture</w:t>
      </w:r>
      <w:r>
        <w:rPr>
          <w:rFonts w:ascii="Arial" w:cs="Arial" w:eastAsia="Arial" w:hAnsi="Arial"/>
          <w:sz w:val="22"/>
          <w:szCs w:val="22"/>
          <w:color w:val="auto"/>
        </w:rPr>
        <w:t>. Subject to Section 1.02 hereof, the provisions of Article 3 of the Base Indenture, as supplemented by the provisions of this First Supplemental Indenture, shall apply to redemptions of the Notes pursuant to Section 4.02 hereof.</w:t>
      </w:r>
    </w:p>
    <w:p>
      <w:pPr>
        <w:spacing w:after="0" w:line="13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80"/>
          </w:cols>
          <w:pgMar w:left="320" w:top="1428" w:right="499" w:bottom="1440" w:gutter="0" w:footer="0" w:header="0"/>
        </w:sectPr>
      </w:pPr>
    </w:p>
    <w:bookmarkStart w:id="116" w:name="page117"/>
    <w:bookmarkEnd w:id="116"/>
    <w:p>
      <w:pPr>
        <w:jc w:val="both"/>
        <w:ind w:left="-20" w:right="60" w:firstLine="656"/>
        <w:spacing w:after="0" w:line="271" w:lineRule="auto"/>
        <w:tabs>
          <w:tab w:leader="none" w:pos="10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Company may redeem the 2026 Notes and the 2031 Notes at its option, either in whole or in part, at any time or from time to time prior to the applicable Par Call Date, at a redemption price equal to the greater of the following amounts, plus, in each case, accrued and unpaid interest thereon to, but excluding, the Redemption Date:</w:t>
      </w:r>
    </w:p>
    <w:p>
      <w:pPr>
        <w:spacing w:after="0" w:line="113" w:lineRule="exact"/>
        <w:rPr>
          <w:rFonts w:ascii="Arial" w:cs="Arial" w:eastAsia="Arial" w:hAnsi="Arial"/>
          <w:sz w:val="21"/>
          <w:szCs w:val="21"/>
          <w:color w:val="auto"/>
        </w:rPr>
      </w:pPr>
    </w:p>
    <w:p>
      <w:pPr>
        <w:ind w:left="1700" w:hanging="416"/>
        <w:spacing w:after="0"/>
        <w:tabs>
          <w:tab w:leader="none" w:pos="1700" w:val="left"/>
        </w:tabs>
        <w:numPr>
          <w:ilvl w:val="1"/>
          <w:numId w:val="91"/>
        </w:numPr>
        <w:rPr>
          <w:rFonts w:ascii="Arial" w:cs="Arial" w:eastAsia="Arial" w:hAnsi="Arial"/>
          <w:sz w:val="22"/>
          <w:szCs w:val="22"/>
          <w:color w:val="auto"/>
        </w:rPr>
      </w:pPr>
      <w:r>
        <w:rPr>
          <w:rFonts w:ascii="Arial" w:cs="Arial" w:eastAsia="Arial" w:hAnsi="Arial"/>
          <w:sz w:val="22"/>
          <w:szCs w:val="22"/>
          <w:color w:val="auto"/>
        </w:rPr>
        <w:t>100% of the aggregate principal amount of the Notes to be redeemed; or</w:t>
      </w:r>
    </w:p>
    <w:p>
      <w:pPr>
        <w:spacing w:after="0" w:line="165" w:lineRule="exact"/>
        <w:rPr>
          <w:rFonts w:ascii="Arial" w:cs="Arial" w:eastAsia="Arial" w:hAnsi="Arial"/>
          <w:sz w:val="22"/>
          <w:szCs w:val="22"/>
          <w:color w:val="auto"/>
        </w:rPr>
      </w:pPr>
    </w:p>
    <w:p>
      <w:pPr>
        <w:ind w:left="640" w:right="80" w:firstLine="644"/>
        <w:spacing w:after="0" w:line="312" w:lineRule="auto"/>
        <w:tabs>
          <w:tab w:leader="none" w:pos="1768"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sum of the present values of the Remaining Scheduled Payments, discounted by the Company to the Redemption Date on a semi-annual basis (assuming a 360-day year consisting of twelve 30-day months) using a discount rate equal to the Treasury Rate plus 15 basis points for the 2026 Notes and 20 basis points for the 2031 Notes.</w:t>
      </w:r>
    </w:p>
    <w:p>
      <w:pPr>
        <w:spacing w:after="0" w:line="79" w:lineRule="exact"/>
        <w:rPr>
          <w:rFonts w:ascii="Arial" w:cs="Arial" w:eastAsia="Arial" w:hAnsi="Arial"/>
          <w:sz w:val="19"/>
          <w:szCs w:val="19"/>
          <w:color w:val="auto"/>
        </w:rPr>
      </w:pPr>
    </w:p>
    <w:p>
      <w:pPr>
        <w:ind w:left="-20" w:right="40" w:firstLine="656"/>
        <w:spacing w:after="0" w:line="312" w:lineRule="auto"/>
        <w:tabs>
          <w:tab w:leader="none" w:pos="1092"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Company may redeem the 2026 Notes and the 2031 Notes at its option, either in whole or in part, at any time or from time to time on or after the applicable Par Call Date, at a redemption price equal to 100% of the principal amount of the Notes to be redeemed, plus, in each case, accrued and unpaid interest thereon to, but excluding, the Redemption Date.</w:t>
      </w:r>
    </w:p>
    <w:p>
      <w:pPr>
        <w:spacing w:after="0" w:line="79" w:lineRule="exact"/>
        <w:rPr>
          <w:rFonts w:ascii="Arial" w:cs="Arial" w:eastAsia="Arial" w:hAnsi="Arial"/>
          <w:sz w:val="19"/>
          <w:szCs w:val="19"/>
          <w:color w:val="auto"/>
        </w:rPr>
      </w:pPr>
    </w:p>
    <w:p>
      <w:pPr>
        <w:ind w:left="-20" w:firstLine="656"/>
        <w:spacing w:after="0" w:line="263" w:lineRule="auto"/>
        <w:tabs>
          <w:tab w:leader="none" w:pos="10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the Company defaults in the payment of the redemption price, on and after the Redemption Date, interest will cease to accrue on the Notes, or portions thereof, called for redemption.</w:t>
      </w:r>
    </w:p>
    <w:p>
      <w:pPr>
        <w:spacing w:after="0" w:line="121"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Escrow of Proceeds; Special Mandatory Redemption</w:t>
      </w:r>
      <w:r>
        <w:rPr>
          <w:rFonts w:ascii="Arial" w:cs="Arial" w:eastAsia="Arial" w:hAnsi="Arial"/>
          <w:sz w:val="19"/>
          <w:szCs w:val="19"/>
          <w:color w:val="auto"/>
        </w:rPr>
        <w:t>.</w:t>
      </w:r>
    </w:p>
    <w:p>
      <w:pPr>
        <w:spacing w:after="0" w:line="166" w:lineRule="exact"/>
        <w:rPr>
          <w:sz w:val="20"/>
          <w:szCs w:val="20"/>
          <w:color w:val="auto"/>
        </w:rPr>
      </w:pPr>
    </w:p>
    <w:p>
      <w:pPr>
        <w:ind w:left="-20" w:right="60" w:firstLine="656"/>
        <w:spacing w:after="0" w:line="258" w:lineRule="auto"/>
        <w:tabs>
          <w:tab w:leader="none" w:pos="1084" w:val="left"/>
        </w:tabs>
        <w:numPr>
          <w:ilvl w:val="0"/>
          <w:numId w:val="92"/>
        </w:numPr>
        <w:rPr>
          <w:rFonts w:ascii="Arial" w:cs="Arial" w:eastAsia="Arial" w:hAnsi="Arial"/>
          <w:sz w:val="21"/>
          <w:szCs w:val="21"/>
          <w:color w:val="auto"/>
        </w:rPr>
      </w:pPr>
      <w:r>
        <w:rPr>
          <w:rFonts w:ascii="Arial" w:cs="Arial" w:eastAsia="Arial" w:hAnsi="Arial"/>
          <w:sz w:val="21"/>
          <w:szCs w:val="21"/>
          <w:color w:val="auto"/>
        </w:rPr>
        <w:t>In the event that (x) the Company has not delivered an Escrow Certificate to the Escrow Agent and the Trustee prior to 11:59 p.m. (New York City time) on or prior to April 2, 2022 (the date that is nine months after the Issue Date), (y) the Escrowed Property is released to the Company or to such other person as the Company directs but the distribution is not consummated at or prior to 11:59 p.m. (New York City time) on the fifth Business Day following the date on which such Escrowed Property is so released or (z) the Company notifies the Escrow Agent and the Trustee in writing that the Company will not pursue the distribution (the earliest such event described in clause (x), (y) or (z), if any, the “</w:t>
      </w:r>
      <w:r>
        <w:rPr>
          <w:rFonts w:ascii="Arial" w:cs="Arial" w:eastAsia="Arial" w:hAnsi="Arial"/>
          <w:sz w:val="21"/>
          <w:szCs w:val="21"/>
          <w:b w:val="1"/>
          <w:bCs w:val="1"/>
          <w:color w:val="auto"/>
        </w:rPr>
        <w:t>Special Mandatory</w:t>
      </w:r>
      <w:r>
        <w:rPr>
          <w:rFonts w:ascii="Arial" w:cs="Arial" w:eastAsia="Arial" w:hAnsi="Arial"/>
          <w:sz w:val="21"/>
          <w:szCs w:val="21"/>
          <w:color w:val="auto"/>
        </w:rPr>
        <w:t xml:space="preserve"> </w:t>
      </w:r>
      <w:r>
        <w:rPr>
          <w:rFonts w:ascii="Arial" w:cs="Arial" w:eastAsia="Arial" w:hAnsi="Arial"/>
          <w:sz w:val="21"/>
          <w:szCs w:val="21"/>
          <w:b w:val="1"/>
          <w:bCs w:val="1"/>
          <w:color w:val="auto"/>
        </w:rPr>
        <w:t>Redemption Event</w:t>
      </w:r>
      <w:r>
        <w:rPr>
          <w:rFonts w:ascii="Arial" w:cs="Arial" w:eastAsia="Arial" w:hAnsi="Arial"/>
          <w:sz w:val="21"/>
          <w:szCs w:val="21"/>
          <w:color w:val="auto"/>
        </w:rPr>
        <w:t>”), the Company will be required to redeem the Notes then outstanding (such redemption, the “</w:t>
      </w:r>
      <w:r>
        <w:rPr>
          <w:rFonts w:ascii="Arial" w:cs="Arial" w:eastAsia="Arial" w:hAnsi="Arial"/>
          <w:sz w:val="21"/>
          <w:szCs w:val="21"/>
          <w:b w:val="1"/>
          <w:bCs w:val="1"/>
          <w:color w:val="auto"/>
        </w:rPr>
        <w:t>Special Mandatory Redemption</w:t>
      </w:r>
      <w:r>
        <w:rPr>
          <w:rFonts w:ascii="Arial" w:cs="Arial" w:eastAsia="Arial" w:hAnsi="Arial"/>
          <w:sz w:val="21"/>
          <w:szCs w:val="21"/>
          <w:color w:val="auto"/>
        </w:rPr>
        <w:t>”) at a redemption price equal to 101% of the principal amount of the Notes to be redeemed, plus</w:t>
      </w:r>
      <w:r>
        <w:rPr>
          <w:rFonts w:ascii="Arial" w:cs="Arial" w:eastAsia="Arial" w:hAnsi="Arial"/>
          <w:sz w:val="21"/>
          <w:szCs w:val="21"/>
          <w:b w:val="1"/>
          <w:bCs w:val="1"/>
          <w:color w:val="auto"/>
        </w:rPr>
        <w:t xml:space="preserve"> </w:t>
      </w:r>
      <w:r>
        <w:rPr>
          <w:rFonts w:ascii="Arial" w:cs="Arial" w:eastAsia="Arial" w:hAnsi="Arial"/>
          <w:sz w:val="21"/>
          <w:szCs w:val="21"/>
          <w:color w:val="auto"/>
        </w:rPr>
        <w:t>accrued and unpaid interest thereon to, but excluding, the Special Mandatory Redemption Date (the “</w:t>
      </w:r>
      <w:r>
        <w:rPr>
          <w:rFonts w:ascii="Arial" w:cs="Arial" w:eastAsia="Arial" w:hAnsi="Arial"/>
          <w:sz w:val="21"/>
          <w:szCs w:val="21"/>
          <w:b w:val="1"/>
          <w:bCs w:val="1"/>
          <w:color w:val="auto"/>
        </w:rPr>
        <w:t>Special Mandatory</w:t>
      </w:r>
      <w:r>
        <w:rPr>
          <w:rFonts w:ascii="Arial" w:cs="Arial" w:eastAsia="Arial" w:hAnsi="Arial"/>
          <w:sz w:val="21"/>
          <w:szCs w:val="21"/>
          <w:color w:val="auto"/>
        </w:rPr>
        <w:t xml:space="preserve"> </w:t>
      </w:r>
      <w:r>
        <w:rPr>
          <w:rFonts w:ascii="Arial" w:cs="Arial" w:eastAsia="Arial" w:hAnsi="Arial"/>
          <w:sz w:val="21"/>
          <w:szCs w:val="21"/>
          <w:b w:val="1"/>
          <w:bCs w:val="1"/>
          <w:color w:val="auto"/>
        </w:rPr>
        <w:t>Redemption Price</w:t>
      </w:r>
      <w:r>
        <w:rPr>
          <w:rFonts w:ascii="Arial" w:cs="Arial" w:eastAsia="Arial" w:hAnsi="Arial"/>
          <w:sz w:val="21"/>
          <w:szCs w:val="21"/>
          <w:color w:val="auto"/>
        </w:rPr>
        <w:t>”).</w:t>
      </w:r>
    </w:p>
    <w:p>
      <w:pPr>
        <w:spacing w:after="0" w:line="131" w:lineRule="exact"/>
        <w:rPr>
          <w:rFonts w:ascii="Arial" w:cs="Arial" w:eastAsia="Arial" w:hAnsi="Arial"/>
          <w:sz w:val="21"/>
          <w:szCs w:val="21"/>
          <w:color w:val="auto"/>
        </w:rPr>
      </w:pPr>
    </w:p>
    <w:p>
      <w:pPr>
        <w:ind w:left="-20" w:right="180" w:firstLine="656"/>
        <w:spacing w:after="0" w:line="297" w:lineRule="auto"/>
        <w:tabs>
          <w:tab w:leader="none" w:pos="1096"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event that the Company becomes obligated to redeem the Notes pursuant to the Special Mandatory Redemption, the Company will promptly, and in any event not more than ten Business Days after the Special Mandatory Redemption Event, deliver to the Escrow Agent and the Trustee notice (the date on which such notice is delivered, the “</w:t>
      </w:r>
      <w:r>
        <w:rPr>
          <w:rFonts w:ascii="Arial" w:cs="Arial" w:eastAsia="Arial" w:hAnsi="Arial"/>
          <w:sz w:val="19"/>
          <w:szCs w:val="19"/>
          <w:b w:val="1"/>
          <w:bCs w:val="1"/>
          <w:color w:val="auto"/>
        </w:rPr>
        <w:t>Special</w:t>
      </w:r>
      <w:r>
        <w:rPr>
          <w:rFonts w:ascii="Arial" w:cs="Arial" w:eastAsia="Arial" w:hAnsi="Arial"/>
          <w:sz w:val="19"/>
          <w:szCs w:val="19"/>
          <w:color w:val="auto"/>
        </w:rPr>
        <w:t xml:space="preserve"> </w:t>
      </w:r>
      <w:r>
        <w:rPr>
          <w:rFonts w:ascii="Arial" w:cs="Arial" w:eastAsia="Arial" w:hAnsi="Arial"/>
          <w:sz w:val="19"/>
          <w:szCs w:val="19"/>
          <w:b w:val="1"/>
          <w:bCs w:val="1"/>
          <w:color w:val="auto"/>
        </w:rPr>
        <w:t>Mandatory Redemption Notice Date</w:t>
      </w:r>
      <w:r>
        <w:rPr>
          <w:rFonts w:ascii="Arial" w:cs="Arial" w:eastAsia="Arial" w:hAnsi="Arial"/>
          <w:sz w:val="19"/>
          <w:szCs w:val="19"/>
          <w:color w:val="auto"/>
        </w:rPr>
        <w:t>”) of the Special Mandatory Redemption and the date upon which such Notes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redeemed (the “</w:t>
      </w:r>
      <w:r>
        <w:rPr>
          <w:rFonts w:ascii="Arial" w:cs="Arial" w:eastAsia="Arial" w:hAnsi="Arial"/>
          <w:sz w:val="19"/>
          <w:szCs w:val="19"/>
          <w:b w:val="1"/>
          <w:bCs w:val="1"/>
          <w:color w:val="auto"/>
        </w:rPr>
        <w:t>Special Mandatory Redemption Date</w:t>
      </w:r>
      <w:r>
        <w:rPr>
          <w:rFonts w:ascii="Arial" w:cs="Arial" w:eastAsia="Arial" w:hAnsi="Arial"/>
          <w:sz w:val="19"/>
          <w:szCs w:val="19"/>
          <w:color w:val="auto"/>
        </w:rPr>
        <w:t>,” which date shall be no later than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40" w:top="1428" w:right="359" w:bottom="1440" w:gutter="0" w:footer="0" w:header="0"/>
        </w:sectPr>
      </w:pPr>
    </w:p>
    <w:bookmarkStart w:id="117" w:name="page118"/>
    <w:bookmarkEnd w:id="117"/>
    <w:p>
      <w:pPr>
        <w:spacing w:after="0" w:line="286" w:lineRule="auto"/>
        <w:rPr>
          <w:sz w:val="20"/>
          <w:szCs w:val="20"/>
          <w:color w:val="auto"/>
        </w:rPr>
      </w:pPr>
      <w:r>
        <w:rPr>
          <w:rFonts w:ascii="Arial" w:cs="Arial" w:eastAsia="Arial" w:hAnsi="Arial"/>
          <w:sz w:val="19"/>
          <w:szCs w:val="19"/>
          <w:color w:val="auto"/>
        </w:rPr>
        <w:t>Business Day following the Special Mandatory Redemption Notice Date) and to the Trustee a notice of Special Mandatory Redemption for the Trustee to deliver to each registered Holder of Notes to be redeemed. Upon delivery by the Company to the Trustee of the notice of Special Mandatory Redemption, the Trustee will promptly mail, or deliver electronically if such Notes are held by any Depositary (including, without limitation, DTC) in accordance with such Depositary’s customary procedures, such notice of Special Mandatory Redemption to each registered Holder of Notes to be redeemed at its registered address (so long as such notice is delivered to the Trustee at least one Business Day prior to the date such notice is to be sent (or such shorter period as the Trustee may agree)). On the Business Day immediately following the Special Mandatory Redemption Notice Date, the Escrow Agent, without the requirement of further notice to or action by the Company or any other person, shall liquidate all Escrowed Property and release the Escrowed Property to the Trustee. On or prior to the Special Mandatory Redemption Date, if necessary, the Company shall deposit with the Trustee immediately available funds in U.S. dollars in an amount sufficient, when taken together with such liquidated Escrowed Property, to pay the Special Mandatory Redemption Price on all Notes to be redeemed on such date. The Trustee shall apply such liquidated Escrowed Property and such deposited funds on the Special Mandatory Redemption Date to the Special Mandatory Redemption. Unless the Company defaults in payment of the Special Mandatory Redemption Price, on and after such Special Mandatory Redemption Date, interest will cease to accrue on the Notes to be redeemed. The Trustee will release to the Company any liquidated Escrowed Property or other deposited funds remaining after the Notes are redeemed.</w:t>
      </w:r>
    </w:p>
    <w:p>
      <w:pPr>
        <w:spacing w:after="0" w:line="361" w:lineRule="exact"/>
        <w:rPr>
          <w:sz w:val="20"/>
          <w:szCs w:val="20"/>
          <w:color w:val="auto"/>
        </w:rPr>
      </w:pPr>
    </w:p>
    <w:p>
      <w:pPr>
        <w:ind w:right="160" w:firstLine="656"/>
        <w:spacing w:after="0" w:line="250" w:lineRule="auto"/>
        <w:tabs>
          <w:tab w:leader="none" w:pos="1104"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Notwithstanding the foregoing, installments of interest on any Series of Notes that are due and payable on Interest Payment Dates falling on or prior to the Special Mandatory Redemption Date will be payable on such Interest Payment Dates to the registered Holders as of the close of business on the relevant Regular Record Dates in accordance with the Notes and the Indenture.</w:t>
      </w:r>
    </w:p>
    <w:p>
      <w:pPr>
        <w:spacing w:after="0" w:line="133" w:lineRule="exact"/>
        <w:rPr>
          <w:rFonts w:ascii="Arial" w:cs="Arial" w:eastAsia="Arial" w:hAnsi="Arial"/>
          <w:sz w:val="22"/>
          <w:szCs w:val="22"/>
          <w:color w:val="auto"/>
        </w:rPr>
      </w:pPr>
    </w:p>
    <w:p>
      <w:pPr>
        <w:ind w:right="40" w:firstLine="656"/>
        <w:spacing w:after="0" w:line="263" w:lineRule="auto"/>
        <w:tabs>
          <w:tab w:leader="none" w:pos="1112"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Company shall not be required to make any mandatory redemption or sinking fund payments with respect to the Notes, except for the Special Mandatory Redemption pursuant to Section 4.03 hereof, if applicable.</w:t>
      </w:r>
    </w:p>
    <w:p>
      <w:pPr>
        <w:spacing w:after="0" w:line="12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Repurchase of Notes Upon a Change of Control</w:t>
      </w:r>
      <w:r>
        <w:rPr>
          <w:rFonts w:ascii="Arial" w:cs="Arial" w:eastAsia="Arial" w:hAnsi="Arial"/>
          <w:sz w:val="19"/>
          <w:szCs w:val="19"/>
          <w:color w:val="auto"/>
        </w:rPr>
        <w:t>.</w:t>
      </w:r>
    </w:p>
    <w:p>
      <w:pPr>
        <w:spacing w:after="0" w:line="166" w:lineRule="exact"/>
        <w:rPr>
          <w:sz w:val="20"/>
          <w:szCs w:val="20"/>
          <w:color w:val="auto"/>
        </w:rPr>
      </w:pPr>
    </w:p>
    <w:p>
      <w:pPr>
        <w:ind w:right="20" w:firstLine="656"/>
        <w:spacing w:after="0" w:line="259" w:lineRule="auto"/>
        <w:tabs>
          <w:tab w:leader="none" w:pos="1104" w:val="left"/>
        </w:tabs>
        <w:numPr>
          <w:ilvl w:val="0"/>
          <w:numId w:val="94"/>
        </w:numPr>
        <w:rPr>
          <w:rFonts w:ascii="Arial" w:cs="Arial" w:eastAsia="Arial" w:hAnsi="Arial"/>
          <w:sz w:val="21"/>
          <w:szCs w:val="21"/>
          <w:color w:val="auto"/>
        </w:rPr>
      </w:pPr>
      <w:r>
        <w:rPr>
          <w:rFonts w:ascii="Arial" w:cs="Arial" w:eastAsia="Arial" w:hAnsi="Arial"/>
          <w:sz w:val="21"/>
          <w:szCs w:val="21"/>
          <w:color w:val="auto"/>
        </w:rPr>
        <w:t>If a Change of Control Repurchase Event occurs with respect to a Series of Notes, unless the Company has exercised its right to redeem such Notes as described in Section 4.02 of this First Supplemental Indenture, the Company is required to make an offer (the “</w:t>
      </w:r>
      <w:r>
        <w:rPr>
          <w:rFonts w:ascii="Arial" w:cs="Arial" w:eastAsia="Arial" w:hAnsi="Arial"/>
          <w:sz w:val="21"/>
          <w:szCs w:val="21"/>
          <w:b w:val="1"/>
          <w:bCs w:val="1"/>
          <w:color w:val="auto"/>
        </w:rPr>
        <w:t>Change of Control Offer</w:t>
      </w:r>
      <w:r>
        <w:rPr>
          <w:rFonts w:ascii="Arial" w:cs="Arial" w:eastAsia="Arial" w:hAnsi="Arial"/>
          <w:sz w:val="21"/>
          <w:szCs w:val="21"/>
          <w:color w:val="auto"/>
        </w:rPr>
        <w:t>”) to each Holder of the Notes of such Series to repurchase all or any part (in excess of $2,000 and in integral multiples of $1,000) of that Holder’s Notes of such Series, at a repurchase price in cash equal to 101% of the aggregate principal amount of the Notes repurchased plus any accrued and unpaid interest on the Notes repurchased to, but excluding, the date of repurchase. Within 30 days following any Change of Control Repurchase Event with respect to the Notes or, at the option of the Company, prior to any Change of Control, but after the public announcement of the transaction that constitutes or may constitute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18" w:name="page119"/>
    <w:bookmarkEnd w:id="118"/>
    <w:p>
      <w:pPr>
        <w:ind w:right="80"/>
        <w:spacing w:after="0" w:line="246" w:lineRule="auto"/>
        <w:rPr>
          <w:sz w:val="20"/>
          <w:szCs w:val="20"/>
          <w:color w:val="auto"/>
        </w:rPr>
      </w:pPr>
      <w:r>
        <w:rPr>
          <w:rFonts w:ascii="Arial" w:cs="Arial" w:eastAsia="Arial" w:hAnsi="Arial"/>
          <w:sz w:val="22"/>
          <w:szCs w:val="22"/>
          <w:color w:val="auto"/>
        </w:rPr>
        <w:t>the Company will electronically deliver or mail a notice to each Holder of the applicable Series of Notes, with a copy to the Trustee, describing the transaction or transactions that constitute or may constitute the Change of Control Repurchase Event and offering to repurchase the Notes on the payment date specified in the notice, which date will be no earlier than 30 days and no later than 60 days from the date such notice is electronically delivered or mailed (the “</w:t>
      </w:r>
      <w:r>
        <w:rPr>
          <w:rFonts w:ascii="Arial" w:cs="Arial" w:eastAsia="Arial" w:hAnsi="Arial"/>
          <w:sz w:val="22"/>
          <w:szCs w:val="22"/>
          <w:b w:val="1"/>
          <w:bCs w:val="1"/>
          <w:color w:val="auto"/>
        </w:rPr>
        <w:t>Change of Control Payment Date</w:t>
      </w:r>
      <w:r>
        <w:rPr>
          <w:rFonts w:ascii="Arial" w:cs="Arial" w:eastAsia="Arial" w:hAnsi="Arial"/>
          <w:sz w:val="22"/>
          <w:szCs w:val="22"/>
          <w:color w:val="auto"/>
        </w:rPr>
        <w:t>”). The notice shall, if electronically delivered or mailed prior to the date of consummation of the Change of Control, state that the offer to purchase is conditioned on a Change of Control Repurchase Event occurring on or prior to the Change of Control Payment Date.</w:t>
      </w:r>
    </w:p>
    <w:p>
      <w:pPr>
        <w:spacing w:after="0" w:line="142" w:lineRule="exact"/>
        <w:rPr>
          <w:sz w:val="20"/>
          <w:szCs w:val="20"/>
          <w:color w:val="auto"/>
        </w:rPr>
      </w:pPr>
    </w:p>
    <w:p>
      <w:pPr>
        <w:ind w:left="1120" w:hanging="464"/>
        <w:spacing w:after="0"/>
        <w:tabs>
          <w:tab w:leader="none" w:pos="11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will, to the extent lawful:</w:t>
      </w:r>
    </w:p>
    <w:p>
      <w:pPr>
        <w:spacing w:after="0" w:line="165" w:lineRule="exact"/>
        <w:rPr>
          <w:rFonts w:ascii="Arial" w:cs="Arial" w:eastAsia="Arial" w:hAnsi="Arial"/>
          <w:sz w:val="22"/>
          <w:szCs w:val="22"/>
          <w:color w:val="auto"/>
        </w:rPr>
      </w:pPr>
    </w:p>
    <w:p>
      <w:pPr>
        <w:ind w:left="1720" w:hanging="416"/>
        <w:spacing w:after="0"/>
        <w:tabs>
          <w:tab w:leader="none" w:pos="1720" w:val="left"/>
        </w:tabs>
        <w:numPr>
          <w:ilvl w:val="1"/>
          <w:numId w:val="95"/>
        </w:numPr>
        <w:rPr>
          <w:rFonts w:ascii="Arial" w:cs="Arial" w:eastAsia="Arial" w:hAnsi="Arial"/>
          <w:sz w:val="19"/>
          <w:szCs w:val="19"/>
          <w:color w:val="auto"/>
        </w:rPr>
      </w:pPr>
      <w:r>
        <w:rPr>
          <w:rFonts w:ascii="Arial" w:cs="Arial" w:eastAsia="Arial" w:hAnsi="Arial"/>
          <w:sz w:val="19"/>
          <w:szCs w:val="19"/>
          <w:color w:val="auto"/>
        </w:rPr>
        <w:t>accept for payment all the Notes or portions of the Notes properly tendered pursuant to the Change of Control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147" w:lineRule="exact"/>
        <w:rPr>
          <w:rFonts w:ascii="Arial" w:cs="Arial" w:eastAsia="Arial" w:hAnsi="Arial"/>
          <w:sz w:val="19"/>
          <w:szCs w:val="19"/>
          <w:color w:val="auto"/>
        </w:rPr>
      </w:pPr>
    </w:p>
    <w:p>
      <w:pPr>
        <w:ind w:left="660" w:right="120" w:firstLine="644"/>
        <w:spacing w:after="0" w:line="263" w:lineRule="auto"/>
        <w:tabs>
          <w:tab w:leader="none" w:pos="1788" w:val="left"/>
        </w:tabs>
        <w:numPr>
          <w:ilvl w:val="1"/>
          <w:numId w:val="95"/>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aggregate purchase price in respect of all the Notes or portions of the Notes properly tendered; and</w:t>
      </w:r>
    </w:p>
    <w:p>
      <w:pPr>
        <w:spacing w:after="0" w:line="120" w:lineRule="exact"/>
        <w:rPr>
          <w:rFonts w:ascii="Arial" w:cs="Arial" w:eastAsia="Arial" w:hAnsi="Arial"/>
          <w:sz w:val="22"/>
          <w:szCs w:val="22"/>
          <w:color w:val="auto"/>
        </w:rPr>
      </w:pPr>
    </w:p>
    <w:p>
      <w:pPr>
        <w:ind w:left="660" w:right="640" w:firstLine="644"/>
        <w:spacing w:after="0" w:line="287" w:lineRule="auto"/>
        <w:tabs>
          <w:tab w:leader="none" w:pos="1848" w:val="left"/>
        </w:tabs>
        <w:numPr>
          <w:ilvl w:val="1"/>
          <w:numId w:val="95"/>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being purchased by the Company.</w:t>
      </w:r>
    </w:p>
    <w:p>
      <w:pPr>
        <w:spacing w:after="0" w:line="97" w:lineRule="exact"/>
        <w:rPr>
          <w:rFonts w:ascii="Arial" w:cs="Arial" w:eastAsia="Arial" w:hAnsi="Arial"/>
          <w:sz w:val="21"/>
          <w:szCs w:val="21"/>
          <w:color w:val="auto"/>
        </w:rPr>
      </w:pPr>
    </w:p>
    <w:p>
      <w:pPr>
        <w:ind w:right="120" w:firstLine="656"/>
        <w:spacing w:after="0" w:line="253" w:lineRule="auto"/>
        <w:tabs>
          <w:tab w:leader="none" w:pos="11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Paying Agent will promptly deliver to each Holder of Notes properly tendered payment for such Notes, and the Trustee will promptly authenticate and deliver (or cause to be transferred by book-entry) to each Holder a new Note equal in principal amount to any unpurchased portion of any Notes surrendered.</w:t>
      </w:r>
    </w:p>
    <w:p>
      <w:pPr>
        <w:spacing w:after="0" w:line="131" w:lineRule="exact"/>
        <w:rPr>
          <w:rFonts w:ascii="Arial" w:cs="Arial" w:eastAsia="Arial" w:hAnsi="Arial"/>
          <w:sz w:val="22"/>
          <w:szCs w:val="22"/>
          <w:color w:val="auto"/>
        </w:rPr>
      </w:pPr>
    </w:p>
    <w:p>
      <w:pPr>
        <w:ind w:firstLine="656"/>
        <w:spacing w:after="0" w:line="250" w:lineRule="auto"/>
        <w:tabs>
          <w:tab w:leader="none" w:pos="111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is not required to make an offer to repurchase Notes in connection with a Change of Control Repurchase Event if a third party makes such an offer in the manner and at the times and otherwise in compliance with the requirements hereunder for such an offer made by the Company, and such third party purchases all Notes validly tendered and not withdrawn under its offer.</w:t>
      </w:r>
    </w:p>
    <w:p>
      <w:pPr>
        <w:spacing w:after="0" w:line="133" w:lineRule="exact"/>
        <w:rPr>
          <w:rFonts w:ascii="Arial" w:cs="Arial" w:eastAsia="Arial" w:hAnsi="Arial"/>
          <w:sz w:val="22"/>
          <w:szCs w:val="22"/>
          <w:color w:val="auto"/>
        </w:rPr>
      </w:pPr>
    </w:p>
    <w:p>
      <w:pPr>
        <w:ind w:right="140" w:firstLine="656"/>
        <w:spacing w:after="0" w:line="292" w:lineRule="auto"/>
        <w:tabs>
          <w:tab w:leader="none" w:pos="1104"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Holders of not less than 90% in aggregate principal amount of the applicable outstanding Series of Notes validly tender and do not withdraw such Notes in an offer to repurchase the Notes in connection with a Change of Control Repurchase Event and the Company purchases all of the Notes of such Series validly tendered and not withdrawn by such Holders, the Company will have the right, upon not less than 10 nor more than 60 days’ prior written notice to the Holders of Notes of such Series and the Trustee, given not more than 30 days following the Change of Control Payment Date, to redeem all Notes of such Series that remain outstanding following such purchase at a redemption price in cash equal to 101% of the principal amount thereof, plus accrued and unpaid interest to, but excluding, the Redemption Date.</w:t>
      </w:r>
    </w:p>
    <w:p>
      <w:pPr>
        <w:spacing w:after="0" w:line="96" w:lineRule="exact"/>
        <w:rPr>
          <w:rFonts w:ascii="Arial" w:cs="Arial" w:eastAsia="Arial" w:hAnsi="Arial"/>
          <w:sz w:val="19"/>
          <w:szCs w:val="19"/>
          <w:color w:val="auto"/>
        </w:rPr>
      </w:pPr>
    </w:p>
    <w:p>
      <w:pPr>
        <w:ind w:right="360" w:firstLine="656"/>
        <w:spacing w:after="0" w:line="263" w:lineRule="auto"/>
        <w:tabs>
          <w:tab w:leader="none" w:pos="107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Company will comply with the requirements of Rule 14e-1 under the Exchange Act, and any other securities laws and regulations thereunder,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19" w:name="page120"/>
    <w:bookmarkEnd w:id="119"/>
    <w:p>
      <w:pPr>
        <w:ind w:right="100"/>
        <w:spacing w:after="0" w:line="248" w:lineRule="auto"/>
        <w:rPr>
          <w:sz w:val="20"/>
          <w:szCs w:val="20"/>
          <w:color w:val="auto"/>
        </w:rPr>
      </w:pPr>
      <w:r>
        <w:rPr>
          <w:rFonts w:ascii="Arial" w:cs="Arial" w:eastAsia="Arial" w:hAnsi="Arial"/>
          <w:sz w:val="22"/>
          <w:szCs w:val="22"/>
          <w:color w:val="auto"/>
        </w:rPr>
        <w:t>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Indenture or the Notes, the Company will comply with the applicable securities laws and regulations and will not be deemed to have breached its obligations under this Section 4.04 or the Notes by virtue of compliance with such securities laws and regulations.</w:t>
      </w:r>
    </w:p>
    <w:p>
      <w:pPr>
        <w:spacing w:after="0" w:line="138" w:lineRule="exact"/>
        <w:rPr>
          <w:sz w:val="20"/>
          <w:szCs w:val="20"/>
          <w:color w:val="auto"/>
        </w:rPr>
      </w:pPr>
    </w:p>
    <w:p>
      <w:pPr>
        <w:ind w:right="160" w:firstLine="656"/>
        <w:spacing w:after="0" w:line="312" w:lineRule="auto"/>
        <w:tabs>
          <w:tab w:leader="none" w:pos="11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anything to the contrary in the Indenture or otherwise, for the avoidance of doubt, the Company’s obligation to repurchase Notes upon a Change of Control Repurchase Event may be waived by the Holders of not less than a majority in aggregate principal amount of the outstanding Notes of the applicable Series affected by such waiver.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r>
        <w:rPr>
          <w:rFonts w:ascii="Arial" w:cs="Arial" w:eastAsia="Arial" w:hAnsi="Arial"/>
          <w:sz w:val="22"/>
          <w:szCs w:val="22"/>
          <w:color w:val="auto"/>
        </w:rPr>
        <w:t xml:space="preserve"> D</w:t>
      </w:r>
      <w:r>
        <w:rPr>
          <w:rFonts w:ascii="Arial" w:cs="Arial" w:eastAsia="Arial" w:hAnsi="Arial"/>
          <w:sz w:val="17"/>
          <w:szCs w:val="17"/>
          <w:color w:val="auto"/>
        </w:rPr>
        <w:t>EFAULTS AND</w:t>
      </w:r>
      <w:r>
        <w:rPr>
          <w:rFonts w:ascii="Arial" w:cs="Arial" w:eastAsia="Arial" w:hAnsi="Arial"/>
          <w:sz w:val="22"/>
          <w:szCs w:val="22"/>
          <w:color w:val="auto"/>
        </w:rPr>
        <w:t xml:space="preserve"> R</w:t>
      </w:r>
      <w:r>
        <w:rPr>
          <w:rFonts w:ascii="Arial" w:cs="Arial" w:eastAsia="Arial" w:hAnsi="Arial"/>
          <w:sz w:val="17"/>
          <w:szCs w:val="17"/>
          <w:color w:val="auto"/>
        </w:rPr>
        <w:t>EMEDIES</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Covenants</w:t>
      </w:r>
      <w:r>
        <w:rPr>
          <w:rFonts w:ascii="Arial" w:cs="Arial" w:eastAsia="Arial" w:hAnsi="Arial"/>
          <w:sz w:val="19"/>
          <w:szCs w:val="19"/>
          <w:color w:val="auto"/>
        </w:rPr>
        <w:t>. Article 4 and Article 5 of the Base Indenture shall apply to the Notes.</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Defaults and Remedies</w:t>
      </w:r>
      <w:r>
        <w:rPr>
          <w:rFonts w:ascii="Arial" w:cs="Arial" w:eastAsia="Arial" w:hAnsi="Arial"/>
          <w:sz w:val="19"/>
          <w:szCs w:val="19"/>
          <w:color w:val="auto"/>
        </w:rPr>
        <w:t>. Article 6 of the Base Indenture shall apply to the Notes.</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6</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SCROW</w:t>
      </w:r>
      <w:r>
        <w:rPr>
          <w:rFonts w:ascii="Arial" w:cs="Arial" w:eastAsia="Arial" w:hAnsi="Arial"/>
          <w:sz w:val="22"/>
          <w:szCs w:val="22"/>
          <w:color w:val="auto"/>
        </w:rPr>
        <w:t xml:space="preserve"> M</w:t>
      </w:r>
      <w:r>
        <w:rPr>
          <w:rFonts w:ascii="Arial" w:cs="Arial" w:eastAsia="Arial" w:hAnsi="Arial"/>
          <w:sz w:val="17"/>
          <w:szCs w:val="17"/>
          <w:color w:val="auto"/>
        </w:rPr>
        <w:t>ATTERS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Escrow Account</w:t>
      </w:r>
      <w:r>
        <w:rPr>
          <w:rFonts w:ascii="Arial" w:cs="Arial" w:eastAsia="Arial" w:hAnsi="Arial"/>
          <w:sz w:val="22"/>
          <w:szCs w:val="22"/>
          <w:color w:val="auto"/>
        </w:rPr>
        <w:t>. The Company shall, pursuant to the terms of the Escrow Agreement, deposit (or cause to be deposited) into the Escrow Account the net proceeds of the offering of the Initial Notes.</w:t>
      </w:r>
    </w:p>
    <w:p>
      <w:pPr>
        <w:spacing w:after="0" w:line="121"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Release of Escrowed Property</w:t>
      </w:r>
      <w:r>
        <w:rPr>
          <w:rFonts w:ascii="Arial" w:cs="Arial" w:eastAsia="Arial" w:hAnsi="Arial"/>
          <w:sz w:val="22"/>
          <w:szCs w:val="22"/>
          <w:color w:val="auto"/>
        </w:rPr>
        <w:t>. The Escrow Agreement provides that subject to the terms and conditions set forth therein, the Escrow Agent will liquidate all Escrowed Property then held by it and cause the release of the proceeds of such liquidated Escrowed Property to the Company or to such other Person as the Company directs in accordance with the terms of the Escrow Agreement.</w:t>
      </w:r>
    </w:p>
    <w:p>
      <w:pPr>
        <w:spacing w:after="0" w:line="134"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Trustee Direction to Execute Escrow Agreement</w:t>
      </w:r>
      <w:r>
        <w:rPr>
          <w:rFonts w:ascii="Arial" w:cs="Arial" w:eastAsia="Arial" w:hAnsi="Arial"/>
          <w:sz w:val="22"/>
          <w:szCs w:val="22"/>
          <w:color w:val="auto"/>
        </w:rPr>
        <w:t>. The Trustee is hereby authorized and directed to execute and deliver the Escrow Agreement.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w:t>
      </w:r>
      <w:r>
        <w:rPr>
          <w:rFonts w:ascii="Arial" w:cs="Arial" w:eastAsia="Arial" w:hAnsi="Arial"/>
          <w:sz w:val="17"/>
          <w:szCs w:val="17"/>
          <w:color w:val="auto"/>
        </w:rPr>
        <w:t>ISCELLANEOUS</w:t>
      </w:r>
    </w:p>
    <w:p>
      <w:pPr>
        <w:spacing w:after="0" w:line="148"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Confirmation of Indenture</w:t>
      </w:r>
      <w:r>
        <w:rPr>
          <w:rFonts w:ascii="Arial" w:cs="Arial" w:eastAsia="Arial" w:hAnsi="Arial"/>
          <w:sz w:val="22"/>
          <w:szCs w:val="22"/>
          <w:color w:val="auto"/>
        </w:rPr>
        <w:t>. The Base Indenture, as supplemented and amended by this First Supplemental Indenture, is in all respects ratified and confirmed, and the Base Indenture and this First Supplemental Indenture shall be read, taken and construed as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00"/>
          </w:cols>
          <w:pgMar w:left="320" w:top="1428" w:right="379" w:bottom="1440" w:gutter="0" w:footer="0" w:header="0"/>
        </w:sectPr>
      </w:pPr>
    </w:p>
    <w:bookmarkStart w:id="120" w:name="page121"/>
    <w:bookmarkEnd w:id="120"/>
    <w:p>
      <w:pPr>
        <w:ind w:firstLine="648"/>
        <w:spacing w:after="0" w:line="285"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Counterparts</w:t>
      </w:r>
      <w:r>
        <w:rPr>
          <w:rFonts w:ascii="Arial" w:cs="Arial" w:eastAsia="Arial" w:hAnsi="Arial"/>
          <w:sz w:val="19"/>
          <w:szCs w:val="19"/>
          <w:color w:val="auto"/>
        </w:rPr>
        <w:t>. The parties hereto may sign any number of copies of this First Supplemental Indenture. Each signed copy shall be an original, but all of them together represent the same agreement. Signatures of the parties hereto transmitted by facsimile or other electronic transmission shall be deemed to be their original signatures for all purposes. This First Supplemental Indenture shall be valid, binding, and enforceable against a party (subject to applicable bankruptcy, insolvency, fraudulent transfer, fraudulent conveyance, reorganization, moratorium and other laws now or hereinafter in effect affecting creditors’ rights or remedies generally and to general principles of equity (including standards of materiality, good faith, fair dealing and reasonableness), whether considered in a proceeding at law or at equity)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NYUCC (collectively, “</w:t>
      </w:r>
      <w:r>
        <w:rPr>
          <w:rFonts w:ascii="Arial" w:cs="Arial" w:eastAsia="Arial" w:hAnsi="Arial"/>
          <w:sz w:val="19"/>
          <w:szCs w:val="19"/>
          <w:b w:val="1"/>
          <w:bCs w:val="1"/>
          <w:color w:val="auto"/>
        </w:rPr>
        <w:t>Signature Law</w:t>
      </w:r>
      <w:r>
        <w:rPr>
          <w:rFonts w:ascii="Arial" w:cs="Arial" w:eastAsia="Arial" w:hAnsi="Arial"/>
          <w:sz w:val="19"/>
          <w:szCs w:val="19"/>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NYUCC or other Signature Law due to the character or intended character of the writings.</w:t>
      </w:r>
    </w:p>
    <w:p>
      <w:pPr>
        <w:spacing w:after="0" w:line="371"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Governing Law</w:t>
      </w:r>
      <w:r>
        <w:rPr>
          <w:rFonts w:ascii="Arial" w:cs="Arial" w:eastAsia="Arial" w:hAnsi="Arial"/>
          <w:sz w:val="22"/>
          <w:szCs w:val="22"/>
          <w:color w:val="auto"/>
        </w:rPr>
        <w:t>. This First Supplemental Indenture and the Notes of each Series shall be governed by and construed in accordance with the laws of the State of New York.</w:t>
      </w:r>
    </w:p>
    <w:p>
      <w:pPr>
        <w:spacing w:after="0" w:line="121"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COMPANY AND THE TRUSTEE HEREBY IRREVOCABLY WAIVES, TO THE FULLEST EXTENT PERMITTED BY APPLICABLE LAW, ANY AND ALL RIGHT TO TRIAL BY JURY IN ANY LEGAL PROCEEDING ARISING OUT OF OR RELATING TO THIS FIRST SUPPLEMENTAL INDENTURE, THE NOTES OR THE TRANSACTION CONTEMPLATED HEREBY.</w:t>
      </w:r>
    </w:p>
    <w:p>
      <w:pPr>
        <w:spacing w:after="0" w:line="1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Jurisdiction</w:t>
      </w:r>
      <w:r>
        <w:rPr>
          <w:rFonts w:ascii="Arial" w:cs="Arial" w:eastAsia="Arial" w:hAnsi="Arial"/>
          <w:sz w:val="19"/>
          <w:szCs w:val="19"/>
          <w:color w:val="auto"/>
        </w:rPr>
        <w:t>. The Company and the Trustee, and each Holder of a Note by its acceptance thereof, hereby</w:t>
      </w:r>
    </w:p>
    <w:p>
      <w:pPr>
        <w:spacing w:after="0" w:line="21" w:lineRule="exact"/>
        <w:rPr>
          <w:sz w:val="20"/>
          <w:szCs w:val="20"/>
          <w:color w:val="auto"/>
        </w:rPr>
      </w:pPr>
    </w:p>
    <w:p>
      <w:pPr>
        <w:ind w:right="40" w:firstLine="8"/>
        <w:spacing w:after="0" w:line="257" w:lineRule="auto"/>
        <w:tabs>
          <w:tab w:leader="none" w:pos="25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irrevocably submit to the non-exclusive jurisdiction of any federal or state court sitting in the Borough of Manhattan, the city of New York, over any suit, action or proceeding arising out of or relating to the First Supplemental Indenture and (ii) to the fullest extent permitted by applicable law, irrevocably waive and agree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21" w:name="page122"/>
    <w:bookmarkEnd w:id="121"/>
    <w:p>
      <w:pPr>
        <w:ind w:firstLine="648"/>
        <w:spacing w:after="0" w:line="294"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Recitals by the Company</w:t>
      </w:r>
      <w:r>
        <w:rPr>
          <w:rFonts w:ascii="Arial" w:cs="Arial" w:eastAsia="Arial" w:hAnsi="Arial"/>
          <w:sz w:val="19"/>
          <w:szCs w:val="19"/>
          <w:color w:val="auto"/>
        </w:rPr>
        <w:t>. The recitals in this First Supplemental Indenture are made by the Company only and not by the Trustee, and the Trustee assumes no responsibility for their correctness. The Trustee makes no representations as to the validity or sufficiency of this First Supplemental Indenture or of the Notes. The Trustee shall not be accountable for the use or application by the Company of the Notes or the proceeds thereof. All of the provisions contained in the Base Indenture in respect of the rights, privileges, immunities, powers and duties of the Trustee shall be applicable in respect of the Notes and of this First Supplemental Indenture as fully and with like effect as if set forth herein in full.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20" w:top="1428" w:right="379" w:bottom="1440" w:gutter="0" w:footer="0" w:header="0"/>
        </w:sectPr>
      </w:pPr>
    </w:p>
    <w:bookmarkStart w:id="122" w:name="page123"/>
    <w:bookmarkEnd w:id="12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as of the date first written above.</w:t>
      </w:r>
    </w:p>
    <w:p>
      <w:pPr>
        <w:spacing w:after="0" w:line="17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as Company</w:t>
      </w:r>
    </w:p>
    <w:p>
      <w:pPr>
        <w:spacing w:after="0" w:line="200" w:lineRule="exact"/>
        <w:rPr>
          <w:sz w:val="20"/>
          <w:szCs w:val="20"/>
          <w:color w:val="auto"/>
        </w:rPr>
      </w:pPr>
    </w:p>
    <w:p>
      <w:pPr>
        <w:spacing w:after="0" w:line="272" w:lineRule="exact"/>
        <w:rPr>
          <w:sz w:val="20"/>
          <w:szCs w:val="20"/>
          <w:color w:val="auto"/>
        </w:rPr>
      </w:pPr>
    </w:p>
    <w:p>
      <w:pPr>
        <w:ind w:left="4900"/>
        <w:spacing w:after="0"/>
        <w:tabs>
          <w:tab w:leader="none" w:pos="5460" w:val="left"/>
        </w:tabs>
        <w:rPr>
          <w:sz w:val="20"/>
          <w:szCs w:val="20"/>
          <w:color w:val="auto"/>
        </w:rPr>
      </w:pPr>
      <w:r>
        <w:rPr>
          <w:rFonts w:ascii="Arial" w:cs="Arial" w:eastAsia="Arial" w:hAnsi="Arial"/>
          <w:sz w:val="22"/>
          <w:szCs w:val="22"/>
          <w:color w:val="auto"/>
        </w:rPr>
        <w:t>By:</w:t>
        <w:tab/>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24130</wp:posOffset>
            </wp:positionV>
            <wp:extent cx="3669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1" w:lineRule="exact"/>
        <w:rPr>
          <w:sz w:val="20"/>
          <w:szCs w:val="20"/>
          <w:color w:val="auto"/>
        </w:rPr>
      </w:pPr>
    </w:p>
    <w:p>
      <w:pPr>
        <w:ind w:left="5480"/>
        <w:spacing w:after="0"/>
        <w:tabs>
          <w:tab w:leader="none" w:pos="6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Baris Oran</w:t>
      </w:r>
    </w:p>
    <w:p>
      <w:pPr>
        <w:spacing w:after="0" w:line="58" w:lineRule="exact"/>
        <w:rPr>
          <w:sz w:val="20"/>
          <w:szCs w:val="20"/>
          <w:color w:val="auto"/>
        </w:rPr>
      </w:pPr>
    </w:p>
    <w:p>
      <w:pPr>
        <w:ind w:left="5480"/>
        <w:spacing w:after="0"/>
        <w:tabs>
          <w:tab w:leader="none" w:pos="63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GXO Logistics First Supplement Indenture</w:t>
      </w:r>
      <w:r>
        <w:rPr>
          <w:rFonts w:ascii="Arial" w:cs="Arial" w:eastAsia="Arial" w:hAnsi="Arial"/>
          <w:sz w:val="22"/>
          <w:szCs w:val="22"/>
          <w:color w:val="auto"/>
        </w:rPr>
        <w:t>]</w:t>
      </w:r>
    </w:p>
    <w:p>
      <w:pPr>
        <w:sectPr>
          <w:pgSz w:w="11900" w:h="16838" w:orient="portrait"/>
          <w:cols w:equalWidth="0" w:num="1">
            <w:col w:w="11120"/>
          </w:cols>
          <w:pgMar w:left="320" w:top="1428" w:right="459" w:bottom="1440" w:gutter="0" w:footer="0" w:header="0"/>
        </w:sectPr>
      </w:pPr>
    </w:p>
    <w:bookmarkStart w:id="123" w:name="page124"/>
    <w:bookmarkEnd w:id="123"/>
    <w:p>
      <w:pPr>
        <w:spacing w:after="0" w:line="42" w:lineRule="exact"/>
        <w:rPr>
          <w:sz w:val="20"/>
          <w:szCs w:val="20"/>
          <w:color w:val="auto"/>
        </w:rPr>
      </w:pPr>
    </w:p>
    <w:p>
      <w:pPr>
        <w:ind w:left="4040" w:right="99"/>
        <w:spacing w:after="0" w:line="263" w:lineRule="auto"/>
        <w:rPr>
          <w:sz w:val="20"/>
          <w:szCs w:val="20"/>
          <w:color w:val="auto"/>
        </w:rPr>
      </w:pPr>
      <w:r>
        <w:rPr>
          <w:rFonts w:ascii="Arial" w:cs="Arial" w:eastAsia="Arial" w:hAnsi="Arial"/>
          <w:sz w:val="22"/>
          <w:szCs w:val="22"/>
          <w:color w:val="auto"/>
        </w:rPr>
        <w:t>WELLS FARGO BANK, NATIONAL ASSOCIATION, as Trustee</w:t>
      </w:r>
    </w:p>
    <w:p>
      <w:pPr>
        <w:spacing w:after="0" w:line="200" w:lineRule="exact"/>
        <w:rPr>
          <w:sz w:val="20"/>
          <w:szCs w:val="20"/>
          <w:color w:val="auto"/>
        </w:rPr>
      </w:pPr>
    </w:p>
    <w:p>
      <w:pPr>
        <w:spacing w:after="0" w:line="245" w:lineRule="exact"/>
        <w:rPr>
          <w:sz w:val="20"/>
          <w:szCs w:val="20"/>
          <w:color w:val="auto"/>
        </w:rPr>
      </w:pPr>
    </w:p>
    <w:p>
      <w:pPr>
        <w:ind w:left="4040"/>
        <w:spacing w:after="0"/>
        <w:tabs>
          <w:tab w:leader="none" w:pos="4620" w:val="left"/>
        </w:tabs>
        <w:rPr>
          <w:sz w:val="20"/>
          <w:szCs w:val="20"/>
          <w:color w:val="auto"/>
        </w:rPr>
      </w:pPr>
      <w:r>
        <w:rPr>
          <w:rFonts w:ascii="Arial" w:cs="Arial" w:eastAsia="Arial" w:hAnsi="Arial"/>
          <w:sz w:val="22"/>
          <w:szCs w:val="22"/>
          <w:color w:val="auto"/>
        </w:rPr>
        <w:t>By:</w:t>
        <w:tab/>
        <w:t>/s/ Joel Odenbrett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24130</wp:posOffset>
            </wp:positionV>
            <wp:extent cx="3497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1" w:lineRule="exact"/>
        <w:rPr>
          <w:sz w:val="20"/>
          <w:szCs w:val="20"/>
          <w:color w:val="auto"/>
        </w:rPr>
      </w:pPr>
    </w:p>
    <w:p>
      <w:pPr>
        <w:ind w:left="4640"/>
        <w:spacing w:after="0"/>
        <w:tabs>
          <w:tab w:leader="none" w:pos="55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Joel Odenbrett</w:t>
      </w:r>
    </w:p>
    <w:p>
      <w:pPr>
        <w:spacing w:after="0" w:line="58" w:lineRule="exact"/>
        <w:rPr>
          <w:sz w:val="20"/>
          <w:szCs w:val="20"/>
          <w:color w:val="auto"/>
        </w:rPr>
      </w:pPr>
    </w:p>
    <w:p>
      <w:pPr>
        <w:ind w:left="4640"/>
        <w:spacing w:after="0"/>
        <w:tabs>
          <w:tab w:leader="none" w:pos="5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GXO Logistics First Supplement Indenture</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color w:val="auto"/>
        </w:rPr>
        <w:t>EXHIBIT A-1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2026 NOTE]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[Global Notes Legend]</w:t>
      </w:r>
    </w:p>
    <w:p>
      <w:pPr>
        <w:spacing w:after="0" w:line="166"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146"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[Restricted Notes Legend]</w:t>
      </w:r>
    </w:p>
    <w:p>
      <w:pPr>
        <w:spacing w:after="0" w:line="16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THIS SECURITY HAS NOT BEEN REGISTERED UNDER THE SECURITIES ACT OF 1933, AS AMENDED (THE “SECURITIES ACT”), OR THE SECURITIES LAWS OF ANY STATE OR OTHER JURISDICTION. BY ITS ACQUISITION HEREOF OR OF A BENEFICIAL INTEREST HEREIN, THE ACQUIRER REPRESENTS THAT</w:t>
      </w:r>
    </w:p>
    <w:p>
      <w:pPr>
        <w:spacing w:after="0" w:line="113" w:lineRule="exact"/>
        <w:rPr>
          <w:sz w:val="20"/>
          <w:szCs w:val="20"/>
          <w:color w:val="auto"/>
        </w:rPr>
      </w:pPr>
    </w:p>
    <w:p>
      <w:pPr>
        <w:ind w:right="20" w:firstLine="656"/>
        <w:spacing w:after="0" w:line="253" w:lineRule="auto"/>
        <w:tabs>
          <w:tab w:leader="none" w:pos="9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IT AND ANY ACCOUNT FOR WHICH IT IS ACTING IS A “QUALIFIED INSTITUTIONAL BUYER” (WITHIN THE MEANING OF RULE 144A UNDER THE SECURITIES ACT) AND THAT IT EXERCISES SOLE INVESTMENT DISCRETION WITH RESPECT TO EACH SUCH ACCOUNT, OR</w:t>
      </w:r>
    </w:p>
    <w:p>
      <w:pPr>
        <w:spacing w:after="0" w:line="131" w:lineRule="exact"/>
        <w:rPr>
          <w:rFonts w:ascii="Arial" w:cs="Arial" w:eastAsia="Arial" w:hAnsi="Arial"/>
          <w:sz w:val="22"/>
          <w:szCs w:val="22"/>
          <w:color w:val="auto"/>
        </w:rPr>
      </w:pPr>
    </w:p>
    <w:p>
      <w:pPr>
        <w:ind w:right="580" w:firstLine="656"/>
        <w:spacing w:after="0" w:line="263" w:lineRule="auto"/>
        <w:tabs>
          <w:tab w:leader="none" w:pos="9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IT IS NOT A “U.S. PERSON” AND IS OUTSIDE OF THE UNITED STATES (WITHIN THE MEANING OF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20"/>
          </w:cols>
          <w:pgMar w:left="320" w:top="1422" w:right="359" w:bottom="1440" w:gutter="0" w:footer="0" w:header="0"/>
        </w:sectPr>
      </w:pPr>
    </w:p>
    <w:bookmarkStart w:id="125" w:name="page126"/>
    <w:bookmarkEnd w:id="125"/>
    <w:p>
      <w:pPr>
        <w:ind w:firstLine="648"/>
        <w:spacing w:after="0" w:line="284" w:lineRule="auto"/>
        <w:rPr>
          <w:sz w:val="20"/>
          <w:szCs w:val="20"/>
          <w:color w:val="auto"/>
        </w:rPr>
      </w:pPr>
      <w:r>
        <w:rPr>
          <w:rFonts w:ascii="Arial" w:cs="Arial" w:eastAsia="Arial" w:hAnsi="Arial"/>
          <w:sz w:val="19"/>
          <w:szCs w:val="19"/>
          <w:color w:val="auto"/>
        </w:rPr>
        <w:t>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THAT IS (A) IN THE CASE OF RULE 144A GLOBAL NOTES, ONE YEAR, OR (B) IN THE CASE OF REGULATION S GLOBAL NOTES, 40 DAYS, IN EACH CASE AFTER THE LATER OF THE ORIGINAL ISSUE DATE HEREOF AND THE LAST DATE ON WHICH THE COMPANY OR ANY AFFILIATE OF THE COMPANY WAS THE OWNER OF THIS SECURITY (OR ANY PREDECESSOR OF THIS SECURITY), ONLY (A) TO THE COMPANY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144A Global Notes]</w:t>
      </w:r>
    </w:p>
    <w:p>
      <w:pPr>
        <w:spacing w:after="0" w:line="166"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[EACH PURCHASER OF THIS SECURITY IS HEREBY NOTIFIED THAT THE SELLER OF THIS SECURITY MAY BE RELYING ON THE EXEMPTION FROM THE PROVISIONS OF SECTION 5 OF THE SECURITIES ACT PROVIDED BY RULE 144A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28" w:right="3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22"/>
          <w:szCs w:val="22"/>
          <w:b w:val="1"/>
          <w:bCs w:val="1"/>
          <w:color w:val="auto"/>
        </w:rPr>
        <w:t>[FORM OF NOTE]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GXO LOGISTICS, INC.</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 [ ]</w:t>
      </w:r>
    </w:p>
    <w:p>
      <w:pPr>
        <w:jc w:val="right"/>
        <w:ind w:right="280"/>
        <w:spacing w:after="0"/>
        <w:rPr>
          <w:sz w:val="20"/>
          <w:szCs w:val="20"/>
          <w:color w:val="auto"/>
        </w:rPr>
      </w:pPr>
      <w:r>
        <w:rPr>
          <w:rFonts w:ascii="Arial" w:cs="Arial" w:eastAsia="Arial" w:hAnsi="Arial"/>
          <w:sz w:val="22"/>
          <w:szCs w:val="22"/>
          <w:color w:val="auto"/>
        </w:rPr>
        <w:t>144A CUSIP No. 36262G AA9</w:t>
      </w:r>
    </w:p>
    <w:p>
      <w:pPr>
        <w:spacing w:after="0" w:line="40" w:lineRule="exact"/>
        <w:rPr>
          <w:sz w:val="20"/>
          <w:szCs w:val="20"/>
          <w:color w:val="auto"/>
        </w:rPr>
      </w:pPr>
    </w:p>
    <w:p>
      <w:pPr>
        <w:jc w:val="right"/>
        <w:ind w:right="280"/>
        <w:spacing w:after="0"/>
        <w:rPr>
          <w:sz w:val="20"/>
          <w:szCs w:val="20"/>
          <w:color w:val="auto"/>
        </w:rPr>
      </w:pPr>
      <w:r>
        <w:rPr>
          <w:rFonts w:ascii="Arial" w:cs="Arial" w:eastAsia="Arial" w:hAnsi="Arial"/>
          <w:sz w:val="22"/>
          <w:szCs w:val="22"/>
          <w:color w:val="auto"/>
        </w:rPr>
        <w:t>144A ISIN No. US36262GAA94</w:t>
      </w:r>
    </w:p>
    <w:p>
      <w:pPr>
        <w:spacing w:after="0" w:line="58" w:lineRule="exact"/>
        <w:rPr>
          <w:sz w:val="20"/>
          <w:szCs w:val="20"/>
          <w:color w:val="auto"/>
        </w:rPr>
      </w:pPr>
    </w:p>
    <w:p>
      <w:pPr>
        <w:jc w:val="right"/>
        <w:ind w:right="280"/>
        <w:spacing w:after="0"/>
        <w:rPr>
          <w:sz w:val="20"/>
          <w:szCs w:val="20"/>
          <w:color w:val="auto"/>
        </w:rPr>
      </w:pPr>
      <w:r>
        <w:rPr>
          <w:rFonts w:ascii="Arial" w:cs="Arial" w:eastAsia="Arial" w:hAnsi="Arial"/>
          <w:sz w:val="22"/>
          <w:szCs w:val="22"/>
          <w:color w:val="auto"/>
        </w:rPr>
        <w:t>REG S CUSIP No. U4038P AA7</w:t>
      </w:r>
    </w:p>
    <w:p>
      <w:pPr>
        <w:spacing w:after="0" w:line="58" w:lineRule="exact"/>
        <w:rPr>
          <w:sz w:val="20"/>
          <w:szCs w:val="20"/>
          <w:color w:val="auto"/>
        </w:rPr>
      </w:pPr>
    </w:p>
    <w:p>
      <w:pPr>
        <w:jc w:val="right"/>
        <w:ind w:right="280"/>
        <w:spacing w:after="0"/>
        <w:rPr>
          <w:sz w:val="20"/>
          <w:szCs w:val="20"/>
          <w:color w:val="auto"/>
        </w:rPr>
      </w:pPr>
      <w:r>
        <w:rPr>
          <w:rFonts w:ascii="Arial" w:cs="Arial" w:eastAsia="Arial" w:hAnsi="Arial"/>
          <w:sz w:val="22"/>
          <w:szCs w:val="22"/>
          <w:color w:val="auto"/>
        </w:rPr>
        <w:t>REG S ISIN No. USU4038PAA76</w:t>
      </w:r>
    </w:p>
    <w:p>
      <w:pPr>
        <w:spacing w:after="0" w:line="328" w:lineRule="exact"/>
        <w:rPr>
          <w:sz w:val="20"/>
          <w:szCs w:val="20"/>
          <w:color w:val="auto"/>
        </w:rPr>
      </w:pPr>
    </w:p>
    <w:p>
      <w:pPr>
        <w:jc w:val="right"/>
        <w:ind w:right="280"/>
        <w:spacing w:after="0"/>
        <w:tabs>
          <w:tab w:leader="none" w:pos="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1.650% Note due 2026</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GXO LOGISTICS, INC., a Delaware corporation, promises to pay to Cede &amp; Co., or registered assigns, the principal sum of [__] DOLLARS (or such other amount set forth on the Schedule of Increases or Decreases in Global Note attached hereto) on July 15, 2026.</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Payment Dates: January 15 and July 15, commencing January 15, 2022.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Record Dates: December 31 and June 30.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provisions of this Note are set forth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00"/>
          </w:cols>
          <w:pgMar w:left="320" w:top="1422" w:right="379" w:bottom="1440" w:gutter="0" w:footer="0" w:header="0"/>
        </w:sectPr>
      </w:pPr>
    </w:p>
    <w:bookmarkStart w:id="127" w:name="page128"/>
    <w:bookmarkEnd w:id="127"/>
    <w:p>
      <w:pPr>
        <w:ind w:left="640"/>
        <w:spacing w:after="0"/>
        <w:rPr>
          <w:sz w:val="20"/>
          <w:szCs w:val="20"/>
          <w:color w:val="auto"/>
        </w:rPr>
      </w:pPr>
      <w:r>
        <w:rPr>
          <w:rFonts w:ascii="Arial" w:cs="Arial" w:eastAsia="Arial" w:hAnsi="Arial"/>
          <w:sz w:val="19"/>
          <w:szCs w:val="19"/>
          <w:color w:val="auto"/>
        </w:rPr>
        <w:t>IN WITNESS WHEREOF, the parties have caused this instrument to be duly executed.</w:t>
      </w:r>
    </w:p>
    <w:p>
      <w:pPr>
        <w:spacing w:after="0" w:line="254"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26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24130</wp:posOffset>
            </wp:positionV>
            <wp:extent cx="34201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119"/>
          </w:cols>
          <w:pgMar w:left="340" w:top="1428" w:right="1440"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TRUSTEE’S CERTIFICATE OF AUTHENTICATION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Trustee, certifies that this is one of the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Notes referred to in the Indenture.</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24130</wp:posOffset>
            </wp:positionV>
            <wp:extent cx="351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5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Authorized Signatory</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139"/>
          </w:cols>
          <w:pgMar w:left="320" w:top="1428"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22"/>
          <w:szCs w:val="22"/>
          <w:b w:val="1"/>
          <w:bCs w:val="1"/>
          <w:color w:val="auto"/>
        </w:rPr>
        <w:t>[FORM OF REVERSE SIDE OF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1.650% Note Due 2026</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GXO Logistics, Inc., a Delaware corporation (together with its successors and assigns, the “</w:t>
      </w:r>
      <w:r>
        <w:rPr>
          <w:rFonts w:ascii="Arial" w:cs="Arial" w:eastAsia="Arial" w:hAnsi="Arial"/>
          <w:sz w:val="21"/>
          <w:szCs w:val="21"/>
          <w:b w:val="1"/>
          <w:bCs w:val="1"/>
          <w:color w:val="auto"/>
        </w:rPr>
        <w:t>Company</w:t>
      </w:r>
      <w:r>
        <w:rPr>
          <w:rFonts w:ascii="Arial" w:cs="Arial" w:eastAsia="Arial" w:hAnsi="Arial"/>
          <w:sz w:val="21"/>
          <w:szCs w:val="21"/>
          <w:color w:val="auto"/>
        </w:rPr>
        <w:t>”), issued this Note under the Indenture dated as of July 2, 2021 (as amended, modified or supplemented from time to time in accordance therewith, the “</w:t>
      </w:r>
      <w:r>
        <w:rPr>
          <w:rFonts w:ascii="Arial" w:cs="Arial" w:eastAsia="Arial" w:hAnsi="Arial"/>
          <w:sz w:val="21"/>
          <w:szCs w:val="21"/>
          <w:b w:val="1"/>
          <w:bCs w:val="1"/>
          <w:color w:val="auto"/>
        </w:rPr>
        <w:t>Base Indenture</w:t>
      </w:r>
      <w:r>
        <w:rPr>
          <w:rFonts w:ascii="Arial" w:cs="Arial" w:eastAsia="Arial" w:hAnsi="Arial"/>
          <w:sz w:val="21"/>
          <w:szCs w:val="21"/>
          <w:color w:val="auto"/>
        </w:rPr>
        <w:t>”), as supplemented by the First Supplemental Indenture dated as of July 2, 2021 (the “</w:t>
      </w:r>
      <w:r>
        <w:rPr>
          <w:rFonts w:ascii="Arial" w:cs="Arial" w:eastAsia="Arial" w:hAnsi="Arial"/>
          <w:sz w:val="21"/>
          <w:szCs w:val="21"/>
          <w:b w:val="1"/>
          <w:bCs w:val="1"/>
          <w:color w:val="auto"/>
        </w:rPr>
        <w:t>Supplemental</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by and between the Company and Wells Fargo Bank,</w:t>
      </w:r>
      <w:r>
        <w:rPr>
          <w:rFonts w:ascii="Arial" w:cs="Arial" w:eastAsia="Arial" w:hAnsi="Arial"/>
          <w:sz w:val="21"/>
          <w:szCs w:val="21"/>
          <w:b w:val="1"/>
          <w:bCs w:val="1"/>
          <w:color w:val="auto"/>
        </w:rPr>
        <w:t xml:space="preserve"> </w:t>
      </w:r>
      <w:r>
        <w:rPr>
          <w:rFonts w:ascii="Arial" w:cs="Arial" w:eastAsia="Arial" w:hAnsi="Arial"/>
          <w:sz w:val="21"/>
          <w:szCs w:val="21"/>
          <w:color w:val="auto"/>
        </w:rPr>
        <w:t>National Association, as trustee (in such capacity, the “</w:t>
      </w:r>
      <w:r>
        <w:rPr>
          <w:rFonts w:ascii="Arial" w:cs="Arial" w:eastAsia="Arial" w:hAnsi="Arial"/>
          <w:sz w:val="21"/>
          <w:szCs w:val="21"/>
          <w:b w:val="1"/>
          <w:bCs w:val="1"/>
          <w:color w:val="auto"/>
        </w:rPr>
        <w:t>Trustee</w:t>
      </w:r>
      <w:r>
        <w:rPr>
          <w:rFonts w:ascii="Arial" w:cs="Arial" w:eastAsia="Arial" w:hAnsi="Arial"/>
          <w:sz w:val="21"/>
          <w:szCs w:val="21"/>
          <w:color w:val="auto"/>
        </w:rPr>
        <w:t>”), to which reference is hereby made for a statement of the respective rights, obligations, duties and immunities thereunder of the Company, the Trustee and the Holders and of the terms upon which this Note is authorized and delivered. All terms used in this Note that are defined in the Indenture shall have the meanings assigned to them therein. If any terms of this Note conflicts with the terms of the Indenture, the terms of the Indenture shall govern and control.</w:t>
      </w:r>
    </w:p>
    <w:p>
      <w:pPr>
        <w:spacing w:after="0" w:line="131" w:lineRule="exact"/>
        <w:rPr>
          <w:sz w:val="20"/>
          <w:szCs w:val="20"/>
          <w:color w:val="auto"/>
        </w:rPr>
      </w:pPr>
    </w:p>
    <w:p>
      <w:pPr>
        <w:ind w:firstLine="656"/>
        <w:spacing w:after="0" w:line="288" w:lineRule="auto"/>
        <w:tabs>
          <w:tab w:leader="none" w:pos="1026"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The Company promises to pay interest on the principal amount of this Note at the rate of 1.650% per year.</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will pay interest semi-annually in arrears on January 15 and July 15 of each year (each, an “</w:t>
      </w:r>
      <w:r>
        <w:rPr>
          <w:rFonts w:ascii="Arial" w:cs="Arial" w:eastAsia="Arial" w:hAnsi="Arial"/>
          <w:sz w:val="19"/>
          <w:szCs w:val="19"/>
          <w:b w:val="1"/>
          <w:bCs w:val="1"/>
          <w:color w:val="auto"/>
        </w:rPr>
        <w:t>Interest Payment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beginning on January 15, 2022, until the principal is paid or made available for payment. Interest on this Note will accrue</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most recent date to which interest has been paid or duly provided for or, if no interest has been paid, from the date of issuance to, but excluding, the applicable Interest Payment Date or Stated Maturity of the principal of the Note, as the case may be. Interest will be computed on the basis of a 360-day year comprised of twelve 30-day months. If any Interest Payment Date, Stated Maturity or other payment date with respect to the Notes is not a Business Day, the required payment of principal, premium, if any, or interest will be due on the next succeeding Business Day as if made on the date that such payment was due, and no interest will accrue on that payment for the period from and after that Interest Payment Date, Stated Maturity or other payment date, as the case may be, to the date of that payment on the next succeeding Business Day.</w:t>
      </w:r>
    </w:p>
    <w:p>
      <w:pPr>
        <w:spacing w:after="0" w:line="105" w:lineRule="exact"/>
        <w:rPr>
          <w:rFonts w:ascii="Arial" w:cs="Arial" w:eastAsia="Arial" w:hAnsi="Arial"/>
          <w:sz w:val="19"/>
          <w:szCs w:val="19"/>
          <w:color w:val="auto"/>
        </w:rPr>
      </w:pPr>
    </w:p>
    <w:p>
      <w:pPr>
        <w:ind w:firstLine="656"/>
        <w:spacing w:after="0" w:line="294" w:lineRule="auto"/>
        <w:tabs>
          <w:tab w:leader="none" w:pos="1026"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Company will pay interest on this Note (except defaulted interest, if any, which will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on a special payment date to Holders of record on such special record date as may be fixed by the Company in accordance with Section 2.11 of the Base Indenture) to the persons in whose name this Note is registered at the close of business on the Regular Record Date immediately preceding the relevant Interest Payment Date. The Company will pay principal and interest in money of the United States of America that at the time of payment is legal tender for payment of public and private debts, at the office or agency of the Company maintained for that purpose in accordance with the Indenture.</w:t>
      </w:r>
    </w:p>
    <w:p>
      <w:pPr>
        <w:spacing w:after="0" w:line="95" w:lineRule="exact"/>
        <w:rPr>
          <w:rFonts w:ascii="Arial" w:cs="Arial" w:eastAsia="Arial" w:hAnsi="Arial"/>
          <w:sz w:val="19"/>
          <w:szCs w:val="19"/>
          <w:color w:val="auto"/>
        </w:rPr>
      </w:pPr>
    </w:p>
    <w:p>
      <w:pPr>
        <w:ind w:right="160" w:firstLine="656"/>
        <w:spacing w:after="0" w:line="263" w:lineRule="auto"/>
        <w:tabs>
          <w:tab w:leader="none" w:pos="102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Paying Agent</w:t>
      </w:r>
      <w:r>
        <w:rPr>
          <w:rFonts w:ascii="Arial" w:cs="Arial" w:eastAsia="Arial" w:hAnsi="Arial"/>
          <w:sz w:val="22"/>
          <w:szCs w:val="22"/>
          <w:color w:val="auto"/>
        </w:rPr>
        <w:t>. Initially, the Trustee will act as Paying Agent and Registrar. The Company may have one or more co-Registrars and one or more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220"/>
          </w:cols>
          <w:pgMar w:left="320" w:top="1422" w:right="359" w:bottom="1440" w:gutter="0" w:footer="0" w:header="0"/>
        </w:sectPr>
      </w:pPr>
    </w:p>
    <w:bookmarkStart w:id="130" w:name="page131"/>
    <w:bookmarkEnd w:id="130"/>
    <w:p>
      <w:pPr>
        <w:ind w:right="480"/>
        <w:spacing w:after="0" w:line="263" w:lineRule="auto"/>
        <w:rPr>
          <w:sz w:val="20"/>
          <w:szCs w:val="20"/>
          <w:color w:val="auto"/>
        </w:rPr>
      </w:pPr>
      <w:r>
        <w:rPr>
          <w:rFonts w:ascii="Arial" w:cs="Arial" w:eastAsia="Arial" w:hAnsi="Arial"/>
          <w:sz w:val="22"/>
          <w:szCs w:val="22"/>
          <w:color w:val="auto"/>
        </w:rPr>
        <w:t>paying agents. The Company may at any time rescind the designation of any Registrar or Paying Agent or approve a change through which the Registrar or Paying Agent acts.</w:t>
      </w:r>
    </w:p>
    <w:p>
      <w:pPr>
        <w:spacing w:after="0" w:line="121" w:lineRule="exact"/>
        <w:rPr>
          <w:sz w:val="20"/>
          <w:szCs w:val="20"/>
          <w:color w:val="auto"/>
        </w:rPr>
      </w:pPr>
    </w:p>
    <w:p>
      <w:pPr>
        <w:ind w:right="200" w:firstLine="656"/>
        <w:spacing w:after="0" w:line="263" w:lineRule="auto"/>
        <w:tabs>
          <w:tab w:leader="none" w:pos="1026"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This Note shall be redeemable at the option of the Company in accordance with Section 4.02</w:t>
      </w:r>
      <w:r>
        <w:rPr>
          <w:rFonts w:ascii="Arial" w:cs="Arial" w:eastAsia="Arial" w:hAnsi="Arial"/>
          <w:sz w:val="22"/>
          <w:szCs w:val="22"/>
          <w:i w:val="1"/>
          <w:iCs w:val="1"/>
          <w:color w:val="auto"/>
        </w:rPr>
        <w:t xml:space="preserve"> </w:t>
      </w:r>
      <w:r>
        <w:rPr>
          <w:rFonts w:ascii="Arial" w:cs="Arial" w:eastAsia="Arial" w:hAnsi="Arial"/>
          <w:sz w:val="22"/>
          <w:szCs w:val="22"/>
          <w:color w:val="auto"/>
        </w:rPr>
        <w:t>of the Supplemental Indenture.</w:t>
      </w:r>
    </w:p>
    <w:p>
      <w:pPr>
        <w:spacing w:after="0" w:line="120" w:lineRule="exact"/>
        <w:rPr>
          <w:rFonts w:ascii="Arial" w:cs="Arial" w:eastAsia="Arial" w:hAnsi="Arial"/>
          <w:sz w:val="22"/>
          <w:szCs w:val="22"/>
          <w:color w:val="auto"/>
        </w:rPr>
      </w:pPr>
    </w:p>
    <w:p>
      <w:pPr>
        <w:ind w:right="220" w:firstLine="656"/>
        <w:spacing w:after="0" w:line="263" w:lineRule="auto"/>
        <w:tabs>
          <w:tab w:leader="none" w:pos="1026"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Special Mandatory Redemption</w:t>
      </w:r>
      <w:r>
        <w:rPr>
          <w:rFonts w:ascii="Arial" w:cs="Arial" w:eastAsia="Arial" w:hAnsi="Arial"/>
          <w:sz w:val="22"/>
          <w:szCs w:val="22"/>
          <w:color w:val="auto"/>
        </w:rPr>
        <w:t>. The Company will be required to redeem this Note as and to the extent set forth in</w:t>
      </w:r>
      <w:r>
        <w:rPr>
          <w:rFonts w:ascii="Arial" w:cs="Arial" w:eastAsia="Arial" w:hAnsi="Arial"/>
          <w:sz w:val="22"/>
          <w:szCs w:val="22"/>
          <w:i w:val="1"/>
          <w:iCs w:val="1"/>
          <w:color w:val="auto"/>
        </w:rPr>
        <w:t xml:space="preserve"> </w:t>
      </w:r>
      <w:r>
        <w:rPr>
          <w:rFonts w:ascii="Arial" w:cs="Arial" w:eastAsia="Arial" w:hAnsi="Arial"/>
          <w:sz w:val="22"/>
          <w:szCs w:val="22"/>
          <w:color w:val="auto"/>
        </w:rPr>
        <w:t>(and only in the circumstances described in) Section 4.03 of the Supplemental Indenture.</w:t>
      </w:r>
    </w:p>
    <w:p>
      <w:pPr>
        <w:spacing w:after="0" w:line="120" w:lineRule="exact"/>
        <w:rPr>
          <w:rFonts w:ascii="Arial" w:cs="Arial" w:eastAsia="Arial" w:hAnsi="Arial"/>
          <w:sz w:val="22"/>
          <w:szCs w:val="22"/>
          <w:color w:val="auto"/>
        </w:rPr>
      </w:pPr>
    </w:p>
    <w:p>
      <w:pPr>
        <w:ind w:right="20" w:firstLine="656"/>
        <w:spacing w:after="0" w:line="253" w:lineRule="auto"/>
        <w:tabs>
          <w:tab w:leader="none" w:pos="1026"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Offer to Repurchase Upon Change of Control Repurchase Event</w:t>
      </w:r>
      <w:r>
        <w:rPr>
          <w:rFonts w:ascii="Arial" w:cs="Arial" w:eastAsia="Arial" w:hAnsi="Arial"/>
          <w:sz w:val="22"/>
          <w:szCs w:val="22"/>
          <w:color w:val="auto"/>
        </w:rPr>
        <w:t>. The Company will be required to make a Change of</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Offer as and to the extent set forth in (and only in the circumstances described in) Section 4.04 of the Supplemental Indenture.</w:t>
      </w:r>
    </w:p>
    <w:p>
      <w:pPr>
        <w:spacing w:after="0" w:line="131" w:lineRule="exact"/>
        <w:rPr>
          <w:rFonts w:ascii="Arial" w:cs="Arial" w:eastAsia="Arial" w:hAnsi="Arial"/>
          <w:sz w:val="22"/>
          <w:szCs w:val="22"/>
          <w:color w:val="auto"/>
        </w:rPr>
      </w:pPr>
    </w:p>
    <w:p>
      <w:pPr>
        <w:ind w:left="1040" w:hanging="384"/>
        <w:spacing w:after="0"/>
        <w:tabs>
          <w:tab w:leader="none" w:pos="1040"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this Note shall be treated as the owner of it for all purposes.</w:t>
      </w:r>
    </w:p>
    <w:p>
      <w:pPr>
        <w:spacing w:after="0" w:line="200" w:lineRule="exact"/>
        <w:rPr>
          <w:rFonts w:ascii="Arial" w:cs="Arial" w:eastAsia="Arial" w:hAnsi="Arial"/>
          <w:sz w:val="19"/>
          <w:szCs w:val="19"/>
          <w:color w:val="auto"/>
        </w:rPr>
      </w:pPr>
    </w:p>
    <w:p>
      <w:pPr>
        <w:ind w:firstLine="656"/>
        <w:spacing w:after="0" w:line="312" w:lineRule="auto"/>
        <w:tabs>
          <w:tab w:leader="none" w:pos="1026" w:val="left"/>
        </w:tabs>
        <w:numPr>
          <w:ilvl w:val="0"/>
          <w:numId w:val="100"/>
        </w:numPr>
        <w:rPr>
          <w:rFonts w:ascii="Arial" w:cs="Arial" w:eastAsia="Arial" w:hAnsi="Arial"/>
          <w:sz w:val="19"/>
          <w:szCs w:val="19"/>
          <w:color w:val="auto"/>
        </w:rPr>
      </w:pPr>
      <w:r>
        <w:rPr>
          <w:rFonts w:ascii="Arial" w:cs="Arial" w:eastAsia="Arial" w:hAnsi="Arial"/>
          <w:sz w:val="19"/>
          <w:szCs w:val="19"/>
          <w:i w:val="1"/>
          <w:iCs w:val="1"/>
          <w:color w:val="auto"/>
        </w:rPr>
        <w:t>Unclaimed Money</w:t>
      </w:r>
      <w:r>
        <w:rPr>
          <w:rFonts w:ascii="Arial" w:cs="Arial" w:eastAsia="Arial" w:hAnsi="Arial"/>
          <w:sz w:val="19"/>
          <w:szCs w:val="19"/>
          <w:color w:val="auto"/>
        </w:rPr>
        <w:t>. All amounts of principal of and premium, if any, and interest on this Note paid by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the Trustee or Paying Agent that remain unclaimed for two years will be repaid to the Company, and the Holder of this Note will thereafter look solely to the Company for payment unless applicable abandoned property law designates another Person.</w:t>
      </w:r>
    </w:p>
    <w:p>
      <w:pPr>
        <w:spacing w:after="0" w:line="79" w:lineRule="exact"/>
        <w:rPr>
          <w:rFonts w:ascii="Arial" w:cs="Arial" w:eastAsia="Arial" w:hAnsi="Arial"/>
          <w:sz w:val="19"/>
          <w:szCs w:val="19"/>
          <w:color w:val="auto"/>
        </w:rPr>
      </w:pPr>
    </w:p>
    <w:p>
      <w:pPr>
        <w:ind w:right="240" w:firstLine="656"/>
        <w:spacing w:after="0" w:line="263" w:lineRule="auto"/>
        <w:tabs>
          <w:tab w:leader="none" w:pos="1026"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r>
        <w:rPr>
          <w:rFonts w:ascii="Arial" w:cs="Arial" w:eastAsia="Arial" w:hAnsi="Arial"/>
          <w:sz w:val="22"/>
          <w:szCs w:val="22"/>
          <w:color w:val="auto"/>
        </w:rPr>
        <w:t>. The Indenture or this Note may be amended or supplemented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the Indenture.</w:t>
      </w:r>
    </w:p>
    <w:p>
      <w:pPr>
        <w:spacing w:after="0" w:line="120" w:lineRule="exact"/>
        <w:rPr>
          <w:rFonts w:ascii="Arial" w:cs="Arial" w:eastAsia="Arial" w:hAnsi="Arial"/>
          <w:sz w:val="22"/>
          <w:szCs w:val="22"/>
          <w:color w:val="auto"/>
        </w:rPr>
      </w:pPr>
    </w:p>
    <w:p>
      <w:pPr>
        <w:ind w:right="280" w:firstLine="656"/>
        <w:spacing w:after="0" w:line="253" w:lineRule="auto"/>
        <w:tabs>
          <w:tab w:leader="none" w:pos="1134"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Successor Person</w:t>
      </w:r>
      <w:r>
        <w:rPr>
          <w:rFonts w:ascii="Arial" w:cs="Arial" w:eastAsia="Arial" w:hAnsi="Arial"/>
          <w:sz w:val="22"/>
          <w:szCs w:val="22"/>
          <w:color w:val="auto"/>
        </w:rPr>
        <w:t>. When a successor Person assumes all the obligations of its predecessor under the Note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the predecessor Person will be released from those obligations, in accordance with and except as set forth in the Indenture.</w:t>
      </w:r>
    </w:p>
    <w:p>
      <w:pPr>
        <w:spacing w:after="0" w:line="131" w:lineRule="exact"/>
        <w:rPr>
          <w:rFonts w:ascii="Arial" w:cs="Arial" w:eastAsia="Arial" w:hAnsi="Arial"/>
          <w:sz w:val="22"/>
          <w:szCs w:val="22"/>
          <w:color w:val="auto"/>
        </w:rPr>
      </w:pPr>
    </w:p>
    <w:p>
      <w:pPr>
        <w:ind w:right="220" w:firstLine="656"/>
        <w:spacing w:after="0" w:line="265" w:lineRule="auto"/>
        <w:tabs>
          <w:tab w:leader="none" w:pos="1126" w:val="left"/>
        </w:tabs>
        <w:numPr>
          <w:ilvl w:val="0"/>
          <w:numId w:val="100"/>
        </w:numPr>
        <w:rPr>
          <w:rFonts w:ascii="Arial" w:cs="Arial" w:eastAsia="Arial" w:hAnsi="Arial"/>
          <w:sz w:val="21"/>
          <w:szCs w:val="21"/>
          <w:color w:val="auto"/>
        </w:rPr>
      </w:pPr>
      <w:r>
        <w:rPr>
          <w:rFonts w:ascii="Arial" w:cs="Arial" w:eastAsia="Arial" w:hAnsi="Arial"/>
          <w:sz w:val="21"/>
          <w:szCs w:val="21"/>
          <w:i w:val="1"/>
          <w:iCs w:val="1"/>
          <w:color w:val="auto"/>
        </w:rPr>
        <w:t>No Recourse Against Others</w:t>
      </w:r>
      <w:r>
        <w:rPr>
          <w:rFonts w:ascii="Arial" w:cs="Arial" w:eastAsia="Arial" w:hAnsi="Arial"/>
          <w:sz w:val="21"/>
          <w:szCs w:val="21"/>
          <w:color w:val="auto"/>
        </w:rPr>
        <w:t>. A director, officer, employee or stockholder, as such, of the Company shall not have</w:t>
      </w:r>
      <w:r>
        <w:rPr>
          <w:rFonts w:ascii="Arial" w:cs="Arial" w:eastAsia="Arial" w:hAnsi="Arial"/>
          <w:sz w:val="21"/>
          <w:szCs w:val="21"/>
          <w:i w:val="1"/>
          <w:iCs w:val="1"/>
          <w:color w:val="auto"/>
        </w:rPr>
        <w:t xml:space="preserve"> </w:t>
      </w:r>
      <w:r>
        <w:rPr>
          <w:rFonts w:ascii="Arial" w:cs="Arial" w:eastAsia="Arial" w:hAnsi="Arial"/>
          <w:sz w:val="21"/>
          <w:szCs w:val="21"/>
          <w:color w:val="auto"/>
        </w:rPr>
        <w:t>any liability for any obligations of the Company under the Note or the Indenture or for any claim based on, in respect of or by reason of, such obligations or their creation. Each Holder by accepting a Note waives and releases all such liability. The waiver and release are part of the consideration for the issue of the Note.</w:t>
      </w:r>
    </w:p>
    <w:p>
      <w:pPr>
        <w:spacing w:after="0" w:line="121" w:lineRule="exact"/>
        <w:rPr>
          <w:rFonts w:ascii="Arial" w:cs="Arial" w:eastAsia="Arial" w:hAnsi="Arial"/>
          <w:sz w:val="21"/>
          <w:szCs w:val="21"/>
          <w:color w:val="auto"/>
        </w:rPr>
      </w:pPr>
    </w:p>
    <w:p>
      <w:pPr>
        <w:ind w:right="360" w:firstLine="656"/>
        <w:spacing w:after="0" w:line="263" w:lineRule="auto"/>
        <w:tabs>
          <w:tab w:leader="none" w:pos="1134"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Discharge of Indenture</w:t>
      </w:r>
      <w:r>
        <w:rPr>
          <w:rFonts w:ascii="Arial" w:cs="Arial" w:eastAsia="Arial" w:hAnsi="Arial"/>
          <w:sz w:val="22"/>
          <w:szCs w:val="22"/>
          <w:color w:val="auto"/>
        </w:rPr>
        <w:t>. The Indenture contains certain provisions pertaining to defeasance and discharge, which</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shall for all purposes have the same effect as if set forth herein.</w:t>
      </w:r>
    </w:p>
    <w:p>
      <w:pPr>
        <w:spacing w:after="0" w:line="120" w:lineRule="exact"/>
        <w:rPr>
          <w:rFonts w:ascii="Arial" w:cs="Arial" w:eastAsia="Arial" w:hAnsi="Arial"/>
          <w:sz w:val="22"/>
          <w:szCs w:val="22"/>
          <w:color w:val="auto"/>
        </w:rPr>
      </w:pPr>
    </w:p>
    <w:p>
      <w:pPr>
        <w:ind w:right="860" w:firstLine="656"/>
        <w:spacing w:after="0" w:line="263" w:lineRule="auto"/>
        <w:tabs>
          <w:tab w:leader="none" w:pos="1134" w:val="left"/>
        </w:tabs>
        <w:numPr>
          <w:ilvl w:val="0"/>
          <w:numId w:val="100"/>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an authorized signatory of the Trustee manually signs the</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of authentication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220"/>
          </w:cols>
          <w:pgMar w:left="320" w:top="1428" w:right="359" w:bottom="1440" w:gutter="0" w:footer="0" w:header="0"/>
        </w:sectPr>
      </w:pPr>
    </w:p>
    <w:bookmarkStart w:id="131" w:name="page132"/>
    <w:bookmarkEnd w:id="131"/>
    <w:p>
      <w:pPr>
        <w:jc w:val="both"/>
        <w:ind w:firstLine="656"/>
        <w:spacing w:after="0" w:line="253" w:lineRule="auto"/>
        <w:tabs>
          <w:tab w:leader="none" w:pos="1134"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 COM (=</w:t>
      </w:r>
      <w:r>
        <w:rPr>
          <w:rFonts w:ascii="Arial" w:cs="Arial" w:eastAsia="Arial" w:hAnsi="Arial"/>
          <w:sz w:val="22"/>
          <w:szCs w:val="22"/>
          <w:i w:val="1"/>
          <w:iCs w:val="1"/>
          <w:color w:val="auto"/>
        </w:rPr>
        <w:t xml:space="preserve"> </w:t>
      </w:r>
      <w:r>
        <w:rPr>
          <w:rFonts w:ascii="Arial" w:cs="Arial" w:eastAsia="Arial" w:hAnsi="Arial"/>
          <w:sz w:val="22"/>
          <w:szCs w:val="22"/>
          <w:color w:val="auto"/>
        </w:rPr>
        <w:t>tenants in common), TEN ENT (= tenants by the entireties), JT TEN (= joint tenants with right of survivorship and not as tenants in common), CUST (= custodian), and U/G/M/A (= Uniform Gift to Minors Act).</w:t>
      </w:r>
    </w:p>
    <w:p>
      <w:pPr>
        <w:spacing w:after="0" w:line="131" w:lineRule="exact"/>
        <w:rPr>
          <w:rFonts w:ascii="Arial" w:cs="Arial" w:eastAsia="Arial" w:hAnsi="Arial"/>
          <w:sz w:val="22"/>
          <w:szCs w:val="22"/>
          <w:color w:val="auto"/>
        </w:rPr>
      </w:pPr>
    </w:p>
    <w:p>
      <w:pPr>
        <w:ind w:left="1140" w:hanging="484"/>
        <w:spacing w:after="0"/>
        <w:tabs>
          <w:tab w:leader="none" w:pos="1140"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Note shall be governed by and construed in accordance with the laws of the State of New</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York.</w:t>
      </w:r>
    </w:p>
    <w:p>
      <w:pPr>
        <w:spacing w:after="0" w:line="147" w:lineRule="exact"/>
        <w:rPr>
          <w:rFonts w:ascii="Arial" w:cs="Arial" w:eastAsia="Arial" w:hAnsi="Arial"/>
          <w:sz w:val="19"/>
          <w:szCs w:val="19"/>
          <w:color w:val="auto"/>
        </w:rPr>
      </w:pPr>
    </w:p>
    <w:p>
      <w:pPr>
        <w:ind w:right="260" w:firstLine="656"/>
        <w:spacing w:after="0" w:line="263" w:lineRule="auto"/>
        <w:tabs>
          <w:tab w:leader="none" w:pos="1134" w:val="left"/>
        </w:tabs>
        <w:numPr>
          <w:ilvl w:val="0"/>
          <w:numId w:val="101"/>
        </w:numPr>
        <w:rPr>
          <w:rFonts w:ascii="Arial" w:cs="Arial" w:eastAsia="Arial" w:hAnsi="Arial"/>
          <w:sz w:val="21"/>
          <w:szCs w:val="21"/>
          <w:color w:val="auto"/>
        </w:rPr>
      </w:pPr>
      <w:r>
        <w:rPr>
          <w:rFonts w:ascii="Arial" w:cs="Arial" w:eastAsia="Arial" w:hAnsi="Arial"/>
          <w:sz w:val="21"/>
          <w:szCs w:val="21"/>
          <w:i w:val="1"/>
          <w:iCs w:val="1"/>
          <w:color w:val="auto"/>
        </w:rPr>
        <w:t>CUSIP and ISIN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Company has caused CUSIP and ISIN numbers to be printed on this Note and has directed the Trustee to use CUSIP and ISIN numbers in notices of repurchase as a convenience to Holders. No representation is made as to the accuracy of such numbers either as printed on this Note or as contained in any notice of repurchase, and reliance may be placed only on the other identification numbers placed thereon.</w:t>
      </w:r>
    </w:p>
    <w:p>
      <w:pPr>
        <w:spacing w:after="0" w:line="121" w:lineRule="exact"/>
        <w:rPr>
          <w:rFonts w:ascii="Arial" w:cs="Arial" w:eastAsia="Arial" w:hAnsi="Arial"/>
          <w:sz w:val="21"/>
          <w:szCs w:val="21"/>
          <w:color w:val="auto"/>
        </w:rPr>
      </w:pPr>
    </w:p>
    <w:p>
      <w:pPr>
        <w:jc w:val="both"/>
        <w:ind w:right="580" w:firstLine="656"/>
        <w:spacing w:after="0" w:line="253" w:lineRule="auto"/>
        <w:tabs>
          <w:tab w:leader="none" w:pos="1134"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Copies</w:t>
      </w:r>
      <w:r>
        <w:rPr>
          <w:rFonts w:ascii="Arial" w:cs="Arial" w:eastAsia="Arial" w:hAnsi="Arial"/>
          <w:sz w:val="22"/>
          <w:szCs w:val="22"/>
          <w:color w:val="auto"/>
        </w:rPr>
        <w:t>. The Company will furnish to any Holder upon written request and without charge a copy of the Base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and a copy of the Supplemental Indenture. Requests may be made to: GXO Logistics, Inc., Two American Lane, Greenwich, CT 06831, Attention: Baris Oran.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200"/>
          </w:cols>
          <w:pgMar w:left="320" w:top="1428" w:right="37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color w:val="auto"/>
        </w:rPr>
        <w:t>ASSIGNMENT FORM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298450</wp:posOffset>
            </wp:positionV>
            <wp:extent cx="4791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22"/>
                <w:szCs w:val="22"/>
                <w:color w:val="auto"/>
                <w:w w:val="87"/>
              </w:rPr>
              <w:t>(Print or type assignee’s name, address and zip code)</w:t>
            </w:r>
          </w:p>
        </w:tc>
      </w:tr>
      <w:tr>
        <w:trPr>
          <w:trHeight w:val="449"/>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7"/>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40" w:type="dxa"/>
            <w:vAlign w:val="bottom"/>
            <w:gridSpan w:val="6"/>
          </w:tcPr>
          <w:p>
            <w:pPr>
              <w:jc w:val="center"/>
              <w:ind w:right="2680"/>
              <w:spacing w:after="0"/>
              <w:rPr>
                <w:sz w:val="20"/>
                <w:szCs w:val="20"/>
                <w:color w:val="auto"/>
              </w:rPr>
            </w:pPr>
            <w:r>
              <w:rPr>
                <w:rFonts w:ascii="Arial" w:cs="Arial" w:eastAsia="Arial" w:hAnsi="Arial"/>
                <w:sz w:val="22"/>
                <w:szCs w:val="22"/>
                <w:color w:val="auto"/>
                <w:w w:val="88"/>
              </w:rPr>
              <w:t>(Insert assignee’s soc. sec. or tax I.D. No.)</w:t>
            </w:r>
          </w:p>
        </w:tc>
      </w:tr>
      <w:tr>
        <w:trPr>
          <w:trHeight w:val="522"/>
        </w:trPr>
        <w:tc>
          <w:tcPr>
            <w:tcW w:w="2320" w:type="dxa"/>
            <w:vAlign w:val="bottom"/>
            <w:gridSpan w:val="4"/>
          </w:tcPr>
          <w:p>
            <w:pPr>
              <w:spacing w:after="0"/>
              <w:rPr>
                <w:sz w:val="20"/>
                <w:szCs w:val="20"/>
                <w:color w:val="auto"/>
              </w:rPr>
            </w:pPr>
            <w:r>
              <w:rPr>
                <w:rFonts w:ascii="Arial" w:cs="Arial" w:eastAsia="Arial" w:hAnsi="Arial"/>
                <w:sz w:val="22"/>
                <w:szCs w:val="22"/>
                <w:color w:val="auto"/>
              </w:rPr>
              <w:t>and irrevocably appoint</w:t>
            </w:r>
          </w:p>
        </w:tc>
        <w:tc>
          <w:tcPr>
            <w:tcW w:w="8920" w:type="dxa"/>
            <w:vAlign w:val="bottom"/>
            <w:gridSpan w:val="7"/>
          </w:tcPr>
          <w:p>
            <w:pPr>
              <w:ind w:left="280"/>
              <w:spacing w:after="0"/>
              <w:rPr>
                <w:sz w:val="20"/>
                <w:szCs w:val="20"/>
                <w:color w:val="auto"/>
              </w:rPr>
            </w:pPr>
            <w:r>
              <w:rPr>
                <w:rFonts w:ascii="Arial" w:cs="Arial" w:eastAsia="Arial" w:hAnsi="Arial"/>
                <w:sz w:val="22"/>
                <w:szCs w:val="22"/>
                <w:color w:val="auto"/>
                <w:w w:val="91"/>
              </w:rPr>
              <w:t>agent to transfer this Note on the books of the Company. The agent may substitute another to act</w:t>
            </w:r>
          </w:p>
        </w:tc>
      </w:tr>
      <w:tr>
        <w:trPr>
          <w:trHeight w:val="274"/>
        </w:trPr>
        <w:tc>
          <w:tcPr>
            <w:tcW w:w="2320" w:type="dxa"/>
            <w:vAlign w:val="bottom"/>
            <w:gridSpan w:val="4"/>
          </w:tcPr>
          <w:p>
            <w:pPr>
              <w:spacing w:after="0"/>
              <w:rPr>
                <w:sz w:val="20"/>
                <w:szCs w:val="20"/>
                <w:color w:val="auto"/>
              </w:rPr>
            </w:pPr>
            <w:r>
              <w:rPr>
                <w:rFonts w:ascii="Arial" w:cs="Arial" w:eastAsia="Arial" w:hAnsi="Arial"/>
                <w:sz w:val="22"/>
                <w:szCs w:val="22"/>
                <w:color w:val="auto"/>
              </w:rPr>
              <w:t>for him.</w:t>
            </w:r>
          </w:p>
        </w:tc>
        <w:tc>
          <w:tcPr>
            <w:tcW w:w="3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483"/>
        </w:trPr>
        <w:tc>
          <w:tcPr>
            <w:tcW w:w="2320" w:type="dxa"/>
            <w:vAlign w:val="bottom"/>
            <w:gridSpan w:val="4"/>
          </w:tcPr>
          <w:p>
            <w:pPr>
              <w:ind w:left="20"/>
              <w:spacing w:after="0"/>
              <w:rPr>
                <w:sz w:val="20"/>
                <w:szCs w:val="20"/>
                <w:color w:val="auto"/>
              </w:rPr>
            </w:pPr>
            <w:r>
              <w:rPr>
                <w:rFonts w:ascii="Arial" w:cs="Arial" w:eastAsia="Arial" w:hAnsi="Arial"/>
                <w:sz w:val="22"/>
                <w:szCs w:val="22"/>
                <w:color w:val="auto"/>
              </w:rPr>
              <w:t>Date:</w:t>
            </w:r>
          </w:p>
        </w:tc>
        <w:tc>
          <w:tcPr>
            <w:tcW w:w="380" w:type="dxa"/>
            <w:vAlign w:val="bottom"/>
          </w:tcPr>
          <w:p>
            <w:pPr>
              <w:spacing w:after="0"/>
              <w:rPr>
                <w:sz w:val="24"/>
                <w:szCs w:val="24"/>
                <w:color w:val="auto"/>
              </w:rPr>
            </w:pPr>
          </w:p>
        </w:tc>
        <w:tc>
          <w:tcPr>
            <w:tcW w:w="8540" w:type="dxa"/>
            <w:vAlign w:val="bottom"/>
            <w:gridSpan w:val="6"/>
          </w:tcPr>
          <w:p>
            <w:pPr>
              <w:jc w:val="center"/>
              <w:ind w:right="2700"/>
              <w:spacing w:after="0"/>
              <w:rPr>
                <w:sz w:val="20"/>
                <w:szCs w:val="20"/>
                <w:color w:val="auto"/>
              </w:rPr>
            </w:pPr>
            <w:r>
              <w:rPr>
                <w:rFonts w:ascii="Arial" w:cs="Arial" w:eastAsia="Arial" w:hAnsi="Arial"/>
                <w:sz w:val="22"/>
                <w:szCs w:val="22"/>
                <w:color w:val="auto"/>
                <w:w w:val="88"/>
              </w:rPr>
              <w:t>Your Signature:</w:t>
            </w:r>
          </w:p>
        </w:tc>
      </w:tr>
      <w:tr>
        <w:trPr>
          <w:trHeight w:val="418"/>
        </w:trPr>
        <w:tc>
          <w:tcPr>
            <w:tcW w:w="7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287"/>
        </w:trPr>
        <w:tc>
          <w:tcPr>
            <w:tcW w:w="6100" w:type="dxa"/>
            <w:vAlign w:val="bottom"/>
            <w:gridSpan w:val="7"/>
          </w:tcPr>
          <w:p>
            <w:pPr>
              <w:ind w:left="20"/>
              <w:spacing w:after="0"/>
              <w:rPr>
                <w:sz w:val="20"/>
                <w:szCs w:val="20"/>
                <w:color w:val="auto"/>
              </w:rPr>
            </w:pPr>
            <w:r>
              <w:rPr>
                <w:rFonts w:ascii="Arial" w:cs="Arial" w:eastAsia="Arial" w:hAnsi="Arial"/>
                <w:sz w:val="22"/>
                <w:szCs w:val="22"/>
                <w:color w:val="auto"/>
                <w:w w:val="95"/>
              </w:rPr>
              <w:t>Sign exactly as your name appears on the other side of this Note.</w:t>
            </w:r>
          </w:p>
        </w:tc>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80"/>
        </w:trPr>
        <w:tc>
          <w:tcPr>
            <w:tcW w:w="2320" w:type="dxa"/>
            <w:vAlign w:val="bottom"/>
            <w:gridSpan w:val="4"/>
          </w:tcPr>
          <w:p>
            <w:pPr>
              <w:ind w:left="20"/>
              <w:spacing w:after="0"/>
              <w:rPr>
                <w:sz w:val="20"/>
                <w:szCs w:val="20"/>
                <w:color w:val="auto"/>
              </w:rPr>
            </w:pPr>
            <w:r>
              <w:rPr>
                <w:rFonts w:ascii="Arial" w:cs="Arial" w:eastAsia="Arial" w:hAnsi="Arial"/>
                <w:sz w:val="22"/>
                <w:szCs w:val="22"/>
                <w:color w:val="auto"/>
              </w:rPr>
              <w:t>Signature Guarantee:</w:t>
            </w:r>
          </w:p>
        </w:tc>
        <w:tc>
          <w:tcPr>
            <w:tcW w:w="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18"/>
        </w:trPr>
        <w:tc>
          <w:tcPr>
            <w:tcW w:w="880" w:type="dxa"/>
            <w:vAlign w:val="bottom"/>
            <w:gridSpan w:val="2"/>
          </w:tcPr>
          <w:p>
            <w:pPr>
              <w:ind w:left="100"/>
              <w:spacing w:after="0"/>
              <w:rPr>
                <w:sz w:val="20"/>
                <w:szCs w:val="20"/>
                <w:color w:val="auto"/>
              </w:rPr>
            </w:pPr>
            <w:r>
              <w:rPr>
                <w:rFonts w:ascii="Arial" w:cs="Arial" w:eastAsia="Arial" w:hAnsi="Arial"/>
                <w:sz w:val="22"/>
                <w:szCs w:val="22"/>
                <w:color w:val="auto"/>
              </w:rPr>
              <w:t>Date:</w:t>
            </w:r>
          </w:p>
        </w:tc>
        <w:tc>
          <w:tcPr>
            <w:tcW w:w="1440" w:type="dxa"/>
            <w:vAlign w:val="bottom"/>
            <w:tcBorders>
              <w:bottom w:val="single" w:sz="8" w:color="auto"/>
            </w:tcBorders>
            <w:gridSpan w:val="2"/>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2"/>
        </w:trPr>
        <w:tc>
          <w:tcPr>
            <w:tcW w:w="6100" w:type="dxa"/>
            <w:vAlign w:val="bottom"/>
            <w:gridSpan w:val="7"/>
          </w:tcPr>
          <w:p>
            <w:pPr>
              <w:ind w:left="100"/>
              <w:spacing w:after="0"/>
              <w:rPr>
                <w:sz w:val="20"/>
                <w:szCs w:val="20"/>
                <w:color w:val="auto"/>
              </w:rPr>
            </w:pPr>
            <w:r>
              <w:rPr>
                <w:rFonts w:ascii="Arial" w:cs="Arial" w:eastAsia="Arial" w:hAnsi="Arial"/>
                <w:sz w:val="22"/>
                <w:szCs w:val="22"/>
                <w:color w:val="auto"/>
                <w:w w:val="98"/>
              </w:rPr>
              <w:t>Signature must be guaranteed by a participant in a recognized</w:t>
            </w:r>
          </w:p>
        </w:tc>
        <w:tc>
          <w:tcPr>
            <w:tcW w:w="5140" w:type="dxa"/>
            <w:vAlign w:val="bottom"/>
            <w:gridSpan w:val="4"/>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57"/>
        </w:trPr>
        <w:tc>
          <w:tcPr>
            <w:tcW w:w="6100" w:type="dxa"/>
            <w:vAlign w:val="bottom"/>
            <w:gridSpan w:val="7"/>
          </w:tcPr>
          <w:p>
            <w:pPr>
              <w:ind w:left="100"/>
              <w:spacing w:after="0"/>
              <w:rPr>
                <w:sz w:val="20"/>
                <w:szCs w:val="20"/>
                <w:color w:val="auto"/>
              </w:rPr>
            </w:pPr>
            <w:r>
              <w:rPr>
                <w:rFonts w:ascii="Arial" w:cs="Arial" w:eastAsia="Arial" w:hAnsi="Arial"/>
                <w:sz w:val="22"/>
                <w:szCs w:val="22"/>
                <w:color w:val="auto"/>
                <w:w w:val="92"/>
              </w:rPr>
              <w:t>signature guaranty medallion program or other signature guarantor</w:t>
            </w:r>
          </w:p>
        </w:tc>
        <w:tc>
          <w:tcPr>
            <w:tcW w:w="8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4"/>
        </w:trPr>
        <w:tc>
          <w:tcPr>
            <w:tcW w:w="6100" w:type="dxa"/>
            <w:vAlign w:val="bottom"/>
            <w:gridSpan w:val="7"/>
          </w:tcPr>
          <w:p>
            <w:pPr>
              <w:ind w:left="100"/>
              <w:spacing w:after="0"/>
              <w:rPr>
                <w:sz w:val="20"/>
                <w:szCs w:val="20"/>
                <w:color w:val="auto"/>
              </w:rPr>
            </w:pPr>
            <w:r>
              <w:rPr>
                <w:rFonts w:ascii="Arial" w:cs="Arial" w:eastAsia="Arial" w:hAnsi="Arial"/>
                <w:sz w:val="22"/>
                <w:szCs w:val="22"/>
                <w:color w:val="auto"/>
              </w:rPr>
              <w:t>program reasonably acceptable to the Trustee</w:t>
            </w:r>
          </w:p>
        </w:tc>
        <w:tc>
          <w:tcPr>
            <w:tcW w:w="8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40"/>
          </w:cols>
          <w:pgMar w:left="320" w:top="1427"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2"/>
          <w:szCs w:val="22"/>
          <w:color w:val="auto"/>
        </w:rPr>
        <w:t>CERTIFICATE TO BE DELIVERED UPON EXCHANGE 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REGISTRATION OF TRANSFER RESTRICTED NOTE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Attn: DAPS Reorg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 N9300-070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600 South 4th Street, 7th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Minneapolis, MN 55415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No.: (877) 872-4605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(866) 969-1290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DAPSReorg@wellsfargo.com</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relates to $ ____________ principal amount of Notes held in (check applicable space) __________ book-entry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 definitive form by the undersigned.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(check one box below):</w:t>
      </w:r>
    </w:p>
    <w:p>
      <w:pPr>
        <w:spacing w:after="0" w:line="220" w:lineRule="exact"/>
        <w:rPr>
          <w:sz w:val="20"/>
          <w:szCs w:val="20"/>
          <w:color w:val="auto"/>
        </w:rPr>
      </w:pPr>
    </w:p>
    <w:p>
      <w:pPr>
        <w:ind w:left="1140" w:right="680" w:hanging="693"/>
        <w:spacing w:after="0" w:line="250" w:lineRule="auto"/>
        <w:tabs>
          <w:tab w:leader="none" w:pos="1140" w:val="left"/>
        </w:tabs>
        <w:numPr>
          <w:ilvl w:val="0"/>
          <w:numId w:val="102"/>
        </w:numPr>
        <w:rPr>
          <w:rFonts w:ascii="MS PGothic" w:cs="MS PGothic" w:eastAsia="MS PGothic" w:hAnsi="MS PGothic"/>
          <w:sz w:val="22"/>
          <w:szCs w:val="22"/>
          <w:color w:val="auto"/>
        </w:rPr>
      </w:pPr>
      <w:r>
        <w:rPr>
          <w:rFonts w:ascii="Arial" w:cs="Arial" w:eastAsia="Arial" w:hAnsi="Arial"/>
          <w:sz w:val="22"/>
          <w:szCs w:val="22"/>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187" w:lineRule="exact"/>
        <w:rPr>
          <w:rFonts w:ascii="MS PGothic" w:cs="MS PGothic" w:eastAsia="MS PGothic" w:hAnsi="MS PGothic"/>
          <w:sz w:val="22"/>
          <w:szCs w:val="22"/>
          <w:color w:val="auto"/>
        </w:rPr>
      </w:pPr>
    </w:p>
    <w:p>
      <w:pPr>
        <w:ind w:left="1140" w:hanging="693"/>
        <w:spacing w:after="0"/>
        <w:tabs>
          <w:tab w:leader="none" w:pos="1140" w:val="left"/>
        </w:tabs>
        <w:numPr>
          <w:ilvl w:val="0"/>
          <w:numId w:val="102"/>
        </w:numPr>
        <w:rPr>
          <w:rFonts w:ascii="MS PGothic" w:cs="MS PGothic" w:eastAsia="MS PGothic" w:hAnsi="MS PGothic"/>
          <w:sz w:val="22"/>
          <w:szCs w:val="22"/>
          <w:color w:val="auto"/>
        </w:rPr>
      </w:pPr>
      <w:r>
        <w:rPr>
          <w:rFonts w:ascii="Arial" w:cs="Arial" w:eastAsia="Arial" w:hAnsi="Arial"/>
          <w:sz w:val="22"/>
          <w:szCs w:val="22"/>
          <w:color w:val="auto"/>
        </w:rPr>
        <w:t>has requested the Trustee by written order to exchange or register the transfer of a Note or Notes.</w:t>
      </w:r>
    </w:p>
    <w:p>
      <w:pPr>
        <w:spacing w:after="0" w:line="287"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CHECK ONE BOX BELOW</w:t>
      </w:r>
    </w:p>
    <w:p>
      <w:pPr>
        <w:spacing w:after="0" w:line="193" w:lineRule="exact"/>
        <w:rPr>
          <w:sz w:val="20"/>
          <w:szCs w:val="20"/>
          <w:color w:val="auto"/>
        </w:rPr>
      </w:pPr>
    </w:p>
    <w:p>
      <w:pPr>
        <w:ind w:left="820" w:hanging="634"/>
        <w:spacing w:after="0" w:line="253" w:lineRule="exact"/>
        <w:tabs>
          <w:tab w:leader="none" w:pos="820" w:val="left"/>
        </w:tabs>
        <w:numPr>
          <w:ilvl w:val="0"/>
          <w:numId w:val="10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to the Company; or</w:t>
      </w:r>
    </w:p>
    <w:p>
      <w:pPr>
        <w:spacing w:after="0" w:line="85" w:lineRule="exact"/>
        <w:rPr>
          <w:rFonts w:ascii="Arial" w:cs="Arial" w:eastAsia="Arial" w:hAnsi="Arial"/>
          <w:sz w:val="22"/>
          <w:szCs w:val="22"/>
          <w:color w:val="auto"/>
        </w:rPr>
      </w:pPr>
    </w:p>
    <w:p>
      <w:pPr>
        <w:ind w:left="820" w:hanging="634"/>
        <w:spacing w:after="0" w:line="253" w:lineRule="exact"/>
        <w:tabs>
          <w:tab w:leader="none" w:pos="820" w:val="left"/>
        </w:tabs>
        <w:numPr>
          <w:ilvl w:val="0"/>
          <w:numId w:val="10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to the Registrar for registration in the name of the holder, without transfer; or</w:t>
      </w:r>
    </w:p>
    <w:p>
      <w:pPr>
        <w:spacing w:after="0" w:line="71" w:lineRule="exact"/>
        <w:rPr>
          <w:rFonts w:ascii="Arial" w:cs="Arial" w:eastAsia="Arial" w:hAnsi="Arial"/>
          <w:sz w:val="22"/>
          <w:szCs w:val="22"/>
          <w:color w:val="auto"/>
        </w:rPr>
      </w:pPr>
    </w:p>
    <w:p>
      <w:pPr>
        <w:ind w:left="820" w:hanging="634"/>
        <w:spacing w:after="0" w:line="253" w:lineRule="exact"/>
        <w:tabs>
          <w:tab w:leader="none" w:pos="820" w:val="left"/>
        </w:tabs>
        <w:numPr>
          <w:ilvl w:val="0"/>
          <w:numId w:val="10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pursuant to an effective registration statement under the Securities Act; or</w:t>
      </w:r>
    </w:p>
    <w:p>
      <w:pPr>
        <w:spacing w:after="0" w:line="71" w:lineRule="exact"/>
        <w:rPr>
          <w:rFonts w:ascii="Arial" w:cs="Arial" w:eastAsia="Arial" w:hAnsi="Arial"/>
          <w:sz w:val="22"/>
          <w:szCs w:val="22"/>
          <w:color w:val="auto"/>
        </w:rPr>
      </w:pPr>
    </w:p>
    <w:p>
      <w:pPr>
        <w:ind w:left="1220" w:hanging="1034"/>
        <w:spacing w:after="0" w:line="267" w:lineRule="exact"/>
        <w:tabs>
          <w:tab w:leader="none" w:pos="804" w:val="left"/>
        </w:tabs>
        <w:numPr>
          <w:ilvl w:val="0"/>
          <w:numId w:val="10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to a person reasonably believed to be a “qualified institutional buyer” (as defined in Rule 144A under the Securities Act) that purchases for its own account or for the account of a qualified institutional buyer to whom notice is given that such transfer is being made in reliance on Rule 144A, in each case pursuant to and in compliance with Rule 144A under the Securities Act; or</w:t>
      </w:r>
    </w:p>
    <w:p>
      <w:pPr>
        <w:spacing w:after="0" w:line="12" w:lineRule="exact"/>
        <w:rPr>
          <w:rFonts w:ascii="Arial" w:cs="Arial" w:eastAsia="Arial" w:hAnsi="Arial"/>
          <w:sz w:val="22"/>
          <w:szCs w:val="22"/>
          <w:color w:val="auto"/>
        </w:rPr>
      </w:pPr>
    </w:p>
    <w:p>
      <w:pPr>
        <w:ind w:left="1220" w:right="80" w:hanging="1034"/>
        <w:spacing w:after="0" w:line="276" w:lineRule="exact"/>
        <w:tabs>
          <w:tab w:leader="none" w:pos="804" w:val="left"/>
        </w:tabs>
        <w:numPr>
          <w:ilvl w:val="0"/>
          <w:numId w:val="10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to a non-U.S. person outside the United States in an offshore transaction within the meaning of Regulation S under the Securities Act in compliance with Rule 903 or 904 under the Securities Act and such Note shall be held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-1830070</wp:posOffset>
            </wp:positionV>
            <wp:extent cx="7140575" cy="1851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405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220"/>
          </w:cols>
          <w:pgMar w:left="320" w:top="1427" w:right="359" w:bottom="1440" w:gutter="0" w:footer="0" w:header="0"/>
        </w:sectPr>
      </w:pPr>
    </w:p>
    <w:bookmarkStart w:id="134" w:name="page135"/>
    <w:bookmarkEnd w:id="134"/>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40575"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ind w:left="1045" w:firstLine="6"/>
        <w:spacing w:after="0" w:line="256" w:lineRule="auto"/>
        <w:rPr>
          <w:sz w:val="20"/>
          <w:szCs w:val="20"/>
          <w:color w:val="auto"/>
        </w:rPr>
      </w:pPr>
      <w:r>
        <w:rPr>
          <w:rFonts w:ascii="Arial" w:cs="Arial" w:eastAsia="Arial" w:hAnsi="Arial"/>
          <w:sz w:val="22"/>
          <w:szCs w:val="22"/>
          <w:color w:val="auto"/>
        </w:rPr>
        <w:t>after the transfer through Euroclear, Clearstream or their respective participants until the expiration of the Restricted Period (as defined in the Indenture); or</w:t>
      </w:r>
    </w:p>
    <w:p>
      <w:pPr>
        <w:spacing w:after="0" w:line="1" w:lineRule="exact"/>
        <w:rPr>
          <w:sz w:val="20"/>
          <w:szCs w:val="20"/>
          <w:color w:val="auto"/>
        </w:rPr>
      </w:pPr>
    </w:p>
    <w:p>
      <w:pPr>
        <w:ind w:left="625" w:hanging="625"/>
        <w:spacing w:after="0" w:line="219" w:lineRule="exact"/>
        <w:tabs>
          <w:tab w:leader="none" w:pos="625" w:val="left"/>
        </w:tabs>
        <w:numPr>
          <w:ilvl w:val="0"/>
          <w:numId w:val="10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pursuant to another available exemption from registration provided by Rule 144 under the Securities Act.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5205"/>
        <w:spacing w:after="0"/>
        <w:rPr>
          <w:rFonts w:ascii="Arial" w:cs="Arial" w:eastAsia="Arial" w:hAnsi="Arial"/>
          <w:sz w:val="19"/>
          <w:szCs w:val="19"/>
          <w:color w:val="auto"/>
        </w:rPr>
      </w:pPr>
      <w:r>
        <w:rPr>
          <w:rFonts w:ascii="Arial" w:cs="Arial" w:eastAsia="Arial" w:hAnsi="Arial"/>
          <w:sz w:val="22"/>
          <w:szCs w:val="22"/>
          <w:color w:val="auto"/>
        </w:rPr>
        <w:t>A-11</w:t>
      </w:r>
    </w:p>
    <w:p>
      <w:pPr>
        <w:sectPr>
          <w:pgSz w:w="11900" w:h="16838" w:orient="portrait"/>
          <w:cols w:equalWidth="0" w:num="1">
            <w:col w:w="10165"/>
          </w:cols>
          <w:pgMar w:left="515" w:top="1440" w:right="1219" w:bottom="1440" w:gutter="0" w:footer="0" w:header="0"/>
        </w:sectPr>
      </w:pPr>
    </w:p>
    <w:bookmarkStart w:id="135" w:name="page136"/>
    <w:bookmarkEnd w:id="135"/>
    <w:p>
      <w:pPr>
        <w:ind w:right="60" w:firstLine="648"/>
        <w:spacing w:after="0" w:line="297" w:lineRule="auto"/>
        <w:rPr>
          <w:sz w:val="20"/>
          <w:szCs w:val="20"/>
          <w:color w:val="auto"/>
        </w:rPr>
      </w:pPr>
      <w:r>
        <w:rPr>
          <w:rFonts w:ascii="Arial" w:cs="Arial" w:eastAsia="Arial" w:hAnsi="Arial"/>
          <w:sz w:val="19"/>
          <w:szCs w:val="19"/>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box (5) or (6)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147" w:lineRule="exact"/>
        <w:rPr>
          <w:sz w:val="20"/>
          <w:szCs w:val="20"/>
          <w:color w:val="auto"/>
        </w:rPr>
      </w:pPr>
    </w:p>
    <w:p>
      <w:pPr>
        <w:ind w:left="20"/>
        <w:spacing w:after="0"/>
        <w:tabs>
          <w:tab w:leader="none" w:pos="50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5092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24130</wp:posOffset>
            </wp:positionV>
            <wp:extent cx="2099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24130</wp:posOffset>
            </wp:positionV>
            <wp:extent cx="1637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060" w:type="dxa"/>
            <w:vAlign w:val="bottom"/>
            <w:gridSpan w:val="3"/>
          </w:tcPr>
          <w:p>
            <w:pPr>
              <w:spacing w:after="0"/>
              <w:rPr>
                <w:sz w:val="20"/>
                <w:szCs w:val="20"/>
                <w:color w:val="auto"/>
              </w:rPr>
            </w:pPr>
            <w:r>
              <w:rPr>
                <w:rFonts w:ascii="Arial" w:cs="Arial" w:eastAsia="Arial" w:hAnsi="Arial"/>
                <w:sz w:val="22"/>
                <w:szCs w:val="22"/>
                <w:color w:val="auto"/>
                <w:w w:val="94"/>
              </w:rPr>
              <w:t>Sign exactly as your name appears on the other side of this Note.</w:t>
            </w:r>
          </w:p>
        </w:tc>
        <w:tc>
          <w:tcPr>
            <w:tcW w:w="5140" w:type="dxa"/>
            <w:vAlign w:val="bottom"/>
          </w:tcPr>
          <w:p>
            <w:pPr>
              <w:spacing w:after="0"/>
              <w:rPr>
                <w:sz w:val="23"/>
                <w:szCs w:val="23"/>
                <w:color w:val="auto"/>
              </w:rPr>
            </w:pPr>
          </w:p>
        </w:tc>
      </w:tr>
      <w:tr>
        <w:trPr>
          <w:trHeight w:val="594"/>
        </w:trPr>
        <w:tc>
          <w:tcPr>
            <w:tcW w:w="6060" w:type="dxa"/>
            <w:vAlign w:val="bottom"/>
            <w:gridSpan w:val="3"/>
          </w:tcPr>
          <w:p>
            <w:pPr>
              <w:spacing w:after="0"/>
              <w:rPr>
                <w:sz w:val="20"/>
                <w:szCs w:val="20"/>
                <w:color w:val="auto"/>
              </w:rPr>
            </w:pPr>
            <w:r>
              <w:rPr>
                <w:rFonts w:ascii="Arial" w:cs="Arial" w:eastAsia="Arial" w:hAnsi="Arial"/>
                <w:sz w:val="22"/>
                <w:szCs w:val="22"/>
                <w:color w:val="auto"/>
              </w:rPr>
              <w:t>Signature Guarantee:</w:t>
            </w:r>
          </w:p>
        </w:tc>
        <w:tc>
          <w:tcPr>
            <w:tcW w:w="5140" w:type="dxa"/>
            <w:vAlign w:val="bottom"/>
          </w:tcPr>
          <w:p>
            <w:pPr>
              <w:spacing w:after="0"/>
              <w:rPr>
                <w:sz w:val="24"/>
                <w:szCs w:val="24"/>
                <w:color w:val="auto"/>
              </w:rPr>
            </w:pPr>
          </w:p>
        </w:tc>
      </w:tr>
      <w:tr>
        <w:trPr>
          <w:trHeight w:val="618"/>
        </w:trPr>
        <w:tc>
          <w:tcPr>
            <w:tcW w:w="860" w:type="dxa"/>
            <w:vAlign w:val="bottom"/>
          </w:tcPr>
          <w:p>
            <w:pPr>
              <w:ind w:left="80"/>
              <w:spacing w:after="0"/>
              <w:rPr>
                <w:sz w:val="20"/>
                <w:szCs w:val="20"/>
                <w:color w:val="auto"/>
              </w:rPr>
            </w:pPr>
            <w:r>
              <w:rPr>
                <w:rFonts w:ascii="Arial" w:cs="Arial" w:eastAsia="Arial" w:hAnsi="Arial"/>
                <w:sz w:val="22"/>
                <w:szCs w:val="22"/>
                <w:color w:val="auto"/>
              </w:rPr>
              <w:t>Date:</w:t>
            </w:r>
          </w:p>
        </w:tc>
        <w:tc>
          <w:tcPr>
            <w:tcW w:w="5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62"/>
        </w:trPr>
        <w:tc>
          <w:tcPr>
            <w:tcW w:w="6060" w:type="dxa"/>
            <w:vAlign w:val="bottom"/>
            <w:gridSpan w:val="3"/>
          </w:tcPr>
          <w:p>
            <w:pPr>
              <w:ind w:left="80"/>
              <w:spacing w:after="0"/>
              <w:rPr>
                <w:sz w:val="20"/>
                <w:szCs w:val="20"/>
                <w:color w:val="auto"/>
              </w:rPr>
            </w:pPr>
            <w:r>
              <w:rPr>
                <w:rFonts w:ascii="Arial" w:cs="Arial" w:eastAsia="Arial" w:hAnsi="Arial"/>
                <w:sz w:val="22"/>
                <w:szCs w:val="22"/>
                <w:color w:val="auto"/>
                <w:w w:val="98"/>
              </w:rPr>
              <w:t>Signature must be guaranteed by a participant in a recognized</w:t>
            </w:r>
          </w:p>
        </w:tc>
        <w:tc>
          <w:tcPr>
            <w:tcW w:w="5140" w:type="dxa"/>
            <w:vAlign w:val="bottom"/>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57"/>
        </w:trPr>
        <w:tc>
          <w:tcPr>
            <w:tcW w:w="6060" w:type="dxa"/>
            <w:vAlign w:val="bottom"/>
            <w:gridSpan w:val="3"/>
          </w:tcPr>
          <w:p>
            <w:pPr>
              <w:ind w:left="80"/>
              <w:spacing w:after="0"/>
              <w:rPr>
                <w:sz w:val="20"/>
                <w:szCs w:val="20"/>
                <w:color w:val="auto"/>
              </w:rPr>
            </w:pPr>
            <w:r>
              <w:rPr>
                <w:rFonts w:ascii="Arial" w:cs="Arial" w:eastAsia="Arial" w:hAnsi="Arial"/>
                <w:sz w:val="22"/>
                <w:szCs w:val="22"/>
                <w:color w:val="auto"/>
                <w:w w:val="91"/>
              </w:rPr>
              <w:t>signature guaranty medallion program or other signature guarantor</w:t>
            </w:r>
          </w:p>
        </w:tc>
        <w:tc>
          <w:tcPr>
            <w:tcW w:w="5140" w:type="dxa"/>
            <w:vAlign w:val="bottom"/>
          </w:tcPr>
          <w:p>
            <w:pPr>
              <w:spacing w:after="0"/>
              <w:rPr>
                <w:sz w:val="22"/>
                <w:szCs w:val="22"/>
                <w:color w:val="auto"/>
              </w:rPr>
            </w:pPr>
          </w:p>
        </w:tc>
      </w:tr>
      <w:tr>
        <w:trPr>
          <w:trHeight w:val="274"/>
        </w:trPr>
        <w:tc>
          <w:tcPr>
            <w:tcW w:w="6060" w:type="dxa"/>
            <w:vAlign w:val="bottom"/>
            <w:gridSpan w:val="3"/>
          </w:tcPr>
          <w:p>
            <w:pPr>
              <w:ind w:left="80"/>
              <w:spacing w:after="0"/>
              <w:rPr>
                <w:sz w:val="20"/>
                <w:szCs w:val="20"/>
                <w:color w:val="auto"/>
              </w:rPr>
            </w:pPr>
            <w:r>
              <w:rPr>
                <w:rFonts w:ascii="Arial" w:cs="Arial" w:eastAsia="Arial" w:hAnsi="Arial"/>
                <w:sz w:val="22"/>
                <w:szCs w:val="22"/>
                <w:color w:val="auto"/>
              </w:rPr>
              <w:t>program reasonably acceptable to the Trustee</w:t>
            </w:r>
          </w:p>
        </w:tc>
        <w:tc>
          <w:tcPr>
            <w:tcW w:w="51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20"/>
          </w:cols>
          <w:pgMar w:left="320" w:top="1427" w:right="359" w:bottom="1440" w:gutter="0" w:footer="0" w:header="0"/>
        </w:sectPr>
      </w:pPr>
    </w:p>
    <w:bookmarkStart w:id="136" w:name="page137"/>
    <w:bookmarkEnd w:id="136"/>
    <w:p>
      <w:pPr>
        <w:jc w:val="center"/>
        <w:ind w:right="-199"/>
        <w:spacing w:after="0"/>
        <w:rPr>
          <w:sz w:val="20"/>
          <w:szCs w:val="20"/>
          <w:color w:val="auto"/>
        </w:rPr>
      </w:pPr>
      <w:r>
        <w:rPr>
          <w:rFonts w:ascii="Arial" w:cs="Arial" w:eastAsia="Arial" w:hAnsi="Arial"/>
          <w:sz w:val="22"/>
          <w:szCs w:val="22"/>
          <w:color w:val="auto"/>
        </w:rPr>
        <w:t>TO BE COMPLETED BY PURCHASER IF (4) ABOVE IS CHECKED.</w:t>
      </w:r>
    </w:p>
    <w:p>
      <w:pPr>
        <w:spacing w:after="0" w:line="16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24130</wp:posOffset>
            </wp:positionV>
            <wp:extent cx="6566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040"/>
          </w:cols>
          <w:pgMar w:left="320" w:top="1427" w:right="53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22"/>
          <w:szCs w:val="22"/>
          <w:color w:val="auto"/>
        </w:rPr>
        <w:t>[TO BE ATTACHED TO GLOBAL NOTES]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OF INCREASES OR DECREASES IN GLOBAL NOTE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initial principal amount of this Global Note is $_____. The following increases or decreases in this Global Note have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been made: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180" w:type="dxa"/>
            <w:vAlign w:val="bottom"/>
            <w:tcBorders>
              <w:top w:val="single" w:sz="8" w:color="auto"/>
              <w:left w:val="single" w:sz="8" w:color="auto"/>
              <w:right w:val="single" w:sz="8" w:color="auto"/>
            </w:tcBorders>
          </w:tcPr>
          <w:p>
            <w:pPr>
              <w:spacing w:after="0"/>
              <w:rPr>
                <w:sz w:val="21"/>
                <w:szCs w:val="21"/>
                <w:color w:val="auto"/>
              </w:rPr>
            </w:pPr>
          </w:p>
        </w:tc>
        <w:tc>
          <w:tcPr>
            <w:tcW w:w="2380" w:type="dxa"/>
            <w:vAlign w:val="bottom"/>
            <w:tcBorders>
              <w:top w:val="single" w:sz="8" w:color="auto"/>
              <w:right w:val="single" w:sz="8" w:color="auto"/>
            </w:tcBorders>
          </w:tcPr>
          <w:p>
            <w:pPr>
              <w:spacing w:after="0"/>
              <w:rPr>
                <w:sz w:val="21"/>
                <w:szCs w:val="21"/>
                <w:color w:val="auto"/>
              </w:rPr>
            </w:pPr>
          </w:p>
        </w:tc>
        <w:tc>
          <w:tcPr>
            <w:tcW w:w="2440" w:type="dxa"/>
            <w:vAlign w:val="bottom"/>
            <w:tcBorders>
              <w:top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Principal amount</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Signature of</w:t>
            </w:r>
          </w:p>
        </w:tc>
      </w:tr>
      <w:tr>
        <w:trPr>
          <w:trHeight w:val="229"/>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Amount of</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Amount of increase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of this Global</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authorized</w:t>
            </w:r>
          </w:p>
        </w:tc>
      </w:tr>
      <w:tr>
        <w:trPr>
          <w:trHeight w:val="230"/>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decrease in</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in Principal</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Note following</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signatory of</w:t>
            </w:r>
          </w:p>
        </w:tc>
      </w:tr>
      <w:tr>
        <w:trPr>
          <w:trHeight w:val="229"/>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Principal Amount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Amount of this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such decrease or</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Trustee or Notes</w:t>
            </w:r>
          </w:p>
        </w:tc>
      </w:tr>
      <w:tr>
        <w:trPr>
          <w:trHeight w:val="256"/>
        </w:trPr>
        <w:tc>
          <w:tcPr>
            <w:tcW w:w="21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20"/>
                <w:szCs w:val="20"/>
                <w:b w:val="1"/>
                <w:bCs w:val="1"/>
                <w:color w:val="auto"/>
              </w:rPr>
              <w:t>Date of Exchange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of this Global Note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Global Note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increase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Custodian</w:t>
            </w:r>
          </w:p>
        </w:tc>
      </w:tr>
      <w:tr>
        <w:trPr>
          <w:trHeight w:val="2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50"/>
        </w:trPr>
        <w:tc>
          <w:tcPr>
            <w:tcW w:w="218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260"/>
          </w:cols>
          <w:pgMar w:left="320" w:top="1427" w:right="3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2"/>
          <w:szCs w:val="22"/>
          <w:b w:val="1"/>
          <w:bCs w:val="1"/>
          <w:color w:val="auto"/>
        </w:rPr>
        <w:t>EXHIBIT A-2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2031 NOTE]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[Global Notes Legend]</w:t>
      </w:r>
    </w:p>
    <w:p>
      <w:pPr>
        <w:spacing w:after="0" w:line="166"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color w:val="auto"/>
        </w:rPr>
        <w:t>THIS GLOBAL SECURITY IS HELD BY THE DEPOSITARY (AS DEFINED IN THE INDENTURE GOVERNING THIS SECURITY) OR ITS NOMINEE IN CUSTODY FOR THE BENEFIT OF THE HOLDERS OF BENEFICIAL INTERESTS HEREIN, AND IS NOT TRANSFERABLE TO ANY PERSON UNDER ANY CIRCUMSTANCES, EXCEPT THAT (I) THE TRUSTEE MAY MAKE ANY SUCH NOTATIONS HEREON AS MAY BE REQUIRED PURSUANT TO THE INDENTURE, (II) THIS GLOBAL SECURITY MAY BE EXCHANGED IN WHOLE BUT NOT IN PART PURSUANT TO SECTION 2.06 OF THE BASE INDENTURE, (III) THIS GLOBAL SECURITY MAY BE DELIVERED TO THE TRUSTEE FOR CANCELLATION PURSUANT TO THE INDENTURE AND (IV) THIS GLOBAL SECURITY MAY BE TRANSFERRED AS A WHOLE, BUT NOT IN PART, TO THE DEPOSITARY, ITS SUCCESSORS OR THEIR RESPECTIVE NOMINEES.</w:t>
      </w:r>
    </w:p>
    <w:p>
      <w:pPr>
        <w:spacing w:after="0" w:line="146"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UNLESS THIS CERTIFICATE IS PRESENTED BY AN AUTHORIZED REPRESENTATIVE OF THE DEPOSITORY TRUST COMPANY, A NEW YORK CORPORATION (“DTC”), TO THE COMPANY OR ITS AGENT FOR REGISTRATION OF TRANSFER, EXCHANGE OR PAYMENT,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[Restricted Notes Legend]</w:t>
      </w:r>
    </w:p>
    <w:p>
      <w:pPr>
        <w:spacing w:after="0" w:line="16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THIS SECURITY HAS NOT BEEN REGISTERED UNDER THE SECURITIES ACT OF 1933, AS AMENDED (THE “SECURITIES ACT”), OR THE SECURITIES LAWS OF ANY STATE OR OTHER JURISDICTION. BY ITS ACQUISITION HEREOF OR OF A BENEFICIAL INTEREST HEREIN, THE ACQUIRER REPRESENTS THAT</w:t>
      </w:r>
    </w:p>
    <w:p>
      <w:pPr>
        <w:spacing w:after="0" w:line="113" w:lineRule="exact"/>
        <w:rPr>
          <w:sz w:val="20"/>
          <w:szCs w:val="20"/>
          <w:color w:val="auto"/>
        </w:rPr>
      </w:pPr>
    </w:p>
    <w:p>
      <w:pPr>
        <w:ind w:right="20" w:firstLine="656"/>
        <w:spacing w:after="0" w:line="253" w:lineRule="auto"/>
        <w:tabs>
          <w:tab w:leader="none" w:pos="9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IT AND ANY ACCOUNT FOR WHICH IT IS ACTING IS A “QUALIFIED INSTITUTIONAL BUYER” (WITHIN THE MEANING OF RULE 144A UNDER THE SECURITIES ACT) AND THAT IT EXERCISES SOLE INVESTMENT DISCRETION WITH RESPECT TO EACH SUCH ACCOUNT, OR</w:t>
      </w:r>
    </w:p>
    <w:p>
      <w:pPr>
        <w:spacing w:after="0" w:line="131" w:lineRule="exact"/>
        <w:rPr>
          <w:rFonts w:ascii="Arial" w:cs="Arial" w:eastAsia="Arial" w:hAnsi="Arial"/>
          <w:sz w:val="22"/>
          <w:szCs w:val="22"/>
          <w:color w:val="auto"/>
        </w:rPr>
      </w:pPr>
    </w:p>
    <w:p>
      <w:pPr>
        <w:ind w:right="580" w:firstLine="656"/>
        <w:spacing w:after="0" w:line="263" w:lineRule="auto"/>
        <w:tabs>
          <w:tab w:leader="none" w:pos="95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IT IS NOT A “U.S. PERSON” AND IS OUTSIDE OF THE UNITED STATES (WITHIN THE MEANING OF REGULATION 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220"/>
          </w:cols>
          <w:pgMar w:left="320" w:top="1421" w:right="359" w:bottom="1440" w:gutter="0" w:footer="0" w:header="0"/>
        </w:sectPr>
      </w:pPr>
    </w:p>
    <w:bookmarkStart w:id="139" w:name="page140"/>
    <w:bookmarkEnd w:id="139"/>
    <w:p>
      <w:pPr>
        <w:ind w:firstLine="648"/>
        <w:spacing w:after="0" w:line="284" w:lineRule="auto"/>
        <w:rPr>
          <w:sz w:val="20"/>
          <w:szCs w:val="20"/>
          <w:color w:val="auto"/>
        </w:rPr>
      </w:pPr>
      <w:r>
        <w:rPr>
          <w:rFonts w:ascii="Arial" w:cs="Arial" w:eastAsia="Arial" w:hAnsi="Arial"/>
          <w:sz w:val="19"/>
          <w:szCs w:val="19"/>
          <w:color w:val="auto"/>
        </w:rPr>
        <w:t>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THAT IS (A) IN THE CASE OF RULE 144A GLOBAL NOTES, ONE YEAR, OR (B) IN THE CASE OF REGULATION S GLOBAL NOTES, 40 DAYS, IN EACH CASE AFTER THE LATER OF THE ORIGINAL ISSUE DATE HEREOF AND THE LAST DATE ON WHICH THE COMPANY OR ANY AFFILIATE OF THE COMPANY WAS THE OWNER OF THIS SECURITY (OR ANY PREDECESSOR OF THIS SECURITY), ONLY (A) TO THE COMPANY OR ANY SUBSIDIARY THEREOF, (B) PURSUANT TO A REGISTRATION STATEMENT THAT HAS BEEN DECLARED EFFECTIVE UNDER THE SECURITIES ACT, (C) FOR SO LONG AS THE SECURITIES ARE ELIGIBLE FOR RESALE PURSUANT TO RULE 144A UNDER THE SECURITIES ACT, TO A PERSON IT REASONABLY BELIEVES IS A “</w:t>
      </w:r>
      <w:r>
        <w:rPr>
          <w:rFonts w:ascii="Arial" w:cs="Arial" w:eastAsia="Arial" w:hAnsi="Arial"/>
          <w:sz w:val="19"/>
          <w:szCs w:val="19"/>
          <w:u w:val="single" w:color="auto"/>
          <w:color w:val="auto"/>
        </w:rPr>
        <w:t>QUALIFIED INSTITUTIONAL BUYER</w:t>
      </w:r>
      <w:r>
        <w:rPr>
          <w:rFonts w:ascii="Arial" w:cs="Arial" w:eastAsia="Arial" w:hAnsi="Arial"/>
          <w:sz w:val="19"/>
          <w:szCs w:val="19"/>
          <w:color w:val="auto"/>
        </w:rPr>
        <w:t>” AS DEFINED IN RULE 144A UNDER THE SECURITIES ACT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OR (E) PURSUANT TO ANOTHER AVAILABLE EXEMPTION FROM THE REGISTRATION REQUIREMENTS OF THE SECURITIES ACT, SUBJECT TO THE COMPANY’S AND THE TRUSTEE’S RIGHT PRIOR TO ANY SUCH OFFER, SALE OR TRANSFER PURSUANT TO CLAUSES (D) OR (E) TO REQUIRE THE DELIVERY OF AN OPINION OF COUNSEL, CERTIFICATION AND/OR OTHER INFORMATION SATISFACTORY TO EACH OF THEM.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 144A Global Notes]</w:t>
      </w:r>
    </w:p>
    <w:p>
      <w:pPr>
        <w:spacing w:after="0" w:line="166"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[EACH PURCHASER OF THIS SECURITY IS HEREBY NOTIFIED THAT THE SELLER OF THIS SECURITY MAY BE RELYING ON THE EXEMPTION FROM THE PROVISIONS OF SECTION 5 OF THE SECURITIES ACT PROVIDED BY RULE 144A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240"/>
          </w:cols>
          <w:pgMar w:left="320" w:top="1427"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2"/>
          <w:szCs w:val="22"/>
          <w:b w:val="1"/>
          <w:bCs w:val="1"/>
          <w:color w:val="auto"/>
        </w:rPr>
        <w:t>[FORM OF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GXO LOGISTICS, INC.</w:t>
      </w:r>
    </w:p>
    <w:p>
      <w:pPr>
        <w:spacing w:after="0" w:line="220" w:lineRule="exact"/>
        <w:rPr>
          <w:sz w:val="20"/>
          <w:szCs w:val="20"/>
          <w:color w:val="auto"/>
        </w:rPr>
      </w:pPr>
    </w:p>
    <w:p>
      <w:pPr>
        <w:jc w:val="right"/>
        <w:spacing w:after="0"/>
        <w:tabs>
          <w:tab w:leader="none" w:pos="27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19"/>
          <w:szCs w:val="19"/>
          <w:color w:val="auto"/>
        </w:rPr>
        <w:t>144A CUSIP No. 36262G AC5</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144A ISIN No. US36262GAC50</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REG S CUSIP No. U4038P AB5</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REG S ISIN No. USU4038PAB59</w:t>
      </w:r>
    </w:p>
    <w:p>
      <w:pPr>
        <w:spacing w:after="0" w:line="328" w:lineRule="exact"/>
        <w:rPr>
          <w:sz w:val="20"/>
          <w:szCs w:val="20"/>
          <w:color w:val="auto"/>
        </w:rPr>
      </w:pPr>
    </w:p>
    <w:p>
      <w:pPr>
        <w:ind w:left="10640"/>
        <w:spacing w:after="0"/>
        <w:tabs>
          <w:tab w:leader="none" w:pos="111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2.650% Note due 2031</w:t>
      </w:r>
    </w:p>
    <w:p>
      <w:pPr>
        <w:spacing w:after="0" w:line="16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GXO LOGISTICS, INC., a Delaware corporation, promises to pay to Cede &amp; Co., or registered assigns, the principal sum of [__] DOLLARS (or such other amount set forth on the Schedule of Increases or Decreases in Global Note attached hereto) on July 15, 2031.</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Interest Payment Dates: January 15 and July 15, commencing January 15, 2022.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Record Dates: December 31 and June 30.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Additional provisions of this Note are set forth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220"/>
          </w:cols>
          <w:pgMar w:left="320" w:top="1421" w:right="359" w:bottom="1440" w:gutter="0" w:footer="0" w:header="0"/>
        </w:sectPr>
      </w:pPr>
    </w:p>
    <w:bookmarkStart w:id="141" w:name="page142"/>
    <w:bookmarkEnd w:id="141"/>
    <w:p>
      <w:pPr>
        <w:ind w:left="640"/>
        <w:spacing w:after="0"/>
        <w:rPr>
          <w:sz w:val="20"/>
          <w:szCs w:val="20"/>
          <w:color w:val="auto"/>
        </w:rPr>
      </w:pPr>
      <w:r>
        <w:rPr>
          <w:rFonts w:ascii="Arial" w:cs="Arial" w:eastAsia="Arial" w:hAnsi="Arial"/>
          <w:sz w:val="19"/>
          <w:szCs w:val="19"/>
          <w:color w:val="auto"/>
        </w:rPr>
        <w:t>IN WITNESS WHEREOF, the parties have caused this instrument to be duly executed.</w:t>
      </w:r>
    </w:p>
    <w:p>
      <w:pPr>
        <w:spacing w:after="0" w:line="25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24130</wp:posOffset>
            </wp:positionV>
            <wp:extent cx="3111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51"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0119"/>
          </w:cols>
          <w:pgMar w:left="340" w:top="1427" w:right="1440"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TRUSTEE’S CERTIFICATE OF AUTHENTICATION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20" w:right="4839"/>
        <w:spacing w:after="0" w:line="246" w:lineRule="auto"/>
        <w:rPr>
          <w:sz w:val="20"/>
          <w:szCs w:val="20"/>
          <w:color w:val="auto"/>
        </w:rPr>
      </w:pPr>
      <w:r>
        <w:rPr>
          <w:rFonts w:ascii="Arial" w:cs="Arial" w:eastAsia="Arial" w:hAnsi="Arial"/>
          <w:sz w:val="22"/>
          <w:szCs w:val="22"/>
          <w:color w:val="auto"/>
        </w:rPr>
        <w:t>as Trustee, certifies that this is one of the Notes referred to in the Indenture.</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24130</wp:posOffset>
            </wp:positionV>
            <wp:extent cx="28803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Authorized Signatory</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0139"/>
          </w:cols>
          <w:pgMar w:left="320" w:top="1427"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2"/>
          <w:szCs w:val="22"/>
          <w:b w:val="1"/>
          <w:bCs w:val="1"/>
          <w:color w:val="auto"/>
        </w:rPr>
        <w:t>[FORM OF REVERSE SIDE OF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2.650% Note Due 2031</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GXO Logistics, Inc., a Delaware corporation (together with its successors and assigns, the “</w:t>
      </w:r>
      <w:r>
        <w:rPr>
          <w:rFonts w:ascii="Arial" w:cs="Arial" w:eastAsia="Arial" w:hAnsi="Arial"/>
          <w:sz w:val="21"/>
          <w:szCs w:val="21"/>
          <w:b w:val="1"/>
          <w:bCs w:val="1"/>
          <w:color w:val="auto"/>
        </w:rPr>
        <w:t>Company</w:t>
      </w:r>
      <w:r>
        <w:rPr>
          <w:rFonts w:ascii="Arial" w:cs="Arial" w:eastAsia="Arial" w:hAnsi="Arial"/>
          <w:sz w:val="21"/>
          <w:szCs w:val="21"/>
          <w:color w:val="auto"/>
        </w:rPr>
        <w:t>”), issued this Note under the Indenture dated as of July 2, 2021 (as amended, modified or supplemented from time to time in accordance therewith, the “</w:t>
      </w:r>
      <w:r>
        <w:rPr>
          <w:rFonts w:ascii="Arial" w:cs="Arial" w:eastAsia="Arial" w:hAnsi="Arial"/>
          <w:sz w:val="21"/>
          <w:szCs w:val="21"/>
          <w:b w:val="1"/>
          <w:bCs w:val="1"/>
          <w:color w:val="auto"/>
        </w:rPr>
        <w:t>Base Indenture</w:t>
      </w:r>
      <w:r>
        <w:rPr>
          <w:rFonts w:ascii="Arial" w:cs="Arial" w:eastAsia="Arial" w:hAnsi="Arial"/>
          <w:sz w:val="21"/>
          <w:szCs w:val="21"/>
          <w:color w:val="auto"/>
        </w:rPr>
        <w:t>”), as supplemented by the First Supplemental Indenture dated as of July 2, 2021 (the “</w:t>
      </w:r>
      <w:r>
        <w:rPr>
          <w:rFonts w:ascii="Arial" w:cs="Arial" w:eastAsia="Arial" w:hAnsi="Arial"/>
          <w:sz w:val="21"/>
          <w:szCs w:val="21"/>
          <w:b w:val="1"/>
          <w:bCs w:val="1"/>
          <w:color w:val="auto"/>
        </w:rPr>
        <w:t>Supplemental</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by and between the Company and Wells Fargo Bank,</w:t>
      </w:r>
      <w:r>
        <w:rPr>
          <w:rFonts w:ascii="Arial" w:cs="Arial" w:eastAsia="Arial" w:hAnsi="Arial"/>
          <w:sz w:val="21"/>
          <w:szCs w:val="21"/>
          <w:b w:val="1"/>
          <w:bCs w:val="1"/>
          <w:color w:val="auto"/>
        </w:rPr>
        <w:t xml:space="preserve"> </w:t>
      </w:r>
      <w:r>
        <w:rPr>
          <w:rFonts w:ascii="Arial" w:cs="Arial" w:eastAsia="Arial" w:hAnsi="Arial"/>
          <w:sz w:val="21"/>
          <w:szCs w:val="21"/>
          <w:color w:val="auto"/>
        </w:rPr>
        <w:t>National Association, as trustee (in such capacity, the “</w:t>
      </w:r>
      <w:r>
        <w:rPr>
          <w:rFonts w:ascii="Arial" w:cs="Arial" w:eastAsia="Arial" w:hAnsi="Arial"/>
          <w:sz w:val="21"/>
          <w:szCs w:val="21"/>
          <w:b w:val="1"/>
          <w:bCs w:val="1"/>
          <w:color w:val="auto"/>
        </w:rPr>
        <w:t>Trustee</w:t>
      </w:r>
      <w:r>
        <w:rPr>
          <w:rFonts w:ascii="Arial" w:cs="Arial" w:eastAsia="Arial" w:hAnsi="Arial"/>
          <w:sz w:val="21"/>
          <w:szCs w:val="21"/>
          <w:color w:val="auto"/>
        </w:rPr>
        <w:t>”), to which reference is hereby made for a statement of the respective rights, obligations, duties and immunities thereunder of the Company, the Trustee and the Holders and of the terms upon which this Note is authorized and delivered. All terms used in this Note that are defined in the Indenture shall have the meanings assigned to them therein. If any terms of this Note conflicts with the terms of the Indenture, the terms of the Indenture shall govern and control.</w:t>
      </w:r>
    </w:p>
    <w:p>
      <w:pPr>
        <w:spacing w:after="0" w:line="131" w:lineRule="exact"/>
        <w:rPr>
          <w:sz w:val="20"/>
          <w:szCs w:val="20"/>
          <w:color w:val="auto"/>
        </w:rPr>
      </w:pPr>
    </w:p>
    <w:p>
      <w:pPr>
        <w:ind w:firstLine="656"/>
        <w:spacing w:after="0" w:line="288" w:lineRule="auto"/>
        <w:tabs>
          <w:tab w:leader="none" w:pos="1026"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The Company promises to pay interest on the principal amount of this Note at the rate of 2.650% per year.</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will pay interest semi-annually in arrears on January 15 and July 15 of each year (each, an “</w:t>
      </w:r>
      <w:r>
        <w:rPr>
          <w:rFonts w:ascii="Arial" w:cs="Arial" w:eastAsia="Arial" w:hAnsi="Arial"/>
          <w:sz w:val="19"/>
          <w:szCs w:val="19"/>
          <w:b w:val="1"/>
          <w:bCs w:val="1"/>
          <w:color w:val="auto"/>
        </w:rPr>
        <w:t>Interest Payment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beginning on January 15, 2022, until the principal is paid or made available for payment. Interest on this Note will accrue</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most recent date to which interest has been paid or duly provided for or, if no interest has been paid, from the date of issuance to, but excluding, the applicable Interest Payment Date or Stated Maturity of the principal of the Note, as the case may be. Interest will be computed on the basis of a 360-day year comprised of twelve 30-day months. If any Interest Payment Date, Stated Maturity or other payment date with respect to the Notes is not a Business Day, the required payment of principal, premium, if any, or interest will be due on the next succeeding Business Day as if made on the date that such payment was due, and no interest will accrue on that payment for the period from and after that Interest Payment Date, Stated Maturity or other payment date, as the case may be, to the date of that payment on the next succeeding Business Day.</w:t>
      </w:r>
    </w:p>
    <w:p>
      <w:pPr>
        <w:spacing w:after="0" w:line="105" w:lineRule="exact"/>
        <w:rPr>
          <w:rFonts w:ascii="Arial" w:cs="Arial" w:eastAsia="Arial" w:hAnsi="Arial"/>
          <w:sz w:val="19"/>
          <w:szCs w:val="19"/>
          <w:color w:val="auto"/>
        </w:rPr>
      </w:pPr>
    </w:p>
    <w:p>
      <w:pPr>
        <w:ind w:firstLine="656"/>
        <w:spacing w:after="0" w:line="294" w:lineRule="auto"/>
        <w:tabs>
          <w:tab w:leader="none" w:pos="1026"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Company will pay interest on this Note (except defaulted interest, if any, which will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on a special payment date to Holders of record on such special record date as may be fixed by the Company in accordance with Section 2.11 of the Base Indenture) to the persons in whose name this Note is registered at the close of business on the Regular Record Date immediately preceding the relevant Interest Payment Date. The Company will pay principal and interest in money of the United States of America that at the time of payment is legal tender for payment of public and private debts, at the office or agency of the Company maintained for that purpose in accordance with the Indenture.</w:t>
      </w:r>
    </w:p>
    <w:p>
      <w:pPr>
        <w:spacing w:after="0" w:line="95" w:lineRule="exact"/>
        <w:rPr>
          <w:rFonts w:ascii="Arial" w:cs="Arial" w:eastAsia="Arial" w:hAnsi="Arial"/>
          <w:sz w:val="19"/>
          <w:szCs w:val="19"/>
          <w:color w:val="auto"/>
        </w:rPr>
      </w:pPr>
    </w:p>
    <w:p>
      <w:pPr>
        <w:ind w:right="160" w:firstLine="656"/>
        <w:spacing w:after="0" w:line="263" w:lineRule="auto"/>
        <w:tabs>
          <w:tab w:leader="none" w:pos="1026"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Paying Agent</w:t>
      </w:r>
      <w:r>
        <w:rPr>
          <w:rFonts w:ascii="Arial" w:cs="Arial" w:eastAsia="Arial" w:hAnsi="Arial"/>
          <w:sz w:val="22"/>
          <w:szCs w:val="22"/>
          <w:color w:val="auto"/>
        </w:rPr>
        <w:t>. Initially, the Trustee will act as Paying Agent and Registrar. The Company may have one or more co-Registrars and one or more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A-20</w:t>
      </w:r>
    </w:p>
    <w:p>
      <w:pPr>
        <w:sectPr>
          <w:pgSz w:w="11900" w:h="16838" w:orient="portrait"/>
          <w:cols w:equalWidth="0" w:num="1">
            <w:col w:w="11220"/>
          </w:cols>
          <w:pgMar w:left="320" w:top="1421" w:right="359" w:bottom="1440" w:gutter="0" w:footer="0" w:header="0"/>
        </w:sectPr>
      </w:pPr>
    </w:p>
    <w:bookmarkStart w:id="144" w:name="page145"/>
    <w:bookmarkEnd w:id="144"/>
    <w:p>
      <w:pPr>
        <w:ind w:right="480"/>
        <w:spacing w:after="0" w:line="263" w:lineRule="auto"/>
        <w:rPr>
          <w:sz w:val="20"/>
          <w:szCs w:val="20"/>
          <w:color w:val="auto"/>
        </w:rPr>
      </w:pPr>
      <w:r>
        <w:rPr>
          <w:rFonts w:ascii="Arial" w:cs="Arial" w:eastAsia="Arial" w:hAnsi="Arial"/>
          <w:sz w:val="22"/>
          <w:szCs w:val="22"/>
          <w:color w:val="auto"/>
        </w:rPr>
        <w:t>paying agents. The Company may at any time rescind the designation of any Registrar or Paying Agent or approve a change through which the Registrar or Paying Agent acts.</w:t>
      </w:r>
    </w:p>
    <w:p>
      <w:pPr>
        <w:spacing w:after="0" w:line="121" w:lineRule="exact"/>
        <w:rPr>
          <w:sz w:val="20"/>
          <w:szCs w:val="20"/>
          <w:color w:val="auto"/>
        </w:rPr>
      </w:pPr>
    </w:p>
    <w:p>
      <w:pPr>
        <w:ind w:right="200" w:firstLine="656"/>
        <w:spacing w:after="0" w:line="263"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This Note shall be redeemable at the option of the Company in accordance with Section 4.02</w:t>
      </w:r>
      <w:r>
        <w:rPr>
          <w:rFonts w:ascii="Arial" w:cs="Arial" w:eastAsia="Arial" w:hAnsi="Arial"/>
          <w:sz w:val="22"/>
          <w:szCs w:val="22"/>
          <w:i w:val="1"/>
          <w:iCs w:val="1"/>
          <w:color w:val="auto"/>
        </w:rPr>
        <w:t xml:space="preserve"> </w:t>
      </w:r>
      <w:r>
        <w:rPr>
          <w:rFonts w:ascii="Arial" w:cs="Arial" w:eastAsia="Arial" w:hAnsi="Arial"/>
          <w:sz w:val="22"/>
          <w:szCs w:val="22"/>
          <w:color w:val="auto"/>
        </w:rPr>
        <w:t>of the Supplemental Indenture.</w:t>
      </w:r>
    </w:p>
    <w:p>
      <w:pPr>
        <w:spacing w:after="0" w:line="120" w:lineRule="exact"/>
        <w:rPr>
          <w:rFonts w:ascii="Arial" w:cs="Arial" w:eastAsia="Arial" w:hAnsi="Arial"/>
          <w:sz w:val="22"/>
          <w:szCs w:val="22"/>
          <w:color w:val="auto"/>
        </w:rPr>
      </w:pPr>
    </w:p>
    <w:p>
      <w:pPr>
        <w:ind w:right="220" w:firstLine="656"/>
        <w:spacing w:after="0" w:line="263"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Special Mandatory Redemption</w:t>
      </w:r>
      <w:r>
        <w:rPr>
          <w:rFonts w:ascii="Arial" w:cs="Arial" w:eastAsia="Arial" w:hAnsi="Arial"/>
          <w:sz w:val="22"/>
          <w:szCs w:val="22"/>
          <w:color w:val="auto"/>
        </w:rPr>
        <w:t>. The Company will be required to redeem this Note as and to the extent set forth in</w:t>
      </w:r>
      <w:r>
        <w:rPr>
          <w:rFonts w:ascii="Arial" w:cs="Arial" w:eastAsia="Arial" w:hAnsi="Arial"/>
          <w:sz w:val="22"/>
          <w:szCs w:val="22"/>
          <w:i w:val="1"/>
          <w:iCs w:val="1"/>
          <w:color w:val="auto"/>
        </w:rPr>
        <w:t xml:space="preserve"> </w:t>
      </w:r>
      <w:r>
        <w:rPr>
          <w:rFonts w:ascii="Arial" w:cs="Arial" w:eastAsia="Arial" w:hAnsi="Arial"/>
          <w:sz w:val="22"/>
          <w:szCs w:val="22"/>
          <w:color w:val="auto"/>
        </w:rPr>
        <w:t>(and only in the circumstances described in) Section 4.03 of the Supplemental Indenture.</w:t>
      </w:r>
    </w:p>
    <w:p>
      <w:pPr>
        <w:spacing w:after="0" w:line="120" w:lineRule="exact"/>
        <w:rPr>
          <w:rFonts w:ascii="Arial" w:cs="Arial" w:eastAsia="Arial" w:hAnsi="Arial"/>
          <w:sz w:val="22"/>
          <w:szCs w:val="22"/>
          <w:color w:val="auto"/>
        </w:rPr>
      </w:pPr>
    </w:p>
    <w:p>
      <w:pPr>
        <w:ind w:right="20" w:firstLine="656"/>
        <w:spacing w:after="0" w:line="253"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Offer to Repurchase Upon Change of Control Repurchase Event</w:t>
      </w:r>
      <w:r>
        <w:rPr>
          <w:rFonts w:ascii="Arial" w:cs="Arial" w:eastAsia="Arial" w:hAnsi="Arial"/>
          <w:sz w:val="22"/>
          <w:szCs w:val="22"/>
          <w:color w:val="auto"/>
        </w:rPr>
        <w:t>. The Company will be required to make a Change of</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Offer as and to the extent set forth in (and only in the circumstances described in) Section 4.04 of the Supplemental Indenture.</w:t>
      </w:r>
    </w:p>
    <w:p>
      <w:pPr>
        <w:spacing w:after="0" w:line="131" w:lineRule="exact"/>
        <w:rPr>
          <w:rFonts w:ascii="Arial" w:cs="Arial" w:eastAsia="Arial" w:hAnsi="Arial"/>
          <w:sz w:val="22"/>
          <w:szCs w:val="22"/>
          <w:color w:val="auto"/>
        </w:rPr>
      </w:pPr>
    </w:p>
    <w:p>
      <w:pPr>
        <w:ind w:left="1040" w:hanging="384"/>
        <w:spacing w:after="0"/>
        <w:tabs>
          <w:tab w:leader="none" w:pos="1040"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this Note shall be treated as the owner of it for all purposes.</w:t>
      </w:r>
    </w:p>
    <w:p>
      <w:pPr>
        <w:spacing w:after="0" w:line="200" w:lineRule="exact"/>
        <w:rPr>
          <w:rFonts w:ascii="Arial" w:cs="Arial" w:eastAsia="Arial" w:hAnsi="Arial"/>
          <w:sz w:val="19"/>
          <w:szCs w:val="19"/>
          <w:color w:val="auto"/>
        </w:rPr>
      </w:pPr>
    </w:p>
    <w:p>
      <w:pPr>
        <w:ind w:firstLine="656"/>
        <w:spacing w:after="0" w:line="312" w:lineRule="auto"/>
        <w:tabs>
          <w:tab w:leader="none" w:pos="1026" w:val="left"/>
        </w:tabs>
        <w:numPr>
          <w:ilvl w:val="0"/>
          <w:numId w:val="107"/>
        </w:numPr>
        <w:rPr>
          <w:rFonts w:ascii="Arial" w:cs="Arial" w:eastAsia="Arial" w:hAnsi="Arial"/>
          <w:sz w:val="19"/>
          <w:szCs w:val="19"/>
          <w:color w:val="auto"/>
        </w:rPr>
      </w:pPr>
      <w:r>
        <w:rPr>
          <w:rFonts w:ascii="Arial" w:cs="Arial" w:eastAsia="Arial" w:hAnsi="Arial"/>
          <w:sz w:val="19"/>
          <w:szCs w:val="19"/>
          <w:i w:val="1"/>
          <w:iCs w:val="1"/>
          <w:color w:val="auto"/>
        </w:rPr>
        <w:t>Unclaimed Money</w:t>
      </w:r>
      <w:r>
        <w:rPr>
          <w:rFonts w:ascii="Arial" w:cs="Arial" w:eastAsia="Arial" w:hAnsi="Arial"/>
          <w:sz w:val="19"/>
          <w:szCs w:val="19"/>
          <w:color w:val="auto"/>
        </w:rPr>
        <w:t>. All amounts of principal of and premium, if any, and interest on this Note paid by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the Trustee or Paying Agent that remain unclaimed for two years will be repaid to the Company, and the Holder of this Note will thereafter look solely to the Company for payment unless applicable abandoned property law designates another Person.</w:t>
      </w:r>
    </w:p>
    <w:p>
      <w:pPr>
        <w:spacing w:after="0" w:line="79" w:lineRule="exact"/>
        <w:rPr>
          <w:rFonts w:ascii="Arial" w:cs="Arial" w:eastAsia="Arial" w:hAnsi="Arial"/>
          <w:sz w:val="19"/>
          <w:szCs w:val="19"/>
          <w:color w:val="auto"/>
        </w:rPr>
      </w:pPr>
    </w:p>
    <w:p>
      <w:pPr>
        <w:ind w:right="240" w:firstLine="656"/>
        <w:spacing w:after="0" w:line="263" w:lineRule="auto"/>
        <w:tabs>
          <w:tab w:leader="none" w:pos="1026"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r>
        <w:rPr>
          <w:rFonts w:ascii="Arial" w:cs="Arial" w:eastAsia="Arial" w:hAnsi="Arial"/>
          <w:sz w:val="22"/>
          <w:szCs w:val="22"/>
          <w:color w:val="auto"/>
        </w:rPr>
        <w:t>. The Indenture or this Note may be amended or supplemented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the Indenture.</w:t>
      </w:r>
    </w:p>
    <w:p>
      <w:pPr>
        <w:spacing w:after="0" w:line="120" w:lineRule="exact"/>
        <w:rPr>
          <w:rFonts w:ascii="Arial" w:cs="Arial" w:eastAsia="Arial" w:hAnsi="Arial"/>
          <w:sz w:val="22"/>
          <w:szCs w:val="22"/>
          <w:color w:val="auto"/>
        </w:rPr>
      </w:pPr>
    </w:p>
    <w:p>
      <w:pPr>
        <w:ind w:right="280" w:firstLine="656"/>
        <w:spacing w:after="0" w:line="253" w:lineRule="auto"/>
        <w:tabs>
          <w:tab w:leader="none" w:pos="1134"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Successor Person</w:t>
      </w:r>
      <w:r>
        <w:rPr>
          <w:rFonts w:ascii="Arial" w:cs="Arial" w:eastAsia="Arial" w:hAnsi="Arial"/>
          <w:sz w:val="22"/>
          <w:szCs w:val="22"/>
          <w:color w:val="auto"/>
        </w:rPr>
        <w:t>. When a successor Person assumes all the obligations of its predecessor under the Note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the predecessor Person will be released from those obligations, in accordance with and except as set forth in the Indenture.</w:t>
      </w:r>
    </w:p>
    <w:p>
      <w:pPr>
        <w:spacing w:after="0" w:line="131" w:lineRule="exact"/>
        <w:rPr>
          <w:rFonts w:ascii="Arial" w:cs="Arial" w:eastAsia="Arial" w:hAnsi="Arial"/>
          <w:sz w:val="22"/>
          <w:szCs w:val="22"/>
          <w:color w:val="auto"/>
        </w:rPr>
      </w:pPr>
    </w:p>
    <w:p>
      <w:pPr>
        <w:ind w:right="220" w:firstLine="656"/>
        <w:spacing w:after="0" w:line="265" w:lineRule="auto"/>
        <w:tabs>
          <w:tab w:leader="none" w:pos="1126" w:val="left"/>
        </w:tabs>
        <w:numPr>
          <w:ilvl w:val="0"/>
          <w:numId w:val="107"/>
        </w:numPr>
        <w:rPr>
          <w:rFonts w:ascii="Arial" w:cs="Arial" w:eastAsia="Arial" w:hAnsi="Arial"/>
          <w:sz w:val="21"/>
          <w:szCs w:val="21"/>
          <w:color w:val="auto"/>
        </w:rPr>
      </w:pPr>
      <w:r>
        <w:rPr>
          <w:rFonts w:ascii="Arial" w:cs="Arial" w:eastAsia="Arial" w:hAnsi="Arial"/>
          <w:sz w:val="21"/>
          <w:szCs w:val="21"/>
          <w:i w:val="1"/>
          <w:iCs w:val="1"/>
          <w:color w:val="auto"/>
        </w:rPr>
        <w:t>No Recourse Against Others</w:t>
      </w:r>
      <w:r>
        <w:rPr>
          <w:rFonts w:ascii="Arial" w:cs="Arial" w:eastAsia="Arial" w:hAnsi="Arial"/>
          <w:sz w:val="21"/>
          <w:szCs w:val="21"/>
          <w:color w:val="auto"/>
        </w:rPr>
        <w:t>. A director, officer, employee or stockholder, as such, of the Company shall not have</w:t>
      </w:r>
      <w:r>
        <w:rPr>
          <w:rFonts w:ascii="Arial" w:cs="Arial" w:eastAsia="Arial" w:hAnsi="Arial"/>
          <w:sz w:val="21"/>
          <w:szCs w:val="21"/>
          <w:i w:val="1"/>
          <w:iCs w:val="1"/>
          <w:color w:val="auto"/>
        </w:rPr>
        <w:t xml:space="preserve"> </w:t>
      </w:r>
      <w:r>
        <w:rPr>
          <w:rFonts w:ascii="Arial" w:cs="Arial" w:eastAsia="Arial" w:hAnsi="Arial"/>
          <w:sz w:val="21"/>
          <w:szCs w:val="21"/>
          <w:color w:val="auto"/>
        </w:rPr>
        <w:t>any liability for any obligations of the Company under the Note or the Indenture or for any claim based on, in respect of or by reason of, such obligations or their creation. Each Holder by accepting a Note waives and releases all such liability. The waiver and release are part of the consideration for the issue of the Note.</w:t>
      </w:r>
    </w:p>
    <w:p>
      <w:pPr>
        <w:spacing w:after="0" w:line="121" w:lineRule="exact"/>
        <w:rPr>
          <w:rFonts w:ascii="Arial" w:cs="Arial" w:eastAsia="Arial" w:hAnsi="Arial"/>
          <w:sz w:val="21"/>
          <w:szCs w:val="21"/>
          <w:color w:val="auto"/>
        </w:rPr>
      </w:pPr>
    </w:p>
    <w:p>
      <w:pPr>
        <w:ind w:right="360" w:firstLine="656"/>
        <w:spacing w:after="0" w:line="263" w:lineRule="auto"/>
        <w:tabs>
          <w:tab w:leader="none" w:pos="1134"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Discharge of Indenture</w:t>
      </w:r>
      <w:r>
        <w:rPr>
          <w:rFonts w:ascii="Arial" w:cs="Arial" w:eastAsia="Arial" w:hAnsi="Arial"/>
          <w:sz w:val="22"/>
          <w:szCs w:val="22"/>
          <w:color w:val="auto"/>
        </w:rPr>
        <w:t>. The Indenture contains certain provisions pertaining to defeasance and discharge, which</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shall for all purposes have the same effect as if set forth herein.</w:t>
      </w:r>
    </w:p>
    <w:p>
      <w:pPr>
        <w:spacing w:after="0" w:line="120" w:lineRule="exact"/>
        <w:rPr>
          <w:rFonts w:ascii="Arial" w:cs="Arial" w:eastAsia="Arial" w:hAnsi="Arial"/>
          <w:sz w:val="22"/>
          <w:szCs w:val="22"/>
          <w:color w:val="auto"/>
        </w:rPr>
      </w:pPr>
    </w:p>
    <w:p>
      <w:pPr>
        <w:ind w:right="860" w:firstLine="656"/>
        <w:spacing w:after="0" w:line="263" w:lineRule="auto"/>
        <w:tabs>
          <w:tab w:leader="none" w:pos="1134"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an authorized signatory of the Trustee manually signs the</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of authentication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220"/>
          </w:cols>
          <w:pgMar w:left="320" w:top="1427" w:right="359" w:bottom="1440" w:gutter="0" w:footer="0" w:header="0"/>
        </w:sectPr>
      </w:pPr>
    </w:p>
    <w:bookmarkStart w:id="145" w:name="page146"/>
    <w:bookmarkEnd w:id="145"/>
    <w:p>
      <w:pPr>
        <w:jc w:val="both"/>
        <w:ind w:firstLine="656"/>
        <w:spacing w:after="0" w:line="253" w:lineRule="auto"/>
        <w:tabs>
          <w:tab w:leader="none" w:pos="1134"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 COM (=</w:t>
      </w:r>
      <w:r>
        <w:rPr>
          <w:rFonts w:ascii="Arial" w:cs="Arial" w:eastAsia="Arial" w:hAnsi="Arial"/>
          <w:sz w:val="22"/>
          <w:szCs w:val="22"/>
          <w:i w:val="1"/>
          <w:iCs w:val="1"/>
          <w:color w:val="auto"/>
        </w:rPr>
        <w:t xml:space="preserve"> </w:t>
      </w:r>
      <w:r>
        <w:rPr>
          <w:rFonts w:ascii="Arial" w:cs="Arial" w:eastAsia="Arial" w:hAnsi="Arial"/>
          <w:sz w:val="22"/>
          <w:szCs w:val="22"/>
          <w:color w:val="auto"/>
        </w:rPr>
        <w:t>tenants in common), TEN ENT (= tenants by the entireties), JT TEN (= joint tenants with right of survivorship and not as tenants in common), CUST (= custodian), and U/G/M/A (= Uniform Gift to Minors Act).</w:t>
      </w:r>
    </w:p>
    <w:p>
      <w:pPr>
        <w:spacing w:after="0" w:line="131" w:lineRule="exact"/>
        <w:rPr>
          <w:rFonts w:ascii="Arial" w:cs="Arial" w:eastAsia="Arial" w:hAnsi="Arial"/>
          <w:sz w:val="22"/>
          <w:szCs w:val="22"/>
          <w:color w:val="auto"/>
        </w:rPr>
      </w:pPr>
    </w:p>
    <w:p>
      <w:pPr>
        <w:ind w:left="1140" w:hanging="484"/>
        <w:spacing w:after="0"/>
        <w:tabs>
          <w:tab w:leader="none" w:pos="1140"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Note shall be governed by and construed in accordance with the laws of the State of New</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York.</w:t>
      </w:r>
    </w:p>
    <w:p>
      <w:pPr>
        <w:spacing w:after="0" w:line="147" w:lineRule="exact"/>
        <w:rPr>
          <w:rFonts w:ascii="Arial" w:cs="Arial" w:eastAsia="Arial" w:hAnsi="Arial"/>
          <w:sz w:val="19"/>
          <w:szCs w:val="19"/>
          <w:color w:val="auto"/>
        </w:rPr>
      </w:pPr>
    </w:p>
    <w:p>
      <w:pPr>
        <w:ind w:right="260" w:firstLine="656"/>
        <w:spacing w:after="0" w:line="263" w:lineRule="auto"/>
        <w:tabs>
          <w:tab w:leader="none" w:pos="1134" w:val="left"/>
        </w:tabs>
        <w:numPr>
          <w:ilvl w:val="0"/>
          <w:numId w:val="108"/>
        </w:numPr>
        <w:rPr>
          <w:rFonts w:ascii="Arial" w:cs="Arial" w:eastAsia="Arial" w:hAnsi="Arial"/>
          <w:sz w:val="21"/>
          <w:szCs w:val="21"/>
          <w:color w:val="auto"/>
        </w:rPr>
      </w:pPr>
      <w:r>
        <w:rPr>
          <w:rFonts w:ascii="Arial" w:cs="Arial" w:eastAsia="Arial" w:hAnsi="Arial"/>
          <w:sz w:val="21"/>
          <w:szCs w:val="21"/>
          <w:i w:val="1"/>
          <w:iCs w:val="1"/>
          <w:color w:val="auto"/>
        </w:rPr>
        <w:t>CUSIP and ISIN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Company has caused CUSIP and ISIN numbers to be printed on this Note and has directed the Trustee to use CUSIP and ISIN numbers in notices of repurchase as a convenience to Holders. No representation is made as to the accuracy of such numbers either as printed on this Note or as contained in any notice of repurchase, and reliance may be placed only on the other identification numbers placed thereon.</w:t>
      </w:r>
    </w:p>
    <w:p>
      <w:pPr>
        <w:spacing w:after="0" w:line="121" w:lineRule="exact"/>
        <w:rPr>
          <w:rFonts w:ascii="Arial" w:cs="Arial" w:eastAsia="Arial" w:hAnsi="Arial"/>
          <w:sz w:val="21"/>
          <w:szCs w:val="21"/>
          <w:color w:val="auto"/>
        </w:rPr>
      </w:pPr>
    </w:p>
    <w:p>
      <w:pPr>
        <w:jc w:val="both"/>
        <w:ind w:right="580" w:firstLine="656"/>
        <w:spacing w:after="0" w:line="253" w:lineRule="auto"/>
        <w:tabs>
          <w:tab w:leader="none" w:pos="1134"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Copies</w:t>
      </w:r>
      <w:r>
        <w:rPr>
          <w:rFonts w:ascii="Arial" w:cs="Arial" w:eastAsia="Arial" w:hAnsi="Arial"/>
          <w:sz w:val="22"/>
          <w:szCs w:val="22"/>
          <w:color w:val="auto"/>
        </w:rPr>
        <w:t>. The Company will furnish to any Holder upon written request and without charge a copy of the Base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and a copy of the Supplemental Indenture. Requests may be made to: GXO Logistics, Inc., Two American Lane, Greenwich, CT 06831, Attention: Baris Oran.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200"/>
          </w:cols>
          <w:pgMar w:left="320" w:top="1427" w:right="379" w:bottom="1440" w:gutter="0" w:footer="0" w:header="0"/>
        </w:sectPr>
      </w:pPr>
    </w:p>
    <w:bookmarkStart w:id="146" w:name="page147"/>
    <w:bookmarkEnd w:id="146"/>
    <w:p>
      <w:pPr>
        <w:ind w:left="4920"/>
        <w:spacing w:after="0"/>
        <w:rPr>
          <w:sz w:val="20"/>
          <w:szCs w:val="20"/>
          <w:color w:val="auto"/>
        </w:rPr>
      </w:pPr>
      <w:r>
        <w:rPr>
          <w:rFonts w:ascii="Arial" w:cs="Arial" w:eastAsia="Arial" w:hAnsi="Arial"/>
          <w:sz w:val="22"/>
          <w:szCs w:val="22"/>
          <w:color w:val="auto"/>
        </w:rPr>
        <w:t>ASSIGNMENT FORM</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298450</wp:posOffset>
            </wp:positionV>
            <wp:extent cx="4791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920" w:type="dxa"/>
            <w:vAlign w:val="bottom"/>
            <w:gridSpan w:val="8"/>
          </w:tcPr>
          <w:p>
            <w:pPr>
              <w:jc w:val="center"/>
              <w:ind w:right="2300"/>
              <w:spacing w:after="0"/>
              <w:rPr>
                <w:sz w:val="20"/>
                <w:szCs w:val="20"/>
                <w:color w:val="auto"/>
              </w:rPr>
            </w:pPr>
            <w:r>
              <w:rPr>
                <w:rFonts w:ascii="Arial" w:cs="Arial" w:eastAsia="Arial" w:hAnsi="Arial"/>
                <w:sz w:val="22"/>
                <w:szCs w:val="22"/>
                <w:color w:val="auto"/>
                <w:w w:val="87"/>
              </w:rPr>
              <w:t>(Print or type assignee’s name, address and zip code)</w:t>
            </w:r>
          </w:p>
        </w:tc>
      </w:tr>
      <w:tr>
        <w:trPr>
          <w:trHeight w:val="449"/>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r>
        <w:trPr>
          <w:trHeight w:val="287"/>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80" w:type="dxa"/>
            <w:vAlign w:val="bottom"/>
            <w:gridSpan w:val="7"/>
          </w:tcPr>
          <w:p>
            <w:pPr>
              <w:jc w:val="center"/>
              <w:ind w:right="3340"/>
              <w:spacing w:after="0"/>
              <w:rPr>
                <w:sz w:val="20"/>
                <w:szCs w:val="20"/>
                <w:color w:val="auto"/>
              </w:rPr>
            </w:pPr>
            <w:r>
              <w:rPr>
                <w:rFonts w:ascii="Arial" w:cs="Arial" w:eastAsia="Arial" w:hAnsi="Arial"/>
                <w:sz w:val="22"/>
                <w:szCs w:val="22"/>
                <w:color w:val="auto"/>
                <w:w w:val="88"/>
              </w:rPr>
              <w:t>(Insert assignee’s soc. sec. or tax I.D. No.)</w:t>
            </w:r>
          </w:p>
        </w:tc>
      </w:tr>
      <w:tr>
        <w:trPr>
          <w:trHeight w:val="522"/>
        </w:trPr>
        <w:tc>
          <w:tcPr>
            <w:tcW w:w="2320" w:type="dxa"/>
            <w:vAlign w:val="bottom"/>
            <w:gridSpan w:val="4"/>
          </w:tcPr>
          <w:p>
            <w:pPr>
              <w:spacing w:after="0"/>
              <w:rPr>
                <w:sz w:val="20"/>
                <w:szCs w:val="20"/>
                <w:color w:val="auto"/>
              </w:rPr>
            </w:pPr>
            <w:r>
              <w:rPr>
                <w:rFonts w:ascii="Arial" w:cs="Arial" w:eastAsia="Arial" w:hAnsi="Arial"/>
                <w:sz w:val="22"/>
                <w:szCs w:val="22"/>
                <w:color w:val="auto"/>
              </w:rPr>
              <w:t>and irrevocably appoint</w:t>
            </w:r>
          </w:p>
        </w:tc>
        <w:tc>
          <w:tcPr>
            <w:tcW w:w="8920" w:type="dxa"/>
            <w:vAlign w:val="bottom"/>
            <w:gridSpan w:val="8"/>
          </w:tcPr>
          <w:p>
            <w:pPr>
              <w:ind w:left="280"/>
              <w:spacing w:after="0"/>
              <w:rPr>
                <w:sz w:val="20"/>
                <w:szCs w:val="20"/>
                <w:color w:val="auto"/>
              </w:rPr>
            </w:pPr>
            <w:r>
              <w:rPr>
                <w:rFonts w:ascii="Arial" w:cs="Arial" w:eastAsia="Arial" w:hAnsi="Arial"/>
                <w:sz w:val="22"/>
                <w:szCs w:val="22"/>
                <w:color w:val="auto"/>
                <w:w w:val="91"/>
              </w:rPr>
              <w:t>agent to transfer this Note on the books of the Company. The agent may substitute another to act</w:t>
            </w:r>
          </w:p>
        </w:tc>
      </w:tr>
      <w:tr>
        <w:trPr>
          <w:trHeight w:val="274"/>
        </w:trPr>
        <w:tc>
          <w:tcPr>
            <w:tcW w:w="2320" w:type="dxa"/>
            <w:vAlign w:val="bottom"/>
            <w:gridSpan w:val="4"/>
          </w:tcPr>
          <w:p>
            <w:pPr>
              <w:spacing w:after="0"/>
              <w:rPr>
                <w:sz w:val="20"/>
                <w:szCs w:val="20"/>
                <w:color w:val="auto"/>
              </w:rPr>
            </w:pPr>
            <w:r>
              <w:rPr>
                <w:rFonts w:ascii="Arial" w:cs="Arial" w:eastAsia="Arial" w:hAnsi="Arial"/>
                <w:sz w:val="22"/>
                <w:szCs w:val="22"/>
                <w:color w:val="auto"/>
              </w:rPr>
              <w:t>for him.</w:t>
            </w:r>
          </w:p>
        </w:tc>
        <w:tc>
          <w:tcPr>
            <w:tcW w:w="10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483"/>
        </w:trPr>
        <w:tc>
          <w:tcPr>
            <w:tcW w:w="2320" w:type="dxa"/>
            <w:vAlign w:val="bottom"/>
            <w:gridSpan w:val="4"/>
          </w:tcPr>
          <w:p>
            <w:pPr>
              <w:ind w:left="20"/>
              <w:spacing w:after="0"/>
              <w:rPr>
                <w:sz w:val="20"/>
                <w:szCs w:val="20"/>
                <w:color w:val="auto"/>
              </w:rPr>
            </w:pPr>
            <w:r>
              <w:rPr>
                <w:rFonts w:ascii="Arial" w:cs="Arial" w:eastAsia="Arial" w:hAnsi="Arial"/>
                <w:sz w:val="22"/>
                <w:szCs w:val="22"/>
                <w:color w:val="auto"/>
              </w:rPr>
              <w:t>Date:</w:t>
            </w: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80" w:type="dxa"/>
            <w:vAlign w:val="bottom"/>
            <w:gridSpan w:val="6"/>
          </w:tcPr>
          <w:p>
            <w:pPr>
              <w:ind w:left="40"/>
              <w:spacing w:after="0"/>
              <w:rPr>
                <w:sz w:val="20"/>
                <w:szCs w:val="20"/>
                <w:color w:val="auto"/>
              </w:rPr>
            </w:pPr>
            <w:r>
              <w:rPr>
                <w:rFonts w:ascii="Arial" w:cs="Arial" w:eastAsia="Arial" w:hAnsi="Arial"/>
                <w:sz w:val="22"/>
                <w:szCs w:val="22"/>
                <w:color w:val="auto"/>
              </w:rPr>
              <w:t>Your Signature:</w:t>
            </w:r>
          </w:p>
        </w:tc>
      </w:tr>
      <w:tr>
        <w:trPr>
          <w:trHeight w:val="418"/>
        </w:trPr>
        <w:tc>
          <w:tcPr>
            <w:tcW w:w="7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87"/>
        </w:trPr>
        <w:tc>
          <w:tcPr>
            <w:tcW w:w="11240" w:type="dxa"/>
            <w:vAlign w:val="bottom"/>
            <w:gridSpan w:val="12"/>
          </w:tcPr>
          <w:p>
            <w:pPr>
              <w:ind w:left="20"/>
              <w:spacing w:after="0"/>
              <w:rPr>
                <w:sz w:val="20"/>
                <w:szCs w:val="20"/>
                <w:color w:val="auto"/>
              </w:rPr>
            </w:pPr>
            <w:r>
              <w:rPr>
                <w:rFonts w:ascii="Arial" w:cs="Arial" w:eastAsia="Arial" w:hAnsi="Arial"/>
                <w:sz w:val="22"/>
                <w:szCs w:val="22"/>
                <w:color w:val="auto"/>
              </w:rPr>
              <w:t>Sign exactly as your name appears on the other side of this Note.</w:t>
            </w:r>
          </w:p>
        </w:tc>
      </w:tr>
      <w:tr>
        <w:trPr>
          <w:trHeight w:val="581"/>
        </w:trPr>
        <w:tc>
          <w:tcPr>
            <w:tcW w:w="2320" w:type="dxa"/>
            <w:vAlign w:val="bottom"/>
            <w:gridSpan w:val="4"/>
          </w:tcPr>
          <w:p>
            <w:pPr>
              <w:ind w:left="20"/>
              <w:spacing w:after="0"/>
              <w:rPr>
                <w:sz w:val="20"/>
                <w:szCs w:val="20"/>
                <w:color w:val="auto"/>
              </w:rPr>
            </w:pPr>
            <w:r>
              <w:rPr>
                <w:rFonts w:ascii="Arial" w:cs="Arial" w:eastAsia="Arial" w:hAnsi="Arial"/>
                <w:sz w:val="22"/>
                <w:szCs w:val="22"/>
                <w:color w:val="auto"/>
              </w:rPr>
              <w:t>Signature Guarantee:</w:t>
            </w: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18"/>
        </w:trPr>
        <w:tc>
          <w:tcPr>
            <w:tcW w:w="960" w:type="dxa"/>
            <w:vAlign w:val="bottom"/>
            <w:gridSpan w:val="2"/>
          </w:tcPr>
          <w:p>
            <w:pPr>
              <w:ind w:left="200"/>
              <w:spacing w:after="0"/>
              <w:rPr>
                <w:sz w:val="20"/>
                <w:szCs w:val="20"/>
                <w:color w:val="auto"/>
              </w:rPr>
            </w:pPr>
            <w:r>
              <w:rPr>
                <w:rFonts w:ascii="Arial" w:cs="Arial" w:eastAsia="Arial" w:hAnsi="Arial"/>
                <w:sz w:val="22"/>
                <w:szCs w:val="22"/>
                <w:color w:val="auto"/>
              </w:rPr>
              <w:t>Date:</w:t>
            </w:r>
          </w:p>
        </w:tc>
        <w:tc>
          <w:tcPr>
            <w:tcW w:w="136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62"/>
        </w:trPr>
        <w:tc>
          <w:tcPr>
            <w:tcW w:w="5560" w:type="dxa"/>
            <w:vAlign w:val="bottom"/>
            <w:gridSpan w:val="6"/>
          </w:tcPr>
          <w:p>
            <w:pPr>
              <w:ind w:left="200"/>
              <w:spacing w:after="0"/>
              <w:rPr>
                <w:sz w:val="20"/>
                <w:szCs w:val="20"/>
                <w:color w:val="auto"/>
              </w:rPr>
            </w:pPr>
            <w:r>
              <w:rPr>
                <w:rFonts w:ascii="Arial" w:cs="Arial" w:eastAsia="Arial" w:hAnsi="Arial"/>
                <w:sz w:val="22"/>
                <w:szCs w:val="22"/>
                <w:color w:val="auto"/>
                <w:w w:val="88"/>
              </w:rPr>
              <w:t>Signature must be guaranteed by a participant in a recognized</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320" w:type="dxa"/>
            <w:vAlign w:val="bottom"/>
            <w:gridSpan w:val="4"/>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57"/>
        </w:trPr>
        <w:tc>
          <w:tcPr>
            <w:tcW w:w="5560" w:type="dxa"/>
            <w:vAlign w:val="bottom"/>
            <w:gridSpan w:val="6"/>
          </w:tcPr>
          <w:p>
            <w:pPr>
              <w:ind w:left="200"/>
              <w:spacing w:after="0"/>
              <w:rPr>
                <w:sz w:val="20"/>
                <w:szCs w:val="20"/>
                <w:color w:val="auto"/>
              </w:rPr>
            </w:pPr>
            <w:r>
              <w:rPr>
                <w:rFonts w:ascii="Arial" w:cs="Arial" w:eastAsia="Arial" w:hAnsi="Arial"/>
                <w:sz w:val="22"/>
                <w:szCs w:val="22"/>
                <w:color w:val="auto"/>
                <w:w w:val="97"/>
              </w:rPr>
              <w:t>signature guaranty medallion program or other signature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4"/>
        </w:trPr>
        <w:tc>
          <w:tcPr>
            <w:tcW w:w="5560" w:type="dxa"/>
            <w:vAlign w:val="bottom"/>
            <w:gridSpan w:val="6"/>
          </w:tcPr>
          <w:p>
            <w:pPr>
              <w:ind w:left="200"/>
              <w:spacing w:after="0"/>
              <w:rPr>
                <w:sz w:val="20"/>
                <w:szCs w:val="20"/>
                <w:color w:val="auto"/>
              </w:rPr>
            </w:pPr>
            <w:r>
              <w:rPr>
                <w:rFonts w:ascii="Arial" w:cs="Arial" w:eastAsia="Arial" w:hAnsi="Arial"/>
                <w:sz w:val="22"/>
                <w:szCs w:val="22"/>
                <w:color w:val="auto"/>
                <w:w w:val="97"/>
              </w:rPr>
              <w:t>guarantor program reasonably acceptable to the Trustee</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1240"/>
          </w:cols>
          <w:pgMar w:left="320" w:top="1427" w:right="339" w:bottom="1440" w:gutter="0" w:footer="0" w:header="0"/>
        </w:sectPr>
      </w:pPr>
    </w:p>
    <w:bookmarkStart w:id="147" w:name="page148"/>
    <w:bookmarkEnd w:id="147"/>
    <w:p>
      <w:pPr>
        <w:jc w:val="center"/>
        <w:ind w:right="20"/>
        <w:spacing w:after="0"/>
        <w:rPr>
          <w:sz w:val="20"/>
          <w:szCs w:val="20"/>
          <w:color w:val="auto"/>
        </w:rPr>
      </w:pPr>
      <w:r>
        <w:rPr>
          <w:rFonts w:ascii="Arial" w:cs="Arial" w:eastAsia="Arial" w:hAnsi="Arial"/>
          <w:sz w:val="22"/>
          <w:szCs w:val="22"/>
          <w:color w:val="auto"/>
        </w:rPr>
        <w:t>CERTIFICATE TO BE DELIVERED UPON EXCHANGE OR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REGISTRATION OF TRANSFER RESTRICTED NOTE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Attn: DAPS Reorg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 N9300-070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600 South 4th Street, 7th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Minneapolis, MN 55415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No.: (877) 872-4605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(866) 969-1290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DAPSReorg@wellsfargo.com</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relates to $ ____________ principal amount of Notes held in (check applicable space) __________ book-entry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 definitive form by the undersigned.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(check one box below):</w:t>
      </w:r>
    </w:p>
    <w:p>
      <w:pPr>
        <w:spacing w:after="0" w:line="166" w:lineRule="exact"/>
        <w:rPr>
          <w:sz w:val="20"/>
          <w:szCs w:val="20"/>
          <w:color w:val="auto"/>
        </w:rPr>
      </w:pPr>
    </w:p>
    <w:p>
      <w:pPr>
        <w:ind w:left="1140" w:right="720" w:hanging="693"/>
        <w:spacing w:after="0" w:line="250" w:lineRule="auto"/>
        <w:tabs>
          <w:tab w:leader="none" w:pos="1140" w:val="left"/>
        </w:tabs>
        <w:numPr>
          <w:ilvl w:val="0"/>
          <w:numId w:val="109"/>
        </w:numPr>
        <w:rPr>
          <w:rFonts w:ascii="MS PGothic" w:cs="MS PGothic" w:eastAsia="MS PGothic" w:hAnsi="MS PGothic"/>
          <w:sz w:val="22"/>
          <w:szCs w:val="22"/>
          <w:color w:val="auto"/>
        </w:rPr>
      </w:pPr>
      <w:r>
        <w:rPr>
          <w:rFonts w:ascii="Arial" w:cs="Arial" w:eastAsia="Arial" w:hAnsi="Arial"/>
          <w:sz w:val="22"/>
          <w:szCs w:val="22"/>
          <w:color w:val="auto"/>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p>
      <w:pPr>
        <w:spacing w:after="0" w:line="187" w:lineRule="exact"/>
        <w:rPr>
          <w:rFonts w:ascii="MS PGothic" w:cs="MS PGothic" w:eastAsia="MS PGothic" w:hAnsi="MS PGothic"/>
          <w:sz w:val="22"/>
          <w:szCs w:val="22"/>
          <w:color w:val="auto"/>
        </w:rPr>
      </w:pPr>
    </w:p>
    <w:p>
      <w:pPr>
        <w:ind w:left="1140" w:hanging="693"/>
        <w:spacing w:after="0"/>
        <w:tabs>
          <w:tab w:leader="none" w:pos="1140" w:val="left"/>
        </w:tabs>
        <w:numPr>
          <w:ilvl w:val="0"/>
          <w:numId w:val="109"/>
        </w:numPr>
        <w:rPr>
          <w:rFonts w:ascii="MS PGothic" w:cs="MS PGothic" w:eastAsia="MS PGothic" w:hAnsi="MS PGothic"/>
          <w:sz w:val="22"/>
          <w:szCs w:val="22"/>
          <w:color w:val="auto"/>
        </w:rPr>
      </w:pPr>
      <w:r>
        <w:rPr>
          <w:rFonts w:ascii="Arial" w:cs="Arial" w:eastAsia="Arial" w:hAnsi="Arial"/>
          <w:sz w:val="22"/>
          <w:szCs w:val="22"/>
          <w:color w:val="auto"/>
        </w:rPr>
        <w:t>has requested the Trustee by written order to exchange or register the transfer of a Note or Notes.</w:t>
      </w:r>
    </w:p>
    <w:p>
      <w:pPr>
        <w:spacing w:after="0" w:line="233"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In connection with any transfer of any of the Notes evidenced by this certificate occurring while this Note is still a Transfer Restricted Definitive Note or a Transfer Restricted Global Note, the undersigned confirms that such Notes are being transferred in accordance with its terms: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CHECK ONE BOX BELOW</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620" w:type="dxa"/>
            <w:vAlign w:val="bottom"/>
            <w:tcBorders>
              <w:top w:val="single" w:sz="8" w:color="auto"/>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(1)</w:t>
            </w:r>
          </w:p>
        </w:tc>
        <w:tc>
          <w:tcPr>
            <w:tcW w:w="600" w:type="dxa"/>
            <w:vAlign w:val="bottom"/>
            <w:tcBorders>
              <w:top w:val="single" w:sz="8" w:color="auto"/>
              <w:bottom w:val="single" w:sz="8" w:color="auto"/>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00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to the Company; or</w:t>
            </w:r>
          </w:p>
        </w:tc>
      </w:tr>
      <w:tr>
        <w:trPr>
          <w:trHeight w:val="304"/>
        </w:trPr>
        <w:tc>
          <w:tcPr>
            <w:tcW w:w="62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(2)</w:t>
            </w:r>
          </w:p>
        </w:tc>
        <w:tc>
          <w:tcPr>
            <w:tcW w:w="600" w:type="dxa"/>
            <w:vAlign w:val="bottom"/>
            <w:tcBorders>
              <w:bottom w:val="single" w:sz="8" w:color="auto"/>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0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to the Registrar for registration in the name of the holder, without transfer; or</w:t>
            </w:r>
          </w:p>
        </w:tc>
      </w:tr>
      <w:tr>
        <w:trPr>
          <w:trHeight w:val="304"/>
        </w:trPr>
        <w:tc>
          <w:tcPr>
            <w:tcW w:w="62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(3)</w:t>
            </w:r>
          </w:p>
        </w:tc>
        <w:tc>
          <w:tcPr>
            <w:tcW w:w="600" w:type="dxa"/>
            <w:vAlign w:val="bottom"/>
            <w:tcBorders>
              <w:bottom w:val="single" w:sz="8" w:color="auto"/>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0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pursuant to an effective registration statement under the Securities Act; or</w:t>
            </w:r>
          </w:p>
        </w:tc>
      </w:tr>
      <w:tr>
        <w:trPr>
          <w:trHeight w:val="269"/>
        </w:trPr>
        <w:tc>
          <w:tcPr>
            <w:tcW w:w="620" w:type="dxa"/>
            <w:vAlign w:val="bottom"/>
            <w:tcBorders>
              <w:left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(4)</w:t>
            </w:r>
          </w:p>
        </w:tc>
        <w:tc>
          <w:tcPr>
            <w:tcW w:w="600" w:type="dxa"/>
            <w:vAlign w:val="bottom"/>
            <w:tcBorders>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89"/>
              </w:rPr>
              <w:t>to a person reasonably believed to be a “qualified institutional buyer” (as defined in Rule 144A under the Securities</w:t>
            </w:r>
          </w:p>
        </w:tc>
      </w:tr>
      <w:tr>
        <w:trPr>
          <w:trHeight w:val="257"/>
        </w:trPr>
        <w:tc>
          <w:tcPr>
            <w:tcW w:w="620" w:type="dxa"/>
            <w:vAlign w:val="bottom"/>
            <w:tcBorders>
              <w:left w:val="single" w:sz="8" w:color="auto"/>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Act) that purchases for its own account or for the account of a qualified institutional buyer to whom notice is given</w:t>
            </w:r>
          </w:p>
        </w:tc>
      </w:tr>
      <w:tr>
        <w:trPr>
          <w:trHeight w:val="256"/>
        </w:trPr>
        <w:tc>
          <w:tcPr>
            <w:tcW w:w="620" w:type="dxa"/>
            <w:vAlign w:val="bottom"/>
            <w:tcBorders>
              <w:left w:val="single" w:sz="8" w:color="auto"/>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1"/>
              </w:rPr>
              <w:t>that such transfer is being made in reliance on Rule 144A, in each case pursuant to and in compliance with Rule</w:t>
            </w:r>
          </w:p>
        </w:tc>
      </w:tr>
      <w:tr>
        <w:trPr>
          <w:trHeight w:val="285"/>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144A under the Securities Act; or</w:t>
            </w:r>
          </w:p>
        </w:tc>
      </w:tr>
      <w:tr>
        <w:trPr>
          <w:trHeight w:val="276"/>
        </w:trPr>
        <w:tc>
          <w:tcPr>
            <w:tcW w:w="620" w:type="dxa"/>
            <w:vAlign w:val="bottom"/>
            <w:tcBorders>
              <w:left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(5)</w:t>
            </w:r>
          </w:p>
        </w:tc>
        <w:tc>
          <w:tcPr>
            <w:tcW w:w="600" w:type="dxa"/>
            <w:vAlign w:val="bottom"/>
            <w:tcBorders>
              <w:right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89"/>
              </w:rPr>
              <w:t>to a non-U.S. person outside the United States in an offshore transaction within the meaning of Regulation S under</w:t>
            </w:r>
          </w:p>
        </w:tc>
      </w:tr>
      <w:tr>
        <w:trPr>
          <w:trHeight w:val="257"/>
        </w:trPr>
        <w:tc>
          <w:tcPr>
            <w:tcW w:w="620" w:type="dxa"/>
            <w:vAlign w:val="bottom"/>
            <w:tcBorders>
              <w:left w:val="single" w:sz="8" w:color="auto"/>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6"/>
              </w:rPr>
              <w:t>the Securities Act in compliance with Rule 903 or 904 under the Securities Act and such Note shall be held</w:t>
            </w:r>
          </w:p>
        </w:tc>
      </w:tr>
      <w:tr>
        <w:trPr>
          <w:trHeight w:val="256"/>
        </w:trPr>
        <w:tc>
          <w:tcPr>
            <w:tcW w:w="620" w:type="dxa"/>
            <w:vAlign w:val="bottom"/>
            <w:tcBorders>
              <w:left w:val="single" w:sz="8" w:color="auto"/>
              <w:right w:val="single" w:sz="8" w:color="auto"/>
            </w:tcBorders>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10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immediately after the transfer through Euroclear, Clearstream or their respective participants until the expiration of</w:t>
            </w:r>
          </w:p>
        </w:tc>
      </w:tr>
      <w:tr>
        <w:trPr>
          <w:trHeight w:val="285"/>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the Restricted Period (as defined in the Indenture); or</w:t>
            </w:r>
          </w:p>
        </w:tc>
      </w:tr>
      <w:tr>
        <w:trPr>
          <w:trHeight w:val="304"/>
        </w:trPr>
        <w:tc>
          <w:tcPr>
            <w:tcW w:w="620" w:type="dxa"/>
            <w:vAlign w:val="bottom"/>
            <w:tcBorders>
              <w:left w:val="single" w:sz="8" w:color="auto"/>
              <w:bottom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(6)</w:t>
            </w:r>
          </w:p>
        </w:tc>
        <w:tc>
          <w:tcPr>
            <w:tcW w:w="60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w w:val="98"/>
              </w:rPr>
              <w:t>pursuant to another available exemption from registration provided by Rule 144 under the Securities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260"/>
          </w:cols>
          <w:pgMar w:left="320" w:top="1427" w:right="319" w:bottom="1440" w:gutter="0" w:footer="0" w:header="0"/>
        </w:sectPr>
      </w:pPr>
    </w:p>
    <w:bookmarkStart w:id="148" w:name="page149"/>
    <w:bookmarkEnd w:id="148"/>
    <w:p>
      <w:pPr>
        <w:ind w:right="80" w:firstLine="648"/>
        <w:spacing w:after="0" w:line="297" w:lineRule="auto"/>
        <w:rPr>
          <w:sz w:val="20"/>
          <w:szCs w:val="20"/>
          <w:color w:val="auto"/>
        </w:rPr>
      </w:pPr>
      <w:r>
        <w:rPr>
          <w:rFonts w:ascii="Arial" w:cs="Arial" w:eastAsia="Arial" w:hAnsi="Arial"/>
          <w:sz w:val="19"/>
          <w:szCs w:val="19"/>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box (5) or (6) is checked, the Company or the Trustee may require, prior to registering any such transfer of the Notes, such legal opinions, certifications and other information as the Company or the Trustee have reasonably requested to confirm that such transfer is being made pursuant to an exemption from, or in a transaction not subject to, the registration requirements of the Securities Act.</w:t>
      </w:r>
    </w:p>
    <w:p>
      <w:pPr>
        <w:spacing w:after="0" w:line="14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5572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24130</wp:posOffset>
            </wp:positionV>
            <wp:extent cx="2168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24130</wp:posOffset>
            </wp:positionV>
            <wp:extent cx="1637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900" w:type="dxa"/>
            <w:vAlign w:val="bottom"/>
            <w:gridSpan w:val="3"/>
          </w:tcPr>
          <w:p>
            <w:pPr>
              <w:spacing w:after="0"/>
              <w:rPr>
                <w:sz w:val="20"/>
                <w:szCs w:val="20"/>
                <w:color w:val="auto"/>
              </w:rPr>
            </w:pPr>
            <w:r>
              <w:rPr>
                <w:rFonts w:ascii="Arial" w:cs="Arial" w:eastAsia="Arial" w:hAnsi="Arial"/>
                <w:sz w:val="22"/>
                <w:szCs w:val="22"/>
                <w:color w:val="auto"/>
                <w:w w:val="92"/>
              </w:rPr>
              <w:t>Sign exactly as your name appears on the other side of this Note.</w:t>
            </w:r>
          </w:p>
        </w:tc>
        <w:tc>
          <w:tcPr>
            <w:tcW w:w="5320" w:type="dxa"/>
            <w:vAlign w:val="bottom"/>
          </w:tcPr>
          <w:p>
            <w:pPr>
              <w:spacing w:after="0"/>
              <w:rPr>
                <w:sz w:val="23"/>
                <w:szCs w:val="23"/>
                <w:color w:val="auto"/>
              </w:rPr>
            </w:pPr>
          </w:p>
        </w:tc>
      </w:tr>
      <w:tr>
        <w:trPr>
          <w:trHeight w:val="594"/>
        </w:trPr>
        <w:tc>
          <w:tcPr>
            <w:tcW w:w="5900" w:type="dxa"/>
            <w:vAlign w:val="bottom"/>
            <w:gridSpan w:val="3"/>
          </w:tcPr>
          <w:p>
            <w:pPr>
              <w:spacing w:after="0"/>
              <w:rPr>
                <w:sz w:val="20"/>
                <w:szCs w:val="20"/>
                <w:color w:val="auto"/>
              </w:rPr>
            </w:pPr>
            <w:r>
              <w:rPr>
                <w:rFonts w:ascii="Arial" w:cs="Arial" w:eastAsia="Arial" w:hAnsi="Arial"/>
                <w:sz w:val="22"/>
                <w:szCs w:val="22"/>
                <w:color w:val="auto"/>
              </w:rPr>
              <w:t>Signature Guarantee:</w:t>
            </w:r>
          </w:p>
        </w:tc>
        <w:tc>
          <w:tcPr>
            <w:tcW w:w="5320" w:type="dxa"/>
            <w:vAlign w:val="bottom"/>
          </w:tcPr>
          <w:p>
            <w:pPr>
              <w:spacing w:after="0"/>
              <w:rPr>
                <w:sz w:val="24"/>
                <w:szCs w:val="24"/>
                <w:color w:val="auto"/>
              </w:rPr>
            </w:pPr>
          </w:p>
        </w:tc>
      </w:tr>
      <w:tr>
        <w:trPr>
          <w:trHeight w:val="618"/>
        </w:trPr>
        <w:tc>
          <w:tcPr>
            <w:tcW w:w="940" w:type="dxa"/>
            <w:vAlign w:val="bottom"/>
          </w:tcPr>
          <w:p>
            <w:pPr>
              <w:ind w:left="180"/>
              <w:spacing w:after="0"/>
              <w:rPr>
                <w:sz w:val="20"/>
                <w:szCs w:val="20"/>
                <w:color w:val="auto"/>
              </w:rPr>
            </w:pPr>
            <w:r>
              <w:rPr>
                <w:rFonts w:ascii="Arial" w:cs="Arial" w:eastAsia="Arial" w:hAnsi="Arial"/>
                <w:sz w:val="22"/>
                <w:szCs w:val="22"/>
                <w:color w:val="auto"/>
              </w:rPr>
              <w:t>Date:</w:t>
            </w:r>
          </w:p>
        </w:tc>
        <w:tc>
          <w:tcPr>
            <w:tcW w:w="4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62"/>
        </w:trPr>
        <w:tc>
          <w:tcPr>
            <w:tcW w:w="5900" w:type="dxa"/>
            <w:vAlign w:val="bottom"/>
            <w:gridSpan w:val="3"/>
          </w:tcPr>
          <w:p>
            <w:pPr>
              <w:ind w:left="180"/>
              <w:spacing w:after="0"/>
              <w:rPr>
                <w:sz w:val="20"/>
                <w:szCs w:val="20"/>
                <w:color w:val="auto"/>
              </w:rPr>
            </w:pPr>
            <w:r>
              <w:rPr>
                <w:rFonts w:ascii="Arial" w:cs="Arial" w:eastAsia="Arial" w:hAnsi="Arial"/>
                <w:sz w:val="22"/>
                <w:szCs w:val="22"/>
                <w:color w:val="auto"/>
                <w:w w:val="93"/>
              </w:rPr>
              <w:t>Signature must be guaranteed by a participant in a recognized</w:t>
            </w:r>
          </w:p>
        </w:tc>
        <w:tc>
          <w:tcPr>
            <w:tcW w:w="5320" w:type="dxa"/>
            <w:vAlign w:val="bottom"/>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57"/>
        </w:trPr>
        <w:tc>
          <w:tcPr>
            <w:tcW w:w="5900" w:type="dxa"/>
            <w:vAlign w:val="bottom"/>
            <w:gridSpan w:val="3"/>
          </w:tcPr>
          <w:p>
            <w:pPr>
              <w:ind w:left="180"/>
              <w:spacing w:after="0"/>
              <w:rPr>
                <w:sz w:val="20"/>
                <w:szCs w:val="20"/>
                <w:color w:val="auto"/>
              </w:rPr>
            </w:pPr>
            <w:r>
              <w:rPr>
                <w:rFonts w:ascii="Arial" w:cs="Arial" w:eastAsia="Arial" w:hAnsi="Arial"/>
                <w:sz w:val="22"/>
                <w:szCs w:val="22"/>
                <w:color w:val="auto"/>
              </w:rPr>
              <w:t>signature guaranty medallion program or other signature</w:t>
            </w:r>
          </w:p>
        </w:tc>
        <w:tc>
          <w:tcPr>
            <w:tcW w:w="5320" w:type="dxa"/>
            <w:vAlign w:val="bottom"/>
          </w:tcPr>
          <w:p>
            <w:pPr>
              <w:spacing w:after="0"/>
              <w:rPr>
                <w:sz w:val="22"/>
                <w:szCs w:val="22"/>
                <w:color w:val="auto"/>
              </w:rPr>
            </w:pPr>
          </w:p>
        </w:tc>
      </w:tr>
      <w:tr>
        <w:trPr>
          <w:trHeight w:val="274"/>
        </w:trPr>
        <w:tc>
          <w:tcPr>
            <w:tcW w:w="5900" w:type="dxa"/>
            <w:vAlign w:val="bottom"/>
            <w:gridSpan w:val="3"/>
          </w:tcPr>
          <w:p>
            <w:pPr>
              <w:ind w:left="180"/>
              <w:spacing w:after="0"/>
              <w:rPr>
                <w:sz w:val="20"/>
                <w:szCs w:val="20"/>
                <w:color w:val="auto"/>
              </w:rPr>
            </w:pPr>
            <w:r>
              <w:rPr>
                <w:rFonts w:ascii="Arial" w:cs="Arial" w:eastAsia="Arial" w:hAnsi="Arial"/>
                <w:sz w:val="22"/>
                <w:szCs w:val="22"/>
                <w:color w:val="auto"/>
              </w:rPr>
              <w:t>guarantor program reasonably acceptable to the Trustee</w:t>
            </w:r>
          </w:p>
        </w:tc>
        <w:tc>
          <w:tcPr>
            <w:tcW w:w="53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240"/>
          </w:cols>
          <w:pgMar w:left="320" w:top="1427" w:right="339" w:bottom="1440" w:gutter="0" w:footer="0" w:header="0"/>
        </w:sectPr>
      </w:pPr>
    </w:p>
    <w:bookmarkStart w:id="149" w:name="page150"/>
    <w:bookmarkEnd w:id="149"/>
    <w:p>
      <w:pPr>
        <w:jc w:val="center"/>
        <w:ind w:right="-199"/>
        <w:spacing w:after="0"/>
        <w:rPr>
          <w:sz w:val="20"/>
          <w:szCs w:val="20"/>
          <w:color w:val="auto"/>
        </w:rPr>
      </w:pPr>
      <w:r>
        <w:rPr>
          <w:rFonts w:ascii="Arial" w:cs="Arial" w:eastAsia="Arial" w:hAnsi="Arial"/>
          <w:sz w:val="22"/>
          <w:szCs w:val="22"/>
          <w:color w:val="auto"/>
        </w:rPr>
        <w:t>TO BE COMPLETED BY PURCHASER IF (4) ABOVE IS CHECKED.</w:t>
      </w:r>
    </w:p>
    <w:p>
      <w:pPr>
        <w:spacing w:after="0" w:line="16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24130</wp:posOffset>
            </wp:positionV>
            <wp:extent cx="6566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NOTICE: To be executed by an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040"/>
          </w:cols>
          <w:pgMar w:left="320" w:top="1427" w:right="53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22"/>
          <w:szCs w:val="22"/>
          <w:color w:val="auto"/>
        </w:rPr>
        <w:t>[TO BE ATTACHED TO GLOBAL NOTES]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OF INCREASES OR DECREASES IN GLOBAL NOTE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initial principal amount of this Global Note is $____. The following increases or decreases in this Global Note have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been made: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180" w:type="dxa"/>
            <w:vAlign w:val="bottom"/>
            <w:tcBorders>
              <w:top w:val="single" w:sz="8" w:color="auto"/>
              <w:left w:val="single" w:sz="8" w:color="auto"/>
              <w:right w:val="single" w:sz="8" w:color="auto"/>
            </w:tcBorders>
          </w:tcPr>
          <w:p>
            <w:pPr>
              <w:spacing w:after="0"/>
              <w:rPr>
                <w:sz w:val="21"/>
                <w:szCs w:val="21"/>
                <w:color w:val="auto"/>
              </w:rPr>
            </w:pPr>
          </w:p>
        </w:tc>
        <w:tc>
          <w:tcPr>
            <w:tcW w:w="2380" w:type="dxa"/>
            <w:vAlign w:val="bottom"/>
            <w:tcBorders>
              <w:top w:val="single" w:sz="8" w:color="auto"/>
              <w:right w:val="single" w:sz="8" w:color="auto"/>
            </w:tcBorders>
          </w:tcPr>
          <w:p>
            <w:pPr>
              <w:spacing w:after="0"/>
              <w:rPr>
                <w:sz w:val="21"/>
                <w:szCs w:val="21"/>
                <w:color w:val="auto"/>
              </w:rPr>
            </w:pPr>
          </w:p>
        </w:tc>
        <w:tc>
          <w:tcPr>
            <w:tcW w:w="2440" w:type="dxa"/>
            <w:vAlign w:val="bottom"/>
            <w:tcBorders>
              <w:top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Principal amount</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Signature of</w:t>
            </w:r>
          </w:p>
        </w:tc>
      </w:tr>
      <w:tr>
        <w:trPr>
          <w:trHeight w:val="230"/>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Amount of</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Amount of increase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of this Global</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authorized</w:t>
            </w:r>
          </w:p>
        </w:tc>
      </w:tr>
      <w:tr>
        <w:trPr>
          <w:trHeight w:val="229"/>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decrease in</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in Principal</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Note following</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signatory of</w:t>
            </w:r>
          </w:p>
        </w:tc>
      </w:tr>
      <w:tr>
        <w:trPr>
          <w:trHeight w:val="229"/>
        </w:trPr>
        <w:tc>
          <w:tcPr>
            <w:tcW w:w="2180" w:type="dxa"/>
            <w:vAlign w:val="bottom"/>
            <w:tcBorders>
              <w:left w:val="single" w:sz="8" w:color="auto"/>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Principal Amount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Amount of this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such decrease or</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Trustee or Notes</w:t>
            </w:r>
          </w:p>
        </w:tc>
      </w:tr>
      <w:tr>
        <w:trPr>
          <w:trHeight w:val="256"/>
        </w:trPr>
        <w:tc>
          <w:tcPr>
            <w:tcW w:w="218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20"/>
                <w:szCs w:val="20"/>
                <w:b w:val="1"/>
                <w:bCs w:val="1"/>
                <w:color w:val="auto"/>
              </w:rPr>
              <w:t>Date of Exchange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of this Global Note</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Global Note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increase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Custodian</w:t>
            </w:r>
          </w:p>
        </w:tc>
      </w:tr>
      <w:tr>
        <w:trPr>
          <w:trHeight w:val="2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50"/>
        </w:trPr>
        <w:tc>
          <w:tcPr>
            <w:tcW w:w="2180" w:type="dxa"/>
            <w:vAlign w:val="bottom"/>
            <w:tcBorders>
              <w:left w:val="single" w:sz="8" w:color="auto"/>
              <w:bottom w:val="single" w:sz="8" w:color="auto"/>
              <w:right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260"/>
          </w:cols>
          <w:pgMar w:left="320" w:top="1427"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166" w:lineRule="exact"/>
        <w:rPr>
          <w:sz w:val="20"/>
          <w:szCs w:val="20"/>
          <w:color w:val="auto"/>
        </w:rPr>
      </w:pPr>
    </w:p>
    <w:p>
      <w:pPr>
        <w:ind w:right="120" w:firstLine="648"/>
        <w:spacing w:after="0" w:line="304" w:lineRule="auto"/>
        <w:rPr>
          <w:sz w:val="20"/>
          <w:szCs w:val="20"/>
          <w:color w:val="auto"/>
        </w:rPr>
      </w:pPr>
      <w:r>
        <w:rPr>
          <w:rFonts w:ascii="Arial" w:cs="Arial" w:eastAsia="Arial" w:hAnsi="Arial"/>
          <w:sz w:val="19"/>
          <w:szCs w:val="19"/>
          <w:color w:val="auto"/>
        </w:rPr>
        <w:t>This REGISTRATION RIGHTS AGREEMENT dated July 2, 2021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by and among GXO Logistics,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Barclays Capital Inc., Citigroup Global Markets Inc., Credit Agricole Securities (USA) Inc. and Goldman Sachs &amp; Co. LLC as representatives (collectively, the “</w:t>
      </w:r>
      <w:r>
        <w:rPr>
          <w:rFonts w:ascii="Arial" w:cs="Arial" w:eastAsia="Arial" w:hAnsi="Arial"/>
          <w:sz w:val="19"/>
          <w:szCs w:val="19"/>
          <w:b w:val="1"/>
          <w:bCs w:val="1"/>
          <w:color w:val="auto"/>
        </w:rPr>
        <w:t>Representatives</w:t>
      </w:r>
      <w:r>
        <w:rPr>
          <w:rFonts w:ascii="Arial" w:cs="Arial" w:eastAsia="Arial" w:hAnsi="Arial"/>
          <w:sz w:val="19"/>
          <w:szCs w:val="19"/>
          <w:color w:val="auto"/>
        </w:rPr>
        <w:t>”) of the initial purchasers listed in Schedule A to the Purchase Agreement (as defined below) (the “</w:t>
      </w:r>
      <w:r>
        <w:rPr>
          <w:rFonts w:ascii="Arial" w:cs="Arial" w:eastAsia="Arial" w:hAnsi="Arial"/>
          <w:sz w:val="19"/>
          <w:szCs w:val="19"/>
          <w:b w:val="1"/>
          <w:bCs w:val="1"/>
          <w:color w:val="auto"/>
        </w:rPr>
        <w:t>Initial Purchasers</w:t>
      </w:r>
      <w:r>
        <w:rPr>
          <w:rFonts w:ascii="Arial" w:cs="Arial" w:eastAsia="Arial" w:hAnsi="Arial"/>
          <w:sz w:val="19"/>
          <w:szCs w:val="19"/>
          <w:color w:val="auto"/>
        </w:rPr>
        <w:t>”).</w:t>
      </w:r>
    </w:p>
    <w:p>
      <w:pPr>
        <w:spacing w:after="0" w:line="81" w:lineRule="exact"/>
        <w:rPr>
          <w:sz w:val="20"/>
          <w:szCs w:val="20"/>
          <w:color w:val="auto"/>
        </w:rPr>
      </w:pPr>
    </w:p>
    <w:p>
      <w:pPr>
        <w:ind w:right="60" w:firstLine="648"/>
        <w:spacing w:after="0" w:line="295" w:lineRule="auto"/>
        <w:rPr>
          <w:sz w:val="20"/>
          <w:szCs w:val="20"/>
          <w:color w:val="auto"/>
        </w:rPr>
      </w:pPr>
      <w:r>
        <w:rPr>
          <w:rFonts w:ascii="Arial" w:cs="Arial" w:eastAsia="Arial" w:hAnsi="Arial"/>
          <w:sz w:val="19"/>
          <w:szCs w:val="19"/>
          <w:color w:val="auto"/>
        </w:rPr>
        <w:t>The Company and the Representatives are parties to the Purchase Agreement dated June 17, 2021 (the “</w:t>
      </w:r>
      <w:r>
        <w:rPr>
          <w:rFonts w:ascii="Arial" w:cs="Arial" w:eastAsia="Arial" w:hAnsi="Arial"/>
          <w:sz w:val="19"/>
          <w:szCs w:val="19"/>
          <w:b w:val="1"/>
          <w:bCs w:val="1"/>
          <w:color w:val="auto"/>
        </w:rPr>
        <w:t>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which provides for the sale by the Company to the Initial Purchasers of $400,000,000 aggregate principal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1.650% notes due 2026 (the “2026 Notes”) and $400,000,000 aggregate principal amount of 2.650% notes due 2031 (together with the 2026 Notes, the “</w:t>
      </w:r>
      <w:r>
        <w:rPr>
          <w:rFonts w:ascii="Arial" w:cs="Arial" w:eastAsia="Arial" w:hAnsi="Arial"/>
          <w:sz w:val="19"/>
          <w:szCs w:val="19"/>
          <w:b w:val="1"/>
          <w:bCs w:val="1"/>
          <w:color w:val="auto"/>
        </w:rPr>
        <w:t>Securities</w:t>
      </w:r>
      <w:r>
        <w:rPr>
          <w:rFonts w:ascii="Arial" w:cs="Arial" w:eastAsia="Arial" w:hAnsi="Arial"/>
          <w:sz w:val="19"/>
          <w:szCs w:val="19"/>
          <w:color w:val="auto"/>
        </w:rPr>
        <w:t>”). As an inducement to the Initial Purchasers to enter into the Purchase Agreement, the Company has agreed to provide to the Initial Purchasers and their direct and indirect transferees the registration rights set forth in this Agreement. The execution and delivery of this Agreement is a condition to the closing under the Purchase Agreement.</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foregoing, the parties hereto agree as follows: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As used in this Agreement, the following terms shall have the following meanings: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each Monday, Tuesday, Wednesday, Thursday and Friday which is not a day on which commercial banking institutions in New York, New York are authorized or obligated by law or required by executive order to close.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Dates</w:t>
      </w:r>
      <w:r>
        <w:rPr>
          <w:rFonts w:ascii="Arial" w:cs="Arial" w:eastAsia="Arial" w:hAnsi="Arial"/>
          <w:sz w:val="22"/>
          <w:szCs w:val="22"/>
          <w:color w:val="auto"/>
        </w:rPr>
        <w:t>” shall have the meaning set forth in Section 2(a)(i) hereof.</w:t>
      </w:r>
    </w:p>
    <w:p>
      <w:pPr>
        <w:spacing w:after="0" w:line="166" w:lineRule="exact"/>
        <w:rPr>
          <w:sz w:val="20"/>
          <w:szCs w:val="20"/>
          <w:color w:val="auto"/>
        </w:rPr>
      </w:pPr>
    </w:p>
    <w:p>
      <w:pPr>
        <w:ind w:right="5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Offer</w:t>
      </w:r>
      <w:r>
        <w:rPr>
          <w:rFonts w:ascii="Arial" w:cs="Arial" w:eastAsia="Arial" w:hAnsi="Arial"/>
          <w:sz w:val="22"/>
          <w:szCs w:val="22"/>
          <w:color w:val="auto"/>
        </w:rPr>
        <w:t>” shall mean the exchange offer by the Company of Exchange Securities for Registrable Securities pursuant to Section 2(a) hereof.</w:t>
      </w:r>
    </w:p>
    <w:p>
      <w:pPr>
        <w:spacing w:after="0" w:line="108" w:lineRule="exact"/>
        <w:rPr>
          <w:sz w:val="20"/>
          <w:szCs w:val="20"/>
          <w:color w:val="auto"/>
        </w:rPr>
      </w:pPr>
    </w:p>
    <w:p>
      <w:pPr>
        <w:ind w:right="56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Offer Registration Statement</w:t>
      </w:r>
      <w:r>
        <w:rPr>
          <w:rFonts w:ascii="Arial" w:cs="Arial" w:eastAsia="Arial" w:hAnsi="Arial"/>
          <w:sz w:val="22"/>
          <w:szCs w:val="22"/>
          <w:color w:val="auto"/>
        </w:rPr>
        <w: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ectPr>
          <w:pgSz w:w="11900" w:h="16838" w:orient="portrait"/>
          <w:cols w:equalWidth="0" w:num="1">
            <w:col w:w="11240"/>
          </w:cols>
          <w:pgMar w:left="320" w:top="121" w:right="339" w:bottom="1440" w:gutter="0" w:footer="0" w:header="0"/>
        </w:sectPr>
      </w:pPr>
    </w:p>
    <w:bookmarkStart w:id="152" w:name="page153"/>
    <w:bookmarkEnd w:id="152"/>
    <w:p>
      <w:pPr>
        <w:ind w:right="44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Securities</w:t>
      </w:r>
      <w:r>
        <w:rPr>
          <w:rFonts w:ascii="Arial" w:cs="Arial" w:eastAsia="Arial" w:hAnsi="Arial"/>
          <w:sz w:val="21"/>
          <w:szCs w:val="21"/>
          <w:color w:val="auto"/>
        </w:rPr>
        <w:t>” shall mean notes issued by the Company under the Indenture, containing terms substantially identical in all material respects to the Securities (except that the Exchange Securities will not be subject to restrictions on transfer or to any increase in annual interest rate for failure to comply with this Agreement) and to be offered to Holders in exchange for Registrable Securities pursuant to the Exchange Offer.</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w:t>
      </w:r>
      <w:r>
        <w:rPr>
          <w:rFonts w:ascii="Arial" w:cs="Arial" w:eastAsia="Arial" w:hAnsi="Arial"/>
          <w:sz w:val="22"/>
          <w:szCs w:val="22"/>
          <w:color w:val="auto"/>
        </w:rPr>
        <w:t>” shall mean the Financial Industry Regulatory Authority, Inc.</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Free Writing Prospectus</w:t>
      </w:r>
      <w:r>
        <w:rPr>
          <w:rFonts w:ascii="Arial" w:cs="Arial" w:eastAsia="Arial" w:hAnsi="Arial"/>
          <w:sz w:val="22"/>
          <w:szCs w:val="22"/>
          <w:color w:val="auto"/>
        </w:rPr>
        <w:t>” shall mean each free writing prospectus (as defined in Rule 405 under the Securities Act) prepared by or on behalf of the Company and used by the Company in connection with the sale of the Securities or the Exchange Securities.</w:t>
      </w:r>
    </w:p>
    <w:p>
      <w:pPr>
        <w:spacing w:after="0" w:line="122"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Holders</w:t>
      </w:r>
      <w:r>
        <w:rPr>
          <w:rFonts w:ascii="Arial" w:cs="Arial" w:eastAsia="Arial" w:hAnsi="Arial"/>
          <w:sz w:val="22"/>
          <w:szCs w:val="22"/>
          <w:color w:val="auto"/>
        </w:rPr>
        <w:t xml:space="preserve">” shall mean the holders of Registrable Securities, and each of their successors, assigns and direct and indirect transferees who become owners of Registrable Securities under the Indenture;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for purposes of Section 4 and Section 5 hereof, the term “</w:t>
      </w:r>
      <w:r>
        <w:rPr>
          <w:rFonts w:ascii="Arial" w:cs="Arial" w:eastAsia="Arial" w:hAnsi="Arial"/>
          <w:sz w:val="22"/>
          <w:szCs w:val="22"/>
          <w:b w:val="1"/>
          <w:bCs w:val="1"/>
          <w:color w:val="auto"/>
        </w:rPr>
        <w:t>Holders</w:t>
      </w:r>
      <w:r>
        <w:rPr>
          <w:rFonts w:ascii="Arial" w:cs="Arial" w:eastAsia="Arial" w:hAnsi="Arial"/>
          <w:sz w:val="22"/>
          <w:szCs w:val="22"/>
          <w:color w:val="auto"/>
        </w:rPr>
        <w:t>” shall include Participating Broker-Dealers.</w:t>
      </w:r>
    </w:p>
    <w:p>
      <w:pPr>
        <w:spacing w:after="0" w:line="122" w:lineRule="exact"/>
        <w:rPr>
          <w:sz w:val="20"/>
          <w:szCs w:val="20"/>
          <w:color w:val="auto"/>
        </w:rPr>
      </w:pPr>
    </w:p>
    <w:p>
      <w:pPr>
        <w:ind w:right="100"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Indenture</w:t>
      </w:r>
      <w:r>
        <w:rPr>
          <w:rFonts w:ascii="Arial" w:cs="Arial" w:eastAsia="Arial" w:hAnsi="Arial"/>
          <w:sz w:val="21"/>
          <w:szCs w:val="21"/>
          <w:color w:val="auto"/>
        </w:rPr>
        <w:t>” shall mean the Indenture dated as of July 2, 2021 between the Company and Wells Fargo Bank, National Association, as trustee (the “</w:t>
      </w:r>
      <w:r>
        <w:rPr>
          <w:rFonts w:ascii="Arial" w:cs="Arial" w:eastAsia="Arial" w:hAnsi="Arial"/>
          <w:sz w:val="21"/>
          <w:szCs w:val="21"/>
          <w:b w:val="1"/>
          <w:bCs w:val="1"/>
          <w:color w:val="auto"/>
        </w:rPr>
        <w:t>Trustee</w:t>
      </w:r>
      <w:r>
        <w:rPr>
          <w:rFonts w:ascii="Arial" w:cs="Arial" w:eastAsia="Arial" w:hAnsi="Arial"/>
          <w:sz w:val="21"/>
          <w:szCs w:val="21"/>
          <w:color w:val="auto"/>
        </w:rPr>
        <w:t>”), as supplemented by the Supplemental Indenture, dated as of July 2, 2021 between the Company and the Trustee, as the same may be further amended, modified and/or supplemented from time to time in accordance with the terms thereof with applicability to the Securities and the Exchange Securities.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Purchasers</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Inspector</w:t>
      </w:r>
      <w:r>
        <w:rPr>
          <w:rFonts w:ascii="Arial" w:cs="Arial" w:eastAsia="Arial" w:hAnsi="Arial"/>
          <w:sz w:val="22"/>
          <w:szCs w:val="22"/>
          <w:color w:val="auto"/>
        </w:rPr>
        <w:t>” shall have the meaning set forth in Section 3(a)(xiv)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Issuer Information</w:t>
      </w:r>
      <w:r>
        <w:rPr>
          <w:rFonts w:ascii="Arial" w:cs="Arial" w:eastAsia="Arial" w:hAnsi="Arial"/>
          <w:sz w:val="22"/>
          <w:szCs w:val="22"/>
          <w:color w:val="auto"/>
        </w:rPr>
        <w:t>” shall have the meaning set forth in Section 5(a) hereof.</w:t>
      </w:r>
    </w:p>
    <w:p>
      <w:pPr>
        <w:spacing w:after="0" w:line="166" w:lineRule="exact"/>
        <w:rPr>
          <w:sz w:val="20"/>
          <w:szCs w:val="20"/>
          <w:color w:val="auto"/>
        </w:rPr>
      </w:pPr>
    </w:p>
    <w:p>
      <w:pPr>
        <w:ind w:right="5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and Questionnaire</w:t>
      </w:r>
      <w:r>
        <w:rPr>
          <w:rFonts w:ascii="Arial" w:cs="Arial" w:eastAsia="Arial" w:hAnsi="Arial"/>
          <w:sz w:val="22"/>
          <w:szCs w:val="22"/>
          <w:color w:val="auto"/>
        </w:rPr>
        <w:t>” shall mean a notice of registration statement and selling security holder questionnaire distributed to a Holder by the Company upon receipt of a Shelf Request from such Holder.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Broker-Dealers</w:t>
      </w:r>
      <w:r>
        <w:rPr>
          <w:rFonts w:ascii="Arial" w:cs="Arial" w:eastAsia="Arial" w:hAnsi="Arial"/>
          <w:sz w:val="22"/>
          <w:szCs w:val="22"/>
          <w:color w:val="auto"/>
        </w:rPr>
        <w:t>” shall have the meaning set forth in Section 4(a) hereof.</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Participating Holder</w:t>
      </w:r>
      <w:r>
        <w:rPr>
          <w:rFonts w:ascii="Arial" w:cs="Arial" w:eastAsia="Arial" w:hAnsi="Arial"/>
          <w:sz w:val="22"/>
          <w:szCs w:val="22"/>
          <w:color w:val="auto"/>
        </w:rPr>
        <w:t>” shall mean any Holder of Registrable Securities that has returned a completed and signed Notice and Questionnaire to the Company in accordance with Section 2(b) hereof.</w:t>
      </w:r>
    </w:p>
    <w:p>
      <w:pPr>
        <w:spacing w:after="0" w:line="108" w:lineRule="exact"/>
        <w:rPr>
          <w:sz w:val="20"/>
          <w:szCs w:val="20"/>
          <w:color w:val="auto"/>
        </w:rPr>
      </w:pPr>
    </w:p>
    <w:p>
      <w:pPr>
        <w:ind w:right="9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 individual, partnership, limited liability company, corporation, trust or unincorporated organization, or a government or agency or political subdivision thereof.</w:t>
      </w:r>
    </w:p>
    <w:p>
      <w:pPr>
        <w:spacing w:after="0" w:line="108"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Prospectus</w:t>
      </w:r>
      <w:r>
        <w:rPr>
          <w:rFonts w:ascii="Arial" w:cs="Arial" w:eastAsia="Arial" w:hAnsi="Arial"/>
          <w:sz w:val="22"/>
          <w:szCs w:val="22"/>
          <w:color w:val="auto"/>
        </w:rPr>
        <w:t>” shall mean the prospectus included in, or, pursuant to the rules and regulations of the Securities Act, deemed a part of, a Registration Statement, including any preliminary prospectus, and any such prospectus as amended or supplemented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20" w:top="1422" w:right="419" w:bottom="1440" w:gutter="0" w:footer="0" w:header="0"/>
        </w:sectPr>
      </w:pPr>
    </w:p>
    <w:bookmarkStart w:id="153" w:name="page154"/>
    <w:bookmarkEnd w:id="153"/>
    <w:p>
      <w:pPr>
        <w:jc w:val="both"/>
        <w:ind w:right="860"/>
        <w:spacing w:after="0" w:line="312" w:lineRule="auto"/>
        <w:rPr>
          <w:sz w:val="20"/>
          <w:szCs w:val="20"/>
          <w:color w:val="auto"/>
        </w:rPr>
      </w:pPr>
      <w:r>
        <w:rPr>
          <w:rFonts w:ascii="Arial" w:cs="Arial" w:eastAsia="Arial" w:hAnsi="Arial"/>
          <w:sz w:val="19"/>
          <w:szCs w:val="19"/>
          <w:color w:val="auto"/>
        </w:rPr>
        <w:t>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Registrable Securities</w:t>
      </w:r>
      <w:r>
        <w:rPr>
          <w:rFonts w:ascii="Arial" w:cs="Arial" w:eastAsia="Arial" w:hAnsi="Arial"/>
          <w:sz w:val="21"/>
          <w:szCs w:val="21"/>
          <w:color w:val="auto"/>
        </w:rPr>
        <w:t xml:space="preserve">” shall mean the Securities;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Securities shall cease to be Registrable Securities upon the earliest to occur of the following: (i) when a Registration Statement with respect to such Securities has become effective under the Securities Act and such Securities have been exchanged or disposed of pursuant to such Registration Statement, (ii) when such Securities cease to be outstanding, (iii) when such Securities have been resold pursuant to Rule 144 (or any successor provision) under the Securities Act (but not Rule 144A) without regard to volume restrictions, provided that the Company shall have removed or caused to be removed any restrictive legend on the Securities or (iv) the date that is three years after the date of this Agreement.</w:t>
      </w:r>
    </w:p>
    <w:p>
      <w:pPr>
        <w:spacing w:after="0" w:line="11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Registration Default</w:t>
      </w:r>
      <w:r>
        <w:rPr>
          <w:rFonts w:ascii="Arial" w:cs="Arial" w:eastAsia="Arial" w:hAnsi="Arial"/>
          <w:sz w:val="21"/>
          <w:szCs w:val="21"/>
          <w:color w:val="auto"/>
        </w:rPr>
        <w:t>” shall mean the occurrence of any of the following: (i) the Registration Statement referenced in Section 2(a)(x) is not deemed effective on or prior to the Target Registration Date or (ii) if the Exchange Offer is not consummated prior to the Target Registration Date and, if a shelf registration statement is required pursuant to Section 2(b), such Shelf Registration Statement is not declared effective on or prior to the later of (x) the Target Registration Date and (y) 60 days after delivery of the applicable Shelf Request, or (iii) if a shelf registration statement is required pursuant to Section 2(b) and after being declared effective, such Shelf Registration Statement ceases to be effective or the Prospectus contained therein ceases to be usable for resales of Registrable Securities (a) on more than two occasions of at least 30 consecutive days during the Shelf Effectiveness Period or (b) at any time in any 12-month period during the required effectiveness period and such failure to remain effective or useable for resales of Registrable Securities exists for more than 90 days (whether or not consecutive) in any 12-month period.</w:t>
      </w:r>
    </w:p>
    <w:p>
      <w:pPr>
        <w:spacing w:after="0" w:line="121" w:lineRule="exact"/>
        <w:rPr>
          <w:sz w:val="20"/>
          <w:szCs w:val="20"/>
          <w:color w:val="auto"/>
        </w:rPr>
      </w:pPr>
    </w:p>
    <w:p>
      <w:pPr>
        <w:ind w:right="1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Expenses</w:t>
      </w:r>
      <w:r>
        <w:rPr>
          <w:rFonts w:ascii="Arial" w:cs="Arial" w:eastAsia="Arial" w:hAnsi="Arial"/>
          <w:sz w:val="19"/>
          <w:szCs w:val="19"/>
          <w:color w:val="auto"/>
        </w:rPr>
        <w:t>” shall mean any and all expenses incident to performance of or compliance by the Company with this Agreement, including without limitation: (i) all SEC, stock exchange or FINRA registration and filing fees, (ii) all fees and expenses incurred in connection with compliance with state securities or blue sky laws (including reasonable fees and disbursements of one counsel for any Underwriters or Holders in connection with blue sky qualification of any Exchange Securities or Registrable Securities), (iii) all expenses of the Company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incurred by the Company, (v) all fees and disbursements relating to the qualification of the Indenture under applicable securities laws, (vi) the reasonable fees and disbursements of the Trustee and one counsel, (vii) the fees and disbursements of counsel for the Company and, in the case of a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54" w:name="page155"/>
    <w:bookmarkEnd w:id="154"/>
    <w:p>
      <w:pPr>
        <w:ind w:right="40"/>
        <w:spacing w:after="0" w:line="259" w:lineRule="auto"/>
        <w:rPr>
          <w:sz w:val="20"/>
          <w:szCs w:val="20"/>
          <w:color w:val="auto"/>
        </w:rPr>
      </w:pPr>
      <w:r>
        <w:rPr>
          <w:rFonts w:ascii="Arial" w:cs="Arial" w:eastAsia="Arial" w:hAnsi="Arial"/>
          <w:sz w:val="21"/>
          <w:szCs w:val="21"/>
          <w:color w:val="auto"/>
        </w:rPr>
        <w:t>Statement, the reasonable fees and disbursements of one counsel for the Participating Holders (which counsel shall be selected or replaced by the Participating Holders holding a majority of the aggregate principal amount of Registrable Securities held by such Participating Holders and which counsel may also be counsel for the Initial Purchasers) and (viii) the fees and disbursements of the independent registered public accountants of the Company, including the expenses of any special audits or “comfort” letters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Securities by a Holder.</w:t>
      </w:r>
    </w:p>
    <w:p>
      <w:pPr>
        <w:spacing w:after="0" w:line="123" w:lineRule="exact"/>
        <w:rPr>
          <w:sz w:val="20"/>
          <w:szCs w:val="20"/>
          <w:color w:val="auto"/>
        </w:rPr>
      </w:pPr>
    </w:p>
    <w:p>
      <w:pPr>
        <w:ind w:right="420"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mean any registration statement of the Company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United States Securities and Exchange Commission.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Effectiveness Period</w:t>
      </w:r>
      <w:r>
        <w:rPr>
          <w:rFonts w:ascii="Arial" w:cs="Arial" w:eastAsia="Arial" w:hAnsi="Arial"/>
          <w:sz w:val="22"/>
          <w:szCs w:val="22"/>
          <w:color w:val="auto"/>
        </w:rPr>
        <w:t>” shall have the meaning set forth in Section 2(b)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Registration</w:t>
      </w:r>
      <w:r>
        <w:rPr>
          <w:rFonts w:ascii="Arial" w:cs="Arial" w:eastAsia="Arial" w:hAnsi="Arial"/>
          <w:sz w:val="22"/>
          <w:szCs w:val="22"/>
          <w:color w:val="auto"/>
        </w:rPr>
        <w:t>” shall mean a registration effected pursuant to Section 2(b) hereof.</w:t>
      </w:r>
    </w:p>
    <w:p>
      <w:pPr>
        <w:spacing w:after="0" w:line="16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Registration Statement</w:t>
      </w:r>
      <w:r>
        <w:rPr>
          <w:rFonts w:ascii="Arial" w:cs="Arial" w:eastAsia="Arial" w:hAnsi="Arial"/>
          <w:sz w:val="22"/>
          <w:szCs w:val="22"/>
          <w:color w:val="auto"/>
        </w:rPr>
        <w:t>” shall mean a “shelf” registration statement of the Company that covers all or a portion of the Registrable Securities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Request</w:t>
      </w:r>
      <w:r>
        <w:rPr>
          <w:rFonts w:ascii="Arial" w:cs="Arial" w:eastAsia="Arial" w:hAnsi="Arial"/>
          <w:sz w:val="22"/>
          <w:szCs w:val="22"/>
          <w:color w:val="auto"/>
        </w:rPr>
        <w:t>” shall have the meaning set forth in Section 2(b)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Staff</w:t>
      </w:r>
      <w:r>
        <w:rPr>
          <w:rFonts w:ascii="Arial" w:cs="Arial" w:eastAsia="Arial" w:hAnsi="Arial"/>
          <w:sz w:val="22"/>
          <w:szCs w:val="22"/>
          <w:color w:val="auto"/>
        </w:rPr>
        <w:t>” shall mean the staff of the SEC.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Suspension Actions</w:t>
      </w:r>
      <w:r>
        <w:rPr>
          <w:rFonts w:ascii="Arial" w:cs="Arial" w:eastAsia="Arial" w:hAnsi="Arial"/>
          <w:sz w:val="22"/>
          <w:szCs w:val="22"/>
          <w:color w:val="auto"/>
        </w:rPr>
        <w:t>” shall have the meaning set forth in Section 2(e)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Registration Date</w:t>
      </w:r>
      <w:r>
        <w:rPr>
          <w:rFonts w:ascii="Arial" w:cs="Arial" w:eastAsia="Arial" w:hAnsi="Arial"/>
          <w:sz w:val="22"/>
          <w:szCs w:val="22"/>
          <w:color w:val="auto"/>
        </w:rPr>
        <w:t>” shall mean June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 Indenture Act</w:t>
      </w:r>
      <w:r>
        <w:rPr>
          <w:rFonts w:ascii="Arial" w:cs="Arial" w:eastAsia="Arial" w:hAnsi="Arial"/>
          <w:sz w:val="22"/>
          <w:szCs w:val="22"/>
          <w:color w:val="auto"/>
        </w:rPr>
        <w:t>” shall mean the Trust Indenture Act of 1939, as amended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Underwriter</w:t>
      </w:r>
      <w:r>
        <w:rPr>
          <w:rFonts w:ascii="Arial" w:cs="Arial" w:eastAsia="Arial" w:hAnsi="Arial"/>
          <w:sz w:val="22"/>
          <w:szCs w:val="22"/>
          <w:color w:val="auto"/>
        </w:rPr>
        <w:t>” shall have the meaning set forth in Section 3(f) hereof.</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Underwritten Offering</w:t>
      </w:r>
      <w:r>
        <w:rPr>
          <w:rFonts w:ascii="Arial" w:cs="Arial" w:eastAsia="Arial" w:hAnsi="Arial"/>
          <w:sz w:val="22"/>
          <w:szCs w:val="22"/>
          <w:color w:val="auto"/>
        </w:rPr>
        <w:t>” shall mean an offering in which Registrable Securities are sold to an Underwriter for reoffering to the public.</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i w:val="1"/>
          <w:iCs w:val="1"/>
          <w:color w:val="auto"/>
        </w:rPr>
        <w:t>Registration Under the Securities Act</w:t>
      </w:r>
      <w:r>
        <w:rPr>
          <w:rFonts w:ascii="Arial" w:cs="Arial" w:eastAsia="Arial" w:hAnsi="Arial"/>
          <w:sz w:val="19"/>
          <w:szCs w:val="19"/>
          <w:color w:val="auto"/>
        </w:rPr>
        <w:t>.</w:t>
      </w:r>
    </w:p>
    <w:p>
      <w:pPr>
        <w:spacing w:after="0" w:line="166" w:lineRule="exact"/>
        <w:rPr>
          <w:sz w:val="20"/>
          <w:szCs w:val="20"/>
          <w:color w:val="auto"/>
        </w:rPr>
      </w:pPr>
    </w:p>
    <w:p>
      <w:pPr>
        <w:ind w:right="120" w:firstLine="656"/>
        <w:spacing w:after="0" w:line="290" w:lineRule="auto"/>
        <w:tabs>
          <w:tab w:leader="none" w:pos="11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To the extent not prohibited by any applicable law or applicable interpretations of the Staff, the Company shall use its commercially reasonable efforts to (x) cause to be filed an Exchange Offer Registration Statement on the appropriate form under the Securities Act, as selected by the Company, covering an offer to the Holders to exchange all the Registrable Securities for Exchange Securities and (y) have such Registration Statement become effective on or before the Target Registration Date, and, if requested by one or more Participating Broker-Dealers, remain effective until 180 days after the last Exchange Date for use by such Participating Broker-Dealers. The Company shall commence the Exchange Offer for the Securities promptly after (but in no event later than 30 days after) the Exchange Offer Registration Statement is declared effective by the SEC, and use its commercially reasonable efforts to complete the Exchange Offer not later than 60 days after such effective date.</w:t>
      </w:r>
    </w:p>
    <w:p>
      <w:pPr>
        <w:spacing w:after="0" w:line="10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9"/>
          <w:szCs w:val="19"/>
          <w:color w:val="auto"/>
        </w:rPr>
        <w:t>The Company shall commence the Exchange Offer by mailing and/or electronically delivering, or by causing the mailing and/or electronic delivery of, the related Prospectus, appropriate letters of transmittal and other accompanying documents to each Holder stating, in addition to such other disclosures as are required by applicable law, substantially the following:</w:t>
      </w:r>
    </w:p>
    <w:p>
      <w:pPr>
        <w:spacing w:after="0" w:line="79" w:lineRule="exact"/>
        <w:rPr>
          <w:sz w:val="20"/>
          <w:szCs w:val="20"/>
          <w:color w:val="auto"/>
        </w:rPr>
      </w:pPr>
    </w:p>
    <w:p>
      <w:pPr>
        <w:ind w:left="660" w:right="160" w:firstLine="644"/>
        <w:spacing w:after="0" w:line="263" w:lineRule="auto"/>
        <w:tabs>
          <w:tab w:leader="none" w:pos="172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that the Exchange Offer is being made pursuant to this Agreement and that all Registrable Securities validly tendered and not properly withdrawn will be accepted for exchange;</w:t>
      </w:r>
    </w:p>
    <w:p>
      <w:pPr>
        <w:spacing w:after="0" w:line="120" w:lineRule="exact"/>
        <w:rPr>
          <w:rFonts w:ascii="Arial" w:cs="Arial" w:eastAsia="Arial" w:hAnsi="Arial"/>
          <w:sz w:val="22"/>
          <w:szCs w:val="22"/>
          <w:color w:val="auto"/>
        </w:rPr>
      </w:pPr>
    </w:p>
    <w:p>
      <w:pPr>
        <w:ind w:left="660" w:firstLine="644"/>
        <w:spacing w:after="0" w:line="263" w:lineRule="auto"/>
        <w:tabs>
          <w:tab w:leader="none" w:pos="178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dates of acceptance for exchange (which shall be a period of at least 20 Business Days from the date such notice is mailed and/or electronically delivered) (each, an “</w:t>
      </w:r>
      <w:r>
        <w:rPr>
          <w:rFonts w:ascii="Arial" w:cs="Arial" w:eastAsia="Arial" w:hAnsi="Arial"/>
          <w:sz w:val="22"/>
          <w:szCs w:val="22"/>
          <w:b w:val="1"/>
          <w:bCs w:val="1"/>
          <w:color w:val="auto"/>
        </w:rPr>
        <w:t>Exchange Date</w:t>
      </w:r>
      <w:r>
        <w:rPr>
          <w:rFonts w:ascii="Arial" w:cs="Arial" w:eastAsia="Arial" w:hAnsi="Arial"/>
          <w:sz w:val="22"/>
          <w:szCs w:val="22"/>
          <w:color w:val="auto"/>
        </w:rPr>
        <w:t>”);</w:t>
      </w:r>
    </w:p>
    <w:p>
      <w:pPr>
        <w:spacing w:after="0" w:line="120" w:lineRule="exact"/>
        <w:rPr>
          <w:rFonts w:ascii="Arial" w:cs="Arial" w:eastAsia="Arial" w:hAnsi="Arial"/>
          <w:sz w:val="22"/>
          <w:szCs w:val="22"/>
          <w:color w:val="auto"/>
        </w:rPr>
      </w:pPr>
    </w:p>
    <w:p>
      <w:pPr>
        <w:ind w:left="660" w:right="220" w:firstLine="644"/>
        <w:spacing w:after="0" w:line="263" w:lineRule="auto"/>
        <w:tabs>
          <w:tab w:leader="none" w:pos="184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that any Registrable Security not tendered will remain outstanding and continue to accrue interest but will not retain any rights under this Agreement, except as otherwise specified herein;</w:t>
      </w:r>
    </w:p>
    <w:p>
      <w:pPr>
        <w:spacing w:after="0" w:line="120" w:lineRule="exact"/>
        <w:rPr>
          <w:rFonts w:ascii="Arial" w:cs="Arial" w:eastAsia="Arial" w:hAnsi="Arial"/>
          <w:sz w:val="22"/>
          <w:szCs w:val="22"/>
          <w:color w:val="auto"/>
        </w:rPr>
      </w:pPr>
    </w:p>
    <w:p>
      <w:pPr>
        <w:jc w:val="both"/>
        <w:ind w:left="660" w:firstLine="644"/>
        <w:spacing w:after="0" w:line="263" w:lineRule="auto"/>
        <w:tabs>
          <w:tab w:leader="none" w:pos="183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prior to the close of business on the last Exchange Date with respect to the Exchange Offer;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2" w:right="359" w:bottom="1440" w:gutter="0" w:footer="0" w:header="0"/>
        </w:sectPr>
      </w:pPr>
    </w:p>
    <w:bookmarkStart w:id="156" w:name="page157"/>
    <w:bookmarkEnd w:id="156"/>
    <w:p>
      <w:pPr>
        <w:ind w:left="4" w:right="80" w:firstLine="644"/>
        <w:spacing w:after="0" w:line="247" w:lineRule="auto"/>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any Holder of Registrable Securities will be entitled to withdraw its election, not later than the close of business on the last Exchange Date with respect to the Exchange Offer, by (A) sending to the institution at the address specified in the notice, a facsimile transmission or letter setting forth the name of such Holder, the principal amount of Registrable Securities delivered for exchange and a statement that such Holder is withdrawing its election to have such Securities exchanged or (B) effecting such withdrawal in compliance with the applicable procedures of the depositary for the Registrable Securities.</w:t>
      </w:r>
    </w:p>
    <w:p>
      <w:pPr>
        <w:spacing w:after="0" w:line="139" w:lineRule="exact"/>
        <w:rPr>
          <w:sz w:val="20"/>
          <w:szCs w:val="20"/>
          <w:color w:val="auto"/>
        </w:rPr>
      </w:pPr>
    </w:p>
    <w:p>
      <w:pPr>
        <w:ind w:left="644"/>
        <w:spacing w:after="0"/>
        <w:rPr>
          <w:sz w:val="20"/>
          <w:szCs w:val="20"/>
          <w:color w:val="auto"/>
        </w:rPr>
      </w:pPr>
      <w:r>
        <w:rPr>
          <w:rFonts w:ascii="Arial" w:cs="Arial" w:eastAsia="Arial" w:hAnsi="Arial"/>
          <w:sz w:val="19"/>
          <w:szCs w:val="19"/>
          <w:color w:val="auto"/>
        </w:rPr>
        <w:t>As a condition to participating in the Exchange Offer, a Holder will be required to represent to the Company that</w:t>
      </w:r>
    </w:p>
    <w:p>
      <w:pPr>
        <w:spacing w:after="0" w:line="56" w:lineRule="exact"/>
        <w:rPr>
          <w:sz w:val="20"/>
          <w:szCs w:val="20"/>
          <w:color w:val="auto"/>
        </w:rPr>
      </w:pPr>
    </w:p>
    <w:p>
      <w:pPr>
        <w:ind w:left="4" w:right="60" w:hanging="4"/>
        <w:spacing w:after="0" w:line="256" w:lineRule="auto"/>
        <w:tabs>
          <w:tab w:leader="none" w:pos="31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any Exchange Securities to be received by it will be acquired in the ordinary course of its business, (2) at the time of the commencement of the Exchange Offer it has no arrangement or understanding with any Person to participate in the distribution (within the meaning of the Securities Act) of the Exchange Securities in violation of the provisions of the Securities Act, (3) it is not an “affiliate” (within the meaning of Rule 405 under the Securities Act) of the Company, (4) if such Holder is not a broker-dealer, that it is not engaged in, and does not intend to engage in, the distribution of the Exchange Securities and (5)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134" w:lineRule="exact"/>
        <w:rPr>
          <w:sz w:val="20"/>
          <w:szCs w:val="20"/>
          <w:color w:val="auto"/>
        </w:rPr>
      </w:pPr>
    </w:p>
    <w:p>
      <w:pPr>
        <w:ind w:left="4" w:right="120" w:firstLine="648"/>
        <w:spacing w:after="0" w:line="263" w:lineRule="auto"/>
        <w:rPr>
          <w:sz w:val="20"/>
          <w:szCs w:val="20"/>
          <w:color w:val="auto"/>
        </w:rPr>
      </w:pPr>
      <w:r>
        <w:rPr>
          <w:rFonts w:ascii="Arial" w:cs="Arial" w:eastAsia="Arial" w:hAnsi="Arial"/>
          <w:sz w:val="22"/>
          <w:szCs w:val="22"/>
          <w:color w:val="auto"/>
        </w:rPr>
        <w:t>As soon as practicable after the last Exchange Date with respect to the Exchange Offer for Registrable Securities, the Company shall:</w:t>
      </w:r>
    </w:p>
    <w:p>
      <w:pPr>
        <w:spacing w:after="0" w:line="121" w:lineRule="exact"/>
        <w:rPr>
          <w:sz w:val="20"/>
          <w:szCs w:val="20"/>
          <w:color w:val="auto"/>
        </w:rPr>
      </w:pPr>
    </w:p>
    <w:p>
      <w:pPr>
        <w:ind w:left="4" w:right="140" w:firstLine="644"/>
        <w:spacing w:after="0" w:line="263" w:lineRule="auto"/>
        <w:tabs>
          <w:tab w:leader="none" w:pos="11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accept for exchange Registrable Securities or portions thereof validly tendered and not properly withdrawn pursuant to the Exchange Offer; and</w:t>
      </w:r>
    </w:p>
    <w:p>
      <w:pPr>
        <w:spacing w:after="0" w:line="120" w:lineRule="exact"/>
        <w:rPr>
          <w:rFonts w:ascii="Arial" w:cs="Arial" w:eastAsia="Arial" w:hAnsi="Arial"/>
          <w:sz w:val="22"/>
          <w:szCs w:val="22"/>
          <w:color w:val="auto"/>
        </w:rPr>
      </w:pPr>
    </w:p>
    <w:p>
      <w:pPr>
        <w:ind w:left="4" w:right="20" w:firstLine="644"/>
        <w:spacing w:after="0" w:line="297" w:lineRule="auto"/>
        <w:tabs>
          <w:tab w:leader="none" w:pos="12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 provided that if any of the Registrable Securities are in book-entry form, the Company shall, in cooperation with the Trustee, effect the exchange of Registrable Securities in accordance with applicable book-entry procedures.</w:t>
      </w:r>
    </w:p>
    <w:p>
      <w:pPr>
        <w:spacing w:after="0" w:line="93" w:lineRule="exact"/>
        <w:rPr>
          <w:sz w:val="20"/>
          <w:szCs w:val="20"/>
          <w:color w:val="auto"/>
        </w:rPr>
      </w:pPr>
    </w:p>
    <w:p>
      <w:pPr>
        <w:ind w:left="4" w:firstLine="648"/>
        <w:spacing w:after="0" w:line="263" w:lineRule="auto"/>
        <w:rPr>
          <w:sz w:val="20"/>
          <w:szCs w:val="20"/>
          <w:color w:val="auto"/>
        </w:rPr>
      </w:pPr>
      <w:r>
        <w:rPr>
          <w:rFonts w:ascii="Arial" w:cs="Arial" w:eastAsia="Arial" w:hAnsi="Arial"/>
          <w:sz w:val="21"/>
          <w:szCs w:val="21"/>
          <w:color w:val="auto"/>
        </w:rPr>
        <w:t>The Company shall use its commercially reasonable efforts to complete the Exchange Offer as provided above and shall use reasonable best efforts to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 and that no action or proceeding has been instituted or threatened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64"/>
          </w:cols>
          <w:pgMar w:left="976" w:top="1428" w:right="359" w:bottom="1440" w:gutter="0" w:footer="0" w:header="0"/>
        </w:sectPr>
      </w:pPr>
    </w:p>
    <w:bookmarkStart w:id="157" w:name="page158"/>
    <w:bookmarkEnd w:id="157"/>
    <w:p>
      <w:pPr>
        <w:ind w:left="660" w:right="320"/>
        <w:spacing w:after="0" w:line="287" w:lineRule="auto"/>
        <w:rPr>
          <w:sz w:val="20"/>
          <w:szCs w:val="20"/>
          <w:color w:val="auto"/>
        </w:rPr>
      </w:pPr>
      <w:r>
        <w:rPr>
          <w:rFonts w:ascii="Arial" w:cs="Arial" w:eastAsia="Arial" w:hAnsi="Arial"/>
          <w:sz w:val="21"/>
          <w:szCs w:val="21"/>
          <w:color w:val="auto"/>
        </w:rPr>
        <w:t>any court or by or before any governmental agency relating to the Exchange Offer which, in the Company’s judgment, could reasonably be expected to impair the Company’s ability to proceed with the Exchange Offer.</w:t>
      </w:r>
    </w:p>
    <w:p>
      <w:pPr>
        <w:spacing w:after="0" w:line="97" w:lineRule="exact"/>
        <w:rPr>
          <w:sz w:val="20"/>
          <w:szCs w:val="20"/>
          <w:color w:val="auto"/>
        </w:rPr>
      </w:pPr>
    </w:p>
    <w:p>
      <w:pPr>
        <w:ind w:firstLine="656"/>
        <w:spacing w:after="0" w:line="286" w:lineRule="auto"/>
        <w:tabs>
          <w:tab w:leader="none" w:pos="111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 the event that the Company determines that the Exchange Offer Registration provided for in Section 2(a) hereof is not available under applicable law or if applicable interpretations of the Staff do not permit the Company to effect the Exchange Offer for Registrable Securities, or, if for any reason the Company does not consummate the Exchange Offer for Registrable Securities by the later of the Target Registration Date and the date the Company receives a written request (a “</w:t>
      </w:r>
      <w:r>
        <w:rPr>
          <w:rFonts w:ascii="Arial" w:cs="Arial" w:eastAsia="Arial" w:hAnsi="Arial"/>
          <w:sz w:val="19"/>
          <w:szCs w:val="19"/>
          <w:b w:val="1"/>
          <w:bCs w:val="1"/>
          <w:color w:val="auto"/>
        </w:rPr>
        <w:t>Shelf Request</w:t>
      </w:r>
      <w:r>
        <w:rPr>
          <w:rFonts w:ascii="Arial" w:cs="Arial" w:eastAsia="Arial" w:hAnsi="Arial"/>
          <w:sz w:val="19"/>
          <w:szCs w:val="19"/>
          <w:color w:val="auto"/>
        </w:rPr>
        <w:t xml:space="preserve">”) from any Initial Purchaser representing that it holds Registrable Securities that are or were ineligible to be exchanged in the Exchange Offer, the Company shall use its commercially reasonable efforts to cause to be filed and become effective, as soon as practicable after such determination, date or Shelf Request, as the case may be, a Shelf Registration Statement on the appropriate form under the Securities Act, as selected by the Company, providing for the sale of all the Registrable Securities by the Holders thereof and to have such Shelf Registration Statement become effective;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3(c) hereof and, if necessary, the Shelf Registration Statement has been amended to reflect such information, and (b) the Company shall be under no obligation to file or cause to become effective any such Shelf Registration Statement before it is obligated to file or cause to become effective an Exchange Offer Registration Statement pursuant to Section 2(a) hereof.</w:t>
      </w:r>
    </w:p>
    <w:p>
      <w:pPr>
        <w:spacing w:after="0" w:line="104"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The Company agrees to use its commercially reasonable efforts to keep the Shelf Registration Statement continuously effective until the date on which the Securities covered thereby cease to be Registrable Securities (the “</w:t>
      </w:r>
      <w:r>
        <w:rPr>
          <w:rFonts w:ascii="Arial" w:cs="Arial" w:eastAsia="Arial" w:hAnsi="Arial"/>
          <w:sz w:val="21"/>
          <w:szCs w:val="21"/>
          <w:b w:val="1"/>
          <w:bCs w:val="1"/>
          <w:color w:val="auto"/>
        </w:rPr>
        <w:t>Shelf Effectiveness</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The Company further agrees to use its commercially reasonable efforts to supplement or amend the Shelf Registration</w:t>
      </w:r>
      <w:r>
        <w:rPr>
          <w:rFonts w:ascii="Arial" w:cs="Arial" w:eastAsia="Arial" w:hAnsi="Arial"/>
          <w:sz w:val="21"/>
          <w:szCs w:val="21"/>
          <w:b w:val="1"/>
          <w:bCs w:val="1"/>
          <w:color w:val="auto"/>
        </w:rPr>
        <w:t xml:space="preserve"> </w:t>
      </w:r>
      <w:r>
        <w:rPr>
          <w:rFonts w:ascii="Arial" w:cs="Arial" w:eastAsia="Arial" w:hAnsi="Arial"/>
          <w:sz w:val="21"/>
          <w:szCs w:val="21"/>
          <w:color w:val="auto"/>
        </w:rPr>
        <w:t>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Participating Holder of Registrable Securities with respect to information relating to such Holder, and to use its commercially reasonable efforts to cause any such amendment to become effective, if required, and such Shelf Registration Statement, Prospectus or Free Writing Prospectus, as the case may be, to become usable as soon as thereafter practicable. The Company agrees to furnish to the Participating Holders copies of any such supplement or amendment promptly after its being used or filed with the SEC, as reasonably requested by the Participating Holders.</w:t>
      </w:r>
    </w:p>
    <w:p>
      <w:pPr>
        <w:spacing w:after="0" w:line="128" w:lineRule="exact"/>
        <w:rPr>
          <w:sz w:val="20"/>
          <w:szCs w:val="20"/>
          <w:color w:val="auto"/>
        </w:rPr>
      </w:pPr>
    </w:p>
    <w:p>
      <w:pPr>
        <w:jc w:val="both"/>
        <w:ind w:right="380" w:firstLine="656"/>
        <w:spacing w:after="0" w:line="253" w:lineRule="auto"/>
        <w:tabs>
          <w:tab w:leader="none" w:pos="11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Company shall pay all Registration Expenses in connection with any registration pursuant to Section 2(a) or Section 2(b) hereof. Each Holder shall pay all underwriting discounts and commissions, brokerage commissions and transfer taxes,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any, relating to the sale or disposition of such Holder’s Registrable Securities pursuant to the Shelf Registration Statement.</w:t>
      </w:r>
    </w:p>
    <w:p>
      <w:pPr>
        <w:spacing w:after="0" w:line="200" w:lineRule="exact"/>
        <w:rPr>
          <w:sz w:val="20"/>
          <w:szCs w:val="20"/>
          <w:color w:val="auto"/>
        </w:rPr>
      </w:pPr>
    </w:p>
    <w:p>
      <w:pPr>
        <w:ind w:firstLine="656"/>
        <w:spacing w:after="0" w:line="250" w:lineRule="auto"/>
        <w:tabs>
          <w:tab w:leader="none" w:pos="110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 Exchange Offer Registration Statement pursuant to Section 2(a) hereof will not be deemed to have become effective unless it has been declared effective by the SEC. A Shelf Registration Statement pursuant to Section 2(b) hereof will not be deemed to have become effective unless it has been declared effective by the SEC or is automatically effective upon filing with the SEC as provided by Rule 462 under the Securities Act.</w:t>
      </w:r>
    </w:p>
    <w:p>
      <w:pPr>
        <w:spacing w:after="0" w:line="134"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If a Registration Default occurs with respect to the Registrable Securities, the interest rate on the Registrable Securities (and only the Registrable Securities) will be increased by (i) 0.25% per annum for the first 90 day period beginning on the day immediately following such Registration Default and (ii) an additional 0.25% per annum with respect to each subsequent 90 day period, in each case until and including the date such Registration Default ends, up to a maximum increase of 1.00% per annum. A Registration Default ends with respect to any Security when such Security ceases to be a Registrable Security or, if earlier, (1) in the case of a Registration Default under clause (i) or (ii) of the definition thereof, when the Exchange Offer is completed or when the Shelf Registration Statement covering such Registrable Securities becomes effective or (2) in the case of a Registration Default under clause (iii) of the definition thereof, when the Registration Statement becomes effective or the Prospectus again becomes usable. If at any time more than one Registration Default has occurred and is continuing, then, until the next date that there is no Registration Default, the increase in interest rate provided for by this paragraph shall apply as if there occurred a single Registration Default that begins on the date that the earliest such Registration Default occurred and ends on the next date that there is no Registration Default.</w:t>
      </w:r>
    </w:p>
    <w:p>
      <w:pPr>
        <w:spacing w:after="0" w:line="105" w:lineRule="exact"/>
        <w:rPr>
          <w:sz w:val="20"/>
          <w:szCs w:val="20"/>
          <w:color w:val="auto"/>
        </w:rPr>
      </w:pPr>
    </w:p>
    <w:p>
      <w:pPr>
        <w:ind w:right="260" w:firstLine="648"/>
        <w:spacing w:after="0" w:line="263" w:lineRule="auto"/>
        <w:rPr>
          <w:sz w:val="20"/>
          <w:szCs w:val="20"/>
          <w:color w:val="auto"/>
        </w:rPr>
      </w:pPr>
      <w:r>
        <w:rPr>
          <w:rFonts w:ascii="Arial" w:cs="Arial" w:eastAsia="Arial" w:hAnsi="Arial"/>
          <w:sz w:val="21"/>
          <w:szCs w:val="21"/>
          <w:color w:val="auto"/>
        </w:rPr>
        <w:t>Notwithstanding anything to the contrary in this Agreement, if the Exchange Offer with respect to the Registrable Securities is consummated, any Holder who was, at the time the Exchange Offer was pending and consummated, eligible to exchange, and did not validly tender, or withdrew, its Securities for Exchange Securities in the Exchange Offer will not be entitled to receive any additional interest pursuant to the preceding paragraph, and upon the completion of the Exchange Offer, such Securities will no longer constitute Registrable Securities hereunder.</w:t>
      </w:r>
    </w:p>
    <w:p>
      <w:pPr>
        <w:spacing w:after="0" w:line="121"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Any amounts of additional interest due under this clause (d) will be payable in cash on the regular interest payment dates of the Securities. The additional interest will be determined by multiplying the applicable additional interest rate by the principal amount of the Securities, multiplied by a fraction, the numerator of which is the number of days such additional interest rate was applicable during such period (determined on the basis of a 360 day year composed of twelve 30-day months, but it being understood that if the regular interest payment date of the Securities is not a Business Day and the payment is made on the next succeeding Business Day, no further interest will accrue as a result of such delay), and the denominator of which is 360.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159" w:name="page160"/>
    <w:bookmarkEnd w:id="159"/>
    <w:p>
      <w:pPr>
        <w:ind w:left="-40" w:firstLine="656"/>
        <w:spacing w:after="0" w:line="286" w:lineRule="auto"/>
        <w:tabs>
          <w:tab w:leader="none" w:pos="106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shall be entitled to suspend its obligation to file any amendment to a Shelf Registration Statement, furnish any supplement or amendment to a Prospectus included in a Shelf Registration Statement or any Free Writing Prospectus, make any other filing with the SEC that would be incorporated by reference into a Shelf Registration Statement, cause a Shelf Registration Statement to remain effective or the Prospectus or any Free Writing Prospectus usable or take any similar action (collectively, “</w:t>
      </w:r>
      <w:r>
        <w:rPr>
          <w:rFonts w:ascii="Arial" w:cs="Arial" w:eastAsia="Arial" w:hAnsi="Arial"/>
          <w:sz w:val="19"/>
          <w:szCs w:val="19"/>
          <w:b w:val="1"/>
          <w:bCs w:val="1"/>
          <w:color w:val="auto"/>
        </w:rPr>
        <w:t>Suspension Actions</w:t>
      </w:r>
      <w:r>
        <w:rPr>
          <w:rFonts w:ascii="Arial" w:cs="Arial" w:eastAsia="Arial" w:hAnsi="Arial"/>
          <w:sz w:val="19"/>
          <w:szCs w:val="19"/>
          <w:color w:val="auto"/>
        </w:rPr>
        <w:t>”) if there is a possible acquisition, disposition or business combination or other transaction, business development or event involving the Company or its subsidiaries that may require disclosure in the Shelf Registration Statement or Prospectus and the Company determines that such disclosure is not in the best interest of the Company and its stockholders or obtaining any financial statements relating to any such acquisition or business combination required to be included in the Shelf Registration Statement or Prospectus would be impracticable. Upon the occurrence of any of the conditions described in the foregoing sentence, the Company shall give prompt notice of the delay or suspension (but not the basis thereof) to the Participating Holders. Upon the termination of such condition, the Company shall promptly proceed with all Suspension Actions that were delayed or suspended and, if required, shall give prompt notice to the Participating Holders of the cessation of the delay or suspension (but not the basis thereof).</w:t>
      </w:r>
    </w:p>
    <w:p>
      <w:pPr>
        <w:spacing w:after="0" w:line="111" w:lineRule="exact"/>
        <w:rPr>
          <w:rFonts w:ascii="Arial" w:cs="Arial" w:eastAsia="Arial" w:hAnsi="Arial"/>
          <w:sz w:val="19"/>
          <w:szCs w:val="19"/>
          <w:color w:val="auto"/>
        </w:rPr>
      </w:pPr>
    </w:p>
    <w:p>
      <w:pPr>
        <w:ind w:left="-40" w:right="20" w:firstLine="656"/>
        <w:spacing w:after="0" w:line="297" w:lineRule="auto"/>
        <w:tabs>
          <w:tab w:leader="none" w:pos="103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Without limiting the remedies available to the Initial Purchasers and the Holders, the Company acknowledges that any failure by the Company to comply with its obligations under Section 2(a) and Section 2(b)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seek to specifically enforce the Company’s obligations under Section 2(a) and Section 2(b) hereof.</w:t>
      </w:r>
    </w:p>
    <w:p>
      <w:pPr>
        <w:spacing w:after="0" w:line="93" w:lineRule="exact"/>
        <w:rPr>
          <w:sz w:val="20"/>
          <w:szCs w:val="20"/>
          <w:color w:val="auto"/>
        </w:rPr>
      </w:pPr>
    </w:p>
    <w:p>
      <w:pPr>
        <w:ind w:left="620"/>
        <w:spacing w:after="0"/>
        <w:tabs>
          <w:tab w:leader="none" w:pos="16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Registration Procedures.</w:t>
      </w:r>
    </w:p>
    <w:p>
      <w:pPr>
        <w:spacing w:after="0" w:line="166" w:lineRule="exact"/>
        <w:rPr>
          <w:sz w:val="20"/>
          <w:szCs w:val="20"/>
          <w:color w:val="auto"/>
        </w:rPr>
      </w:pPr>
    </w:p>
    <w:p>
      <w:pPr>
        <w:ind w:left="-40" w:right="920" w:firstLine="656"/>
        <w:spacing w:after="0" w:line="263" w:lineRule="auto"/>
        <w:tabs>
          <w:tab w:leader="none" w:pos="106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connection with its obligations pursuant to Section 2(a) and Section 2(b) hereof, the Company shall use commercially reasonable efforts to:</w:t>
      </w:r>
    </w:p>
    <w:p>
      <w:pPr>
        <w:spacing w:after="0" w:line="120" w:lineRule="exact"/>
        <w:rPr>
          <w:rFonts w:ascii="Arial" w:cs="Arial" w:eastAsia="Arial" w:hAnsi="Arial"/>
          <w:sz w:val="22"/>
          <w:szCs w:val="22"/>
          <w:color w:val="auto"/>
        </w:rPr>
      </w:pPr>
    </w:p>
    <w:p>
      <w:pPr>
        <w:ind w:left="620" w:right="40" w:firstLine="644"/>
        <w:spacing w:after="0" w:line="294" w:lineRule="auto"/>
        <w:tabs>
          <w:tab w:leader="none" w:pos="1688" w:val="left"/>
        </w:tabs>
        <w:numPr>
          <w:ilvl w:val="1"/>
          <w:numId w:val="119"/>
        </w:numPr>
        <w:rPr>
          <w:rFonts w:ascii="Arial" w:cs="Arial" w:eastAsia="Arial" w:hAnsi="Arial"/>
          <w:sz w:val="19"/>
          <w:szCs w:val="19"/>
          <w:color w:val="auto"/>
        </w:rPr>
      </w:pPr>
      <w:r>
        <w:rPr>
          <w:rFonts w:ascii="Arial" w:cs="Arial" w:eastAsia="Arial" w:hAnsi="Arial"/>
          <w:sz w:val="19"/>
          <w:szCs w:val="19"/>
          <w:color w:val="auto"/>
        </w:rPr>
        <w:t>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4(a)(3) of, and Rule 174 under, the Securities Act that is applicable to transactions by brokers or dealers with respect to the Registrable Securities or Exchange Securities;</w:t>
      </w:r>
    </w:p>
    <w:p>
      <w:pPr>
        <w:spacing w:after="0" w:line="95" w:lineRule="exact"/>
        <w:rPr>
          <w:rFonts w:ascii="Arial" w:cs="Arial" w:eastAsia="Arial" w:hAnsi="Arial"/>
          <w:sz w:val="19"/>
          <w:szCs w:val="19"/>
          <w:color w:val="auto"/>
        </w:rPr>
      </w:pPr>
    </w:p>
    <w:p>
      <w:pPr>
        <w:ind w:left="620" w:right="140" w:firstLine="644"/>
        <w:spacing w:after="0" w:line="253" w:lineRule="auto"/>
        <w:tabs>
          <w:tab w:leader="none" w:pos="1748"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 the extent any Free Writing Prospectus is used, file with the SEC any Free Writing Prospectus that is required to be filed by the Company with the SEC in accordance with the Securities Act and to retain a copy of any Free Writing Prospectus not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60"/>
          </w:cols>
          <w:pgMar w:left="360" w:top="1428" w:right="379" w:bottom="1440" w:gutter="0" w:footer="0" w:header="0"/>
        </w:sectPr>
      </w:pPr>
    </w:p>
    <w:bookmarkStart w:id="160" w:name="page161"/>
    <w:bookmarkEnd w:id="160"/>
    <w:p>
      <w:pPr>
        <w:ind w:left="-460" w:right="60" w:firstLine="644"/>
        <w:spacing w:after="0" w:line="287" w:lineRule="auto"/>
        <w:tabs>
          <w:tab w:leader="none" w:pos="72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case of a Shelf Registration, furnish to each Participating Holder, to counsel for the Initial Purchasers, to counsel for such Participating Holders and to each Underwriter of an Underwritten Offering of Registrable Securities, if any, without charge, as many copies of each Prospectus, preliminary prospectus or Free Writing Prospectus, and any amendment or supplement thereto (other than any document that amends and supplements any Prospectus, preliminary prospectus or Free Writing Prospectus because it is incorporated by reference therein), as such Participating Holder, counsel or Underwriter may reasonably request in writing in order to facilitate the sale or other disposition of the Registrable Securities thereunder; and, subject to Section 3(d) hereof, the Company consents to the use of such Prospectus, preliminary prospectus or such Free Writing 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109" w:lineRule="exact"/>
        <w:rPr>
          <w:rFonts w:ascii="Arial" w:cs="Arial" w:eastAsia="Arial" w:hAnsi="Arial"/>
          <w:sz w:val="19"/>
          <w:szCs w:val="19"/>
          <w:color w:val="auto"/>
        </w:rPr>
      </w:pPr>
    </w:p>
    <w:p>
      <w:pPr>
        <w:ind w:left="-460" w:firstLine="644"/>
        <w:spacing w:after="0" w:line="258" w:lineRule="auto"/>
        <w:tabs>
          <w:tab w:leader="none" w:pos="7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register or qualify the Registrable Securities under all applicable state securities or blue sky laws of such jurisdictions of the United States as any Participating Holder shall reasonably request in writing by the time the applicable Registration Statement becomes effective; cooperate with such Participating Holders in connection with any filings required to be made with FINRA; and do any and all other acts and things within the Company’s reasonable control that may be reasonably necessary to enable each Participating Holder to remove any legal impediments to completing the disposition in each such jurisdiction of the Registrable Securities owned by such Participating Holder; provided that the Company shall not be required to (1) qualify as a foreign corporation or other entity or as a dealer in securities in any such jurisdiction where it would not otherwise be required to so qualify, (2) execute or file any general consent to service of process in any such jurisdiction or (3) subject itself to taxation or service of process in any such jurisdiction if it is not already so subject;</w:t>
      </w:r>
    </w:p>
    <w:p>
      <w:pPr>
        <w:spacing w:after="0" w:line="131" w:lineRule="exact"/>
        <w:rPr>
          <w:rFonts w:ascii="Arial" w:cs="Arial" w:eastAsia="Arial" w:hAnsi="Arial"/>
          <w:sz w:val="21"/>
          <w:szCs w:val="21"/>
          <w:color w:val="auto"/>
        </w:rPr>
      </w:pPr>
    </w:p>
    <w:p>
      <w:pPr>
        <w:ind w:left="-460" w:right="40" w:firstLine="644"/>
        <w:spacing w:after="0" w:line="258" w:lineRule="auto"/>
        <w:tabs>
          <w:tab w:leader="none" w:pos="65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notify counsel for the Initial Purchasers (it being understood that for purposes of this Agreement, such references to such counsel shall mean counsel on the date of this Agreement unless the Initial Purchasers notify the Company in writing otherwise) and, in the case of a Shelf Registration, notify each Participating Holder and counsel for such Participating Holders (it being understood that for purposes of this Agreement, references to such counsel shall only be applicable to the extent that the Company has been provided with contact information for such counsel)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the issuance by the SEC or any state securities authority of any stop order suspending the effectiveness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28" w:right="339" w:bottom="1440" w:gutter="0" w:footer="0" w:header="0"/>
        </w:sectPr>
      </w:pPr>
    </w:p>
    <w:bookmarkStart w:id="161" w:name="page162"/>
    <w:bookmarkEnd w:id="161"/>
    <w:p>
      <w:pPr>
        <w:ind w:right="60"/>
        <w:spacing w:after="0" w:line="286" w:lineRule="auto"/>
        <w:rPr>
          <w:sz w:val="20"/>
          <w:szCs w:val="20"/>
          <w:color w:val="auto"/>
        </w:rPr>
      </w:pPr>
      <w:r>
        <w:rPr>
          <w:rFonts w:ascii="Arial" w:cs="Arial" w:eastAsia="Arial" w:hAnsi="Arial"/>
          <w:sz w:val="19"/>
          <w:szCs w:val="19"/>
          <w:color w:val="auto"/>
        </w:rPr>
        <w:t>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(3) if, between the applicable effective date of a Shelf Registration Statement and the closing of any sale of Registrable Securities covered thereby, the representations and warranties of the Company contained in any underwriting agreement, securities sales agreement or other similar agreement, if any, relating to such offering of such Registrable Securities cease to be true and correct in all material respects or if the Company receives any notification with respect to the suspension of the qualification of the Registrable Securities for sale in any U.S. jurisdiction or the initiation of any proceeding for such purpose, (4)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not misleading and (5) of any determination by the Company that a post-effective amendment to a Registration Statement or any amendment or supplement to the Prospectus or any Free Writing Prospectus would be appropriate;</w:t>
      </w:r>
    </w:p>
    <w:p>
      <w:pPr>
        <w:spacing w:after="0" w:line="112" w:lineRule="exact"/>
        <w:rPr>
          <w:sz w:val="20"/>
          <w:szCs w:val="20"/>
          <w:color w:val="auto"/>
        </w:rPr>
      </w:pPr>
    </w:p>
    <w:p>
      <w:pPr>
        <w:ind w:right="320" w:firstLine="644"/>
        <w:spacing w:after="0" w:line="265" w:lineRule="auto"/>
        <w:tabs>
          <w:tab w:leader="none" w:pos="117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notify counsel for the Initial Purchasers or, in the case of a Shelf Registration, notify each Participating Holder and counsel for such Participating Holders, of any request by the SEC or any state securities authority for amendments and supplements to a Registration Statement, Prospectus or any Free Writing Prospectus or for additional information after the Registration Statement has become effective;</w:t>
      </w:r>
    </w:p>
    <w:p>
      <w:pPr>
        <w:spacing w:after="0" w:line="121" w:lineRule="exact"/>
        <w:rPr>
          <w:rFonts w:ascii="Arial" w:cs="Arial" w:eastAsia="Arial" w:hAnsi="Arial"/>
          <w:sz w:val="21"/>
          <w:szCs w:val="21"/>
          <w:color w:val="auto"/>
        </w:rPr>
      </w:pPr>
    </w:p>
    <w:p>
      <w:pPr>
        <w:ind w:right="100" w:firstLine="644"/>
        <w:spacing w:after="0" w:line="302" w:lineRule="auto"/>
        <w:tabs>
          <w:tab w:leader="none" w:pos="123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as soon as reasonably practicable and provide prompt notice to each Holder or Participating Holder of the withdrawal of any such order or such resolution;</w:t>
      </w:r>
    </w:p>
    <w:p>
      <w:pPr>
        <w:spacing w:after="0" w:line="88" w:lineRule="exact"/>
        <w:rPr>
          <w:rFonts w:ascii="Arial" w:cs="Arial" w:eastAsia="Arial" w:hAnsi="Arial"/>
          <w:sz w:val="19"/>
          <w:szCs w:val="19"/>
          <w:color w:val="auto"/>
        </w:rPr>
      </w:pPr>
    </w:p>
    <w:p>
      <w:pPr>
        <w:ind w:firstLine="644"/>
        <w:spacing w:after="0" w:line="288" w:lineRule="auto"/>
        <w:tabs>
          <w:tab w:leader="none" w:pos="129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the case of a Shelf Registration, furnish to each Participating Holder, without charge, upon request, at least one conformed copy of each Registration Statement and any post-effective amendment thereto (without any documents incorporated therein by reference or exhibits thereto, unless requested), if such documents are not available via</w:t>
      </w:r>
    </w:p>
    <w:p>
      <w:pPr>
        <w:spacing w:after="0"/>
        <w:rPr>
          <w:rFonts w:ascii="Arial" w:cs="Arial" w:eastAsia="Arial" w:hAnsi="Arial"/>
          <w:sz w:val="19"/>
          <w:szCs w:val="19"/>
          <w:color w:val="auto"/>
        </w:rPr>
      </w:pPr>
      <w:r>
        <w:rPr>
          <w:rFonts w:ascii="Arial" w:cs="Arial" w:eastAsia="Arial" w:hAnsi="Arial"/>
          <w:sz w:val="22"/>
          <w:szCs w:val="22"/>
          <w:color w:val="auto"/>
        </w:rPr>
        <w:t>EDGAR;</w:t>
      </w:r>
    </w:p>
    <w:p>
      <w:pPr>
        <w:spacing w:after="0" w:line="147" w:lineRule="exact"/>
        <w:rPr>
          <w:rFonts w:ascii="Arial" w:cs="Arial" w:eastAsia="Arial" w:hAnsi="Arial"/>
          <w:sz w:val="19"/>
          <w:szCs w:val="19"/>
          <w:color w:val="auto"/>
        </w:rPr>
      </w:pPr>
    </w:p>
    <w:p>
      <w:pPr>
        <w:ind w:right="300" w:firstLine="644"/>
        <w:spacing w:after="0" w:line="248" w:lineRule="auto"/>
        <w:tabs>
          <w:tab w:leader="none" w:pos="117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 in the case of certificated securities, registered in such names (consistent with the provisions of the Indenture) as such Participating Holders may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60"/>
          </w:cols>
          <w:pgMar w:left="980" w:top="1428" w:right="35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request at least one Business Day prior to the closing of any sale of Registrable Securities;</w:t>
      </w:r>
    </w:p>
    <w:p>
      <w:pPr>
        <w:spacing w:after="0" w:line="166" w:lineRule="exact"/>
        <w:rPr>
          <w:sz w:val="20"/>
          <w:szCs w:val="20"/>
          <w:color w:val="auto"/>
        </w:rPr>
      </w:pPr>
    </w:p>
    <w:p>
      <w:pPr>
        <w:ind w:right="20" w:firstLine="644"/>
        <w:spacing w:after="0" w:line="286" w:lineRule="auto"/>
        <w:tabs>
          <w:tab w:leader="none" w:pos="111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upon the occurrence of any event contemplated by Section 3(a)(v)(4) hereof, prepare and file with the SEC a supplement or post-effective amendment to the applicable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shall notify the Participating Holders (in the case of a Shelf Registration Statement) and the Initial Purchasers and any Participating Broker-Dealers known to the Company (in the case of an Exchange Offer Registration Statement) to suspend use of the Prospectus or any Free Writing Prospectus as promptly as practicable after the occurrence of such an event, and such Participating Holders, such Participating Broker-Dealers and the Initial Purchasers, as applicable, hereby agree to suspend use of the Prospectus or any Free Writing Prospectus, as the case may be, until the Company has amended or supplemented the Prospectus or the Free Writing Prospectus, as the case may be, to correct such misstatement or omission; provided that the Company shall not be required to take any action pursuant to this Section 3(a)(x) during any suspension period pursuant to Sections 2(e) or 3(d) hereof;</w:t>
      </w:r>
    </w:p>
    <w:p>
      <w:pPr>
        <w:spacing w:after="0" w:line="104" w:lineRule="exact"/>
        <w:rPr>
          <w:rFonts w:ascii="Arial" w:cs="Arial" w:eastAsia="Arial" w:hAnsi="Arial"/>
          <w:sz w:val="19"/>
          <w:szCs w:val="19"/>
          <w:color w:val="auto"/>
        </w:rPr>
      </w:pPr>
    </w:p>
    <w:p>
      <w:pPr>
        <w:ind w:firstLine="644"/>
        <w:spacing w:after="0" w:line="286" w:lineRule="auto"/>
        <w:tabs>
          <w:tab w:leader="none" w:pos="117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reasonable time prior to the filing of any Registration Statement, any Prospectus, any Free Writing Prospectus, any amendment to a Registration Statement or amendment or supplement to a Prospectus or a Free Writing Prospectus, provide copies of such document to the Representatives and their counsel (and, in the case of a Shelf Registration Statement, to the Participating Holders and their counsel) and make such of the representatives of the Company as shall be reasonably requested by the Representatives or their counsel (and, in the case of a Shelf Registration Statement, the Participating Holders or their counsel) available for discussion of such document at reasonable times and upon reasonable notice; and the Company shall not, at any time after initial filing of a Registration Statement, use or file any Prospectus, any Free Writing Prospectus, any amendment of or supplement to a Registration Statement or a Prospectus or a Free Writing Prospectus, of which the Representatives and their counsel (and, in the case of a Shelf Registration Statement, the Participating Holders and their counsel) shall not have previously been advised and furnished a copy or to which the Representatives or their counsel (and, in the case of a Shelf Registration Statement, the Participating Holders or their counsel) shall reasonably object in writing within two Business Days after the receipt thereof, unless the Company believes that use or filing of such Prospectus, Free Writing Prospectus, or any amendment of or supplement thereto is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540"/>
          </w:cols>
          <w:pgMar w:left="980" w:top="1428" w:right="379" w:bottom="1440" w:gutter="0" w:footer="0" w:header="0"/>
        </w:sectPr>
      </w:pPr>
    </w:p>
    <w:bookmarkStart w:id="163" w:name="page164"/>
    <w:bookmarkEnd w:id="163"/>
    <w:p>
      <w:pPr>
        <w:ind w:left="-460" w:right="160" w:firstLine="644"/>
        <w:spacing w:after="0" w:line="343" w:lineRule="auto"/>
        <w:tabs>
          <w:tab w:leader="none" w:pos="77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obtain a CUSIP number for all Exchange Securities or Registrable Securities that are registered on a Shelf Registration Statement, as the case may be, not later than the initial effective date of a Registration Statement;</w:t>
      </w:r>
    </w:p>
    <w:p>
      <w:pPr>
        <w:spacing w:after="0" w:line="50" w:lineRule="exact"/>
        <w:rPr>
          <w:rFonts w:ascii="Arial" w:cs="Arial" w:eastAsia="Arial" w:hAnsi="Arial"/>
          <w:sz w:val="19"/>
          <w:szCs w:val="19"/>
          <w:color w:val="auto"/>
        </w:rPr>
      </w:pPr>
    </w:p>
    <w:p>
      <w:pPr>
        <w:ind w:left="-460" w:right="100" w:firstLine="644"/>
        <w:spacing w:after="0" w:line="247" w:lineRule="auto"/>
        <w:tabs>
          <w:tab w:leader="none" w:pos="83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cause the Trustee to execute, all documents as may be required to effect such changes and all other forms and documents required to be filed with the SEC to enable the Indenture to be so qualified in a timely manner;</w:t>
      </w:r>
    </w:p>
    <w:p>
      <w:pPr>
        <w:spacing w:after="0" w:line="138" w:lineRule="exact"/>
        <w:rPr>
          <w:rFonts w:ascii="Arial" w:cs="Arial" w:eastAsia="Arial" w:hAnsi="Arial"/>
          <w:sz w:val="22"/>
          <w:szCs w:val="22"/>
          <w:color w:val="auto"/>
        </w:rPr>
      </w:pPr>
    </w:p>
    <w:p>
      <w:pPr>
        <w:ind w:left="-460" w:firstLine="644"/>
        <w:spacing w:after="0" w:line="287" w:lineRule="auto"/>
        <w:tabs>
          <w:tab w:leader="none" w:pos="82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case of a Shelf Registration, make available for inspection by a representative of the Participating Holders (an “</w:t>
      </w:r>
      <w:r>
        <w:rPr>
          <w:rFonts w:ascii="Arial" w:cs="Arial" w:eastAsia="Arial" w:hAnsi="Arial"/>
          <w:sz w:val="19"/>
          <w:szCs w:val="19"/>
          <w:b w:val="1"/>
          <w:bCs w:val="1"/>
          <w:color w:val="auto"/>
        </w:rPr>
        <w:t>Inspector</w:t>
      </w:r>
      <w:r>
        <w:rPr>
          <w:rFonts w:ascii="Arial" w:cs="Arial" w:eastAsia="Arial" w:hAnsi="Arial"/>
          <w:sz w:val="19"/>
          <w:szCs w:val="19"/>
          <w:color w:val="auto"/>
        </w:rPr>
        <w:t>”), any Underwriters participating in the applicable disposition pursuant to such Shelf Registration Statement, one firm of attorneys and one firm of accountants designated by a majority in aggregate principal amount of the Registrable Securities held by the Participating Holders and one firm of attorneys and one firm of accountants designated by such Underwriters, at reasonable times and in a reasonable manner, all pertinent financial and other records, documents and properties of the Company and its subsidiaries reasonably requested by any such Inspector, Underwriter, attorney or accountant, and cause the respective officers, directors and employees of the Company to supply all information reasonably requested by any such Inspector, Underwriter, attorney or accountant in connection with customary due diligence related to the offering and sale of Registrable Securities under a Shelf Registration Statement, subject to such parties conducting such investigation entering into confidentiality agreements as the Company may reasonably require and to any applicable privilege or pre-existing contractual confidentiality obligations;</w:t>
      </w:r>
    </w:p>
    <w:p>
      <w:pPr>
        <w:spacing w:after="0" w:line="109" w:lineRule="exact"/>
        <w:rPr>
          <w:rFonts w:ascii="Arial" w:cs="Arial" w:eastAsia="Arial" w:hAnsi="Arial"/>
          <w:sz w:val="19"/>
          <w:szCs w:val="19"/>
          <w:color w:val="auto"/>
        </w:rPr>
      </w:pPr>
    </w:p>
    <w:p>
      <w:pPr>
        <w:ind w:left="-460" w:right="240" w:firstLine="644"/>
        <w:spacing w:after="0" w:line="294" w:lineRule="auto"/>
        <w:tabs>
          <w:tab w:leader="none" w:pos="76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reasonably requested by any Participating Holder, promptly include or incorporate by reference in a Prospectus supplement or post-effective amendment such information with respect to such Participating Holder as such Participating Holder reasonably requests to be included therein, based upon a reasonable belief that such information is required to be included therein or is necessary to make the information about such Participating Holder not misleading, and make all required filings of such Prospectus supplement or such post-effective amendment as soon as reasonably practicable after the Company has received notification of the matters to be so included in such filing; and</w:t>
      </w:r>
    </w:p>
    <w:p>
      <w:pPr>
        <w:spacing w:after="0" w:line="95" w:lineRule="exact"/>
        <w:rPr>
          <w:rFonts w:ascii="Arial" w:cs="Arial" w:eastAsia="Arial" w:hAnsi="Arial"/>
          <w:sz w:val="19"/>
          <w:szCs w:val="19"/>
          <w:color w:val="auto"/>
        </w:rPr>
      </w:pPr>
    </w:p>
    <w:p>
      <w:pPr>
        <w:ind w:left="-460" w:right="100" w:firstLine="644"/>
        <w:spacing w:after="0" w:line="302" w:lineRule="auto"/>
        <w:tabs>
          <w:tab w:leader="none" w:pos="82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the case of a Shelf Registration, enter into such customary agreements and take all such other actions in connection therewith (including those requested by the Participating Holders of a majority in principal amount of the Registrable Securities covered by the Shelf Registration Statement) in order to expedite or facilitate the disposition of such Registrable Securities including, but not limited to, in connection with an Underwritten Offering, (1)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00"/>
          </w:cols>
          <w:pgMar w:left="1440" w:top="1428" w:right="359" w:bottom="1440" w:gutter="0" w:footer="0" w:header="0"/>
        </w:sectPr>
      </w:pPr>
    </w:p>
    <w:bookmarkStart w:id="164" w:name="page165"/>
    <w:bookmarkEnd w:id="164"/>
    <w:p>
      <w:pPr>
        <w:ind w:left="600" w:right="20"/>
        <w:spacing w:after="0" w:line="284" w:lineRule="auto"/>
        <w:rPr>
          <w:sz w:val="20"/>
          <w:szCs w:val="20"/>
          <w:color w:val="auto"/>
        </w:rPr>
      </w:pPr>
      <w:r>
        <w:rPr>
          <w:rFonts w:ascii="Arial" w:cs="Arial" w:eastAsia="Arial" w:hAnsi="Arial"/>
          <w:sz w:val="19"/>
          <w:szCs w:val="19"/>
          <w:color w:val="auto"/>
        </w:rPr>
        <w:t xml:space="preserve">possible, making such representations and warranties to the Participating Holders and any Underwriters of such Registrable Securities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consistent with the applicable representations and warranties in the Purchase Agreement and confirm the same if and when requested, (2) obtain an opinion of counsel to the Company (which counsel and opinion, in form, scope and substance, shall be reasonably satisfactory to the Participating Holders and such Underwriters and their respective counsel) addressed to the Underwriter of Registrable Securities, covering the matters customarily covered in opinions requested in underwritten offerings and consistent with the opinions delivered pursuant to the Purchase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required by the Underwriter, counsel for the Participating Holders shall provide an opinion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 covering the matters customarily covered in opinions requested from selling securityholders by underwriters in underwritten offerings, in connection with an Underwritten Offering (3) in connection with an Underwritten Offering, obtain “comfort” letters from the independent registered public accountant of the Company (and, if necessary, any other registered public accountant of any subsidiary of the Company, or of any business acquired by the Company for which financial statements and financial data are or are required to be included in the Registration Statement) addressed to the Underwriter of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 (4) in connection with an Underwritten Offering, deliver such documents and certificates as may be reasonably requested by the Underwriters, and which are customarily delivered in underwritten offerings, to evidence the continued validity of the representations and warranties made pursuant to clause (1) above and to evidence compliance with any customary conditions contained in an underwriting agreement.</w:t>
      </w:r>
    </w:p>
    <w:p>
      <w:pPr>
        <w:spacing w:after="0" w:line="376" w:lineRule="exact"/>
        <w:rPr>
          <w:sz w:val="20"/>
          <w:szCs w:val="20"/>
          <w:color w:val="auto"/>
        </w:rPr>
      </w:pPr>
    </w:p>
    <w:p>
      <w:pPr>
        <w:ind w:left="-60" w:firstLine="656"/>
        <w:spacing w:after="0" w:line="263" w:lineRule="auto"/>
        <w:tabs>
          <w:tab w:leader="none" w:pos="105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Company will comply in all material respects with all rules and regulations of the SEC to the extent and so long as they are applicable to the Exchange Offer or the Shelf Registration.</w:t>
      </w:r>
    </w:p>
    <w:p>
      <w:pPr>
        <w:spacing w:after="0" w:line="120" w:lineRule="exact"/>
        <w:rPr>
          <w:rFonts w:ascii="Arial" w:cs="Arial" w:eastAsia="Arial" w:hAnsi="Arial"/>
          <w:sz w:val="22"/>
          <w:szCs w:val="22"/>
          <w:color w:val="auto"/>
        </w:rPr>
      </w:pPr>
    </w:p>
    <w:p>
      <w:pPr>
        <w:ind w:left="-60" w:firstLine="656"/>
        <w:spacing w:after="0" w:line="292" w:lineRule="auto"/>
        <w:tabs>
          <w:tab w:leader="none" w:pos="104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In the case of a Shelf Registration Statement, the Company may require, as a condition to including such Holder’s Registrable Securities in such Shelf Registration Statement, each Holder of Registrable Securities to furnish to the Company a Notice and Questionnaire and such other information regarding such Holder and the proposed disposition by such Holder of such Registrable Securities and other documentation necessary to effectuate the proposed disposition as the Company may from time to time reasonably request in writing and require such Holder to agree in writing to be bound by all provisions of this Agreement applicable to such Holder. Each Holder of Registrable Securities as to which any Shelf Registration is being effected agrees to furnish promptly to the Company all information required to be disclosed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120"/>
          </w:cols>
          <w:pgMar w:left="380" w:top="1428" w:right="399" w:bottom="1440" w:gutter="0" w:footer="0" w:header="0"/>
        </w:sectPr>
      </w:pPr>
    </w:p>
    <w:bookmarkStart w:id="165" w:name="page166"/>
    <w:bookmarkEnd w:id="165"/>
    <w:p>
      <w:pPr>
        <w:ind w:right="80"/>
        <w:spacing w:after="0" w:line="253" w:lineRule="auto"/>
        <w:rPr>
          <w:sz w:val="20"/>
          <w:szCs w:val="20"/>
          <w:color w:val="auto"/>
        </w:rPr>
      </w:pPr>
      <w:r>
        <w:rPr>
          <w:rFonts w:ascii="Arial" w:cs="Arial" w:eastAsia="Arial" w:hAnsi="Arial"/>
          <w:sz w:val="22"/>
          <w:szCs w:val="22"/>
          <w:color w:val="auto"/>
        </w:rPr>
        <w:t>that the information previously furnished to the Company by such Holder is not materially misleading and does not omit to state any material fact required to be stated therein or necessary to make the statements therein not misleading in the light of the circumstances under which they were made.</w:t>
      </w:r>
    </w:p>
    <w:p>
      <w:pPr>
        <w:spacing w:after="0" w:line="131" w:lineRule="exact"/>
        <w:rPr>
          <w:sz w:val="20"/>
          <w:szCs w:val="20"/>
          <w:color w:val="auto"/>
        </w:rPr>
      </w:pPr>
    </w:p>
    <w:p>
      <w:pPr>
        <w:ind w:firstLine="656"/>
        <w:spacing w:after="0" w:line="292" w:lineRule="auto"/>
        <w:tabs>
          <w:tab w:leader="none" w:pos="11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Each Participating Holder agrees that, upon receipt of any notice from the Company of the happening of any event of the kind described in Section 3(a)(v)(2) or Section 3(a)(v)(4) hereof,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and, if so directed by the Company, such Participating Holder will deliver to the Company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96" w:lineRule="exact"/>
        <w:rPr>
          <w:rFonts w:ascii="Arial" w:cs="Arial" w:eastAsia="Arial" w:hAnsi="Arial"/>
          <w:sz w:val="19"/>
          <w:szCs w:val="19"/>
          <w:color w:val="auto"/>
        </w:rPr>
      </w:pPr>
    </w:p>
    <w:p>
      <w:pPr>
        <w:ind w:right="40" w:firstLine="656"/>
        <w:spacing w:after="0" w:line="290" w:lineRule="auto"/>
        <w:tabs>
          <w:tab w:leader="none" w:pos="110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If the Company shall give any notice to suspend the disposition of Registrable Securities pursuant to a Registration Statement, the Company shall not be required to maintain the effectiveness thereof during the period of such suspension, and the Company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or notice that such amendment or supplement is not necessary;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extension shall be made in the case where such suspension is solely a result the Company’s compliance with Section 3(c) or any other suspension at the request of a Holder.</w:t>
      </w:r>
    </w:p>
    <w:p>
      <w:pPr>
        <w:spacing w:after="0" w:line="101" w:lineRule="exact"/>
        <w:rPr>
          <w:rFonts w:ascii="Arial" w:cs="Arial" w:eastAsia="Arial" w:hAnsi="Arial"/>
          <w:sz w:val="19"/>
          <w:szCs w:val="19"/>
          <w:color w:val="auto"/>
        </w:rPr>
      </w:pPr>
    </w:p>
    <w:p>
      <w:pPr>
        <w:ind w:right="100" w:firstLine="656"/>
        <w:spacing w:after="0" w:line="294" w:lineRule="auto"/>
        <w:tabs>
          <w:tab w:leader="none" w:pos="107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Participating Holders who desire to do so may sell such Registrable Securities in an Underwritten Offering. In any such Underwritten Offering, the investment bank or investment banks and manager or managers (each an “</w:t>
      </w:r>
      <w:r>
        <w:rPr>
          <w:rFonts w:ascii="Arial" w:cs="Arial" w:eastAsia="Arial" w:hAnsi="Arial"/>
          <w:sz w:val="19"/>
          <w:szCs w:val="19"/>
          <w:b w:val="1"/>
          <w:bCs w:val="1"/>
          <w:color w:val="auto"/>
        </w:rPr>
        <w:t>Underwriter</w:t>
      </w:r>
      <w:r>
        <w:rPr>
          <w:rFonts w:ascii="Arial" w:cs="Arial" w:eastAsia="Arial" w:hAnsi="Arial"/>
          <w:sz w:val="19"/>
          <w:szCs w:val="19"/>
          <w:color w:val="auto"/>
        </w:rPr>
        <w:t>”) that will administer the offering will be selected by the Holders of a majority in principal amount of the Registrable Securities included in such offering, subject in each case to consent by the Company (which shall not be unreasonably withheld or delayed so long as such bank or manager is internationally recognized as an underwriter of debt securities offerings). All fees, costs and expenses of the Underwriters, except for Registration Expenses, shall be borne solely by the Participating Holders.</w:t>
      </w:r>
    </w:p>
    <w:p>
      <w:pPr>
        <w:spacing w:after="0" w:line="95" w:lineRule="exact"/>
        <w:rPr>
          <w:rFonts w:ascii="Arial" w:cs="Arial" w:eastAsia="Arial" w:hAnsi="Arial"/>
          <w:sz w:val="19"/>
          <w:szCs w:val="19"/>
          <w:color w:val="auto"/>
        </w:rPr>
      </w:pPr>
    </w:p>
    <w:p>
      <w:pPr>
        <w:ind w:right="80" w:firstLine="656"/>
        <w:spacing w:after="0" w:line="302" w:lineRule="auto"/>
        <w:tabs>
          <w:tab w:leader="none" w:pos="1116"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 Holder of Registrable Securities may participate in any Underwritten Offering hereunder unless such Holder (a) agrees to sell such 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Participation of Broker-Dealers in Exchange Offer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1428" w:right="399" w:bottom="1440" w:gutter="0" w:footer="0" w:header="0"/>
        </w:sectPr>
      </w:pPr>
    </w:p>
    <w:bookmarkStart w:id="166" w:name="page167"/>
    <w:bookmarkEnd w:id="166"/>
    <w:p>
      <w:pPr>
        <w:ind w:firstLine="656"/>
        <w:spacing w:after="0" w:line="248" w:lineRule="auto"/>
        <w:tabs>
          <w:tab w:leader="none" w:pos="11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Staff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22"/>
          <w:szCs w:val="22"/>
          <w:b w:val="1"/>
          <w:bCs w:val="1"/>
          <w:color w:val="auto"/>
        </w:rPr>
        <w:t>Participating Broker-Dealer</w:t>
      </w:r>
      <w:r>
        <w:rPr>
          <w:rFonts w:ascii="Arial" w:cs="Arial" w:eastAsia="Arial" w:hAnsi="Arial"/>
          <w:sz w:val="22"/>
          <w:szCs w:val="22"/>
          <w:color w:val="auto"/>
        </w:rPr>
        <w:t>”) may be deemed to be an “underwriter” within the meaning of the Securities Act and must deliver a prospectus meeting the requirements of the Securities Act in connection with any resale of such Exchange Securities.</w:t>
      </w:r>
    </w:p>
    <w:p>
      <w:pPr>
        <w:spacing w:after="0" w:line="138"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The Company understands that it is the Staff’s position that if the Prospectus contained in an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126" w:lineRule="exact"/>
        <w:rPr>
          <w:sz w:val="20"/>
          <w:szCs w:val="20"/>
          <w:color w:val="auto"/>
        </w:rPr>
      </w:pPr>
    </w:p>
    <w:p>
      <w:pPr>
        <w:ind w:right="160" w:firstLine="656"/>
        <w:spacing w:after="0" w:line="292" w:lineRule="auto"/>
        <w:tabs>
          <w:tab w:leader="none" w:pos="111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light of the above, and notwithstanding the other provisions of this Agreement, the Company agrees to amend or supplement the Prospectus contained in the Exchange Offer Registration Statement for a period of up to 180 days after the last Exchange Date (as such period may be extended pursuant to Section 3(e) hereof), if requested by one or more Participating Broker-Dealers, in order to expedite or facilitate the disposition of any Exchange Securities by Participating Broker-Dealers consistent with the positions of the Staff recited in Section 4(a) above. The Company further agrees that, subject to Section 3(c), Participating Broker-Dealers shall be authorized to deliver such Prospectus (or, to the extent permitted by law, make available) during such period in connection with the resales contemplated by this Section 4.</w:t>
      </w:r>
    </w:p>
    <w:p>
      <w:pPr>
        <w:spacing w:after="0" w:line="96" w:lineRule="exact"/>
        <w:rPr>
          <w:rFonts w:ascii="Arial" w:cs="Arial" w:eastAsia="Arial" w:hAnsi="Arial"/>
          <w:sz w:val="19"/>
          <w:szCs w:val="19"/>
          <w:color w:val="auto"/>
        </w:rPr>
      </w:pPr>
    </w:p>
    <w:p>
      <w:pPr>
        <w:ind w:right="20" w:firstLine="656"/>
        <w:spacing w:after="0" w:line="263" w:lineRule="auto"/>
        <w:tabs>
          <w:tab w:leader="none" w:pos="110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Initial Purchasers shall have no liability to the Company or any Holder with respect to any request that they may make pursuant to Section 4(b) hereof.</w:t>
      </w:r>
    </w:p>
    <w:p>
      <w:pPr>
        <w:spacing w:after="0" w:line="12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i w:val="1"/>
          <w:iCs w:val="1"/>
          <w:color w:val="auto"/>
        </w:rPr>
        <w:t>Indemnification and Contribution</w:t>
      </w:r>
      <w:r>
        <w:rPr>
          <w:rFonts w:ascii="Arial" w:cs="Arial" w:eastAsia="Arial" w:hAnsi="Arial"/>
          <w:sz w:val="19"/>
          <w:szCs w:val="19"/>
          <w:color w:val="auto"/>
        </w:rPr>
        <w:t>.</w:t>
      </w:r>
    </w:p>
    <w:p>
      <w:pPr>
        <w:spacing w:after="0" w:line="166" w:lineRule="exact"/>
        <w:rPr>
          <w:sz w:val="20"/>
          <w:szCs w:val="20"/>
          <w:color w:val="auto"/>
        </w:rPr>
      </w:pPr>
    </w:p>
    <w:p>
      <w:pPr>
        <w:ind w:right="80" w:firstLine="656"/>
        <w:spacing w:after="0" w:line="289" w:lineRule="auto"/>
        <w:tabs>
          <w:tab w:leader="none" w:pos="11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Company will indemnify and hold harmless each Initial Purchaser and each Holder, their respective directors, officers and employees, each person, if any, who controls any Initial Purchaser or any Holder within the meaning of either Section 15 of the Securities Act or Section 20 of the Exchange Act, and each affiliate of any Initial Purchaser within the meaning of Rule 405 under the Securities Act, from and against any and all losses, claims, damages and liabilities, joint or several, to which such Initial Purchaser, Holder, director, officer, employee, controlling person or affiliate may become subject under the Securities Act or otherwise, insofar as such losses, claims, damages or liabilities (or actions in respect thereof) arise out of or are based upon an untrue statement or alleged untrue statement of a material fact contained in any Registration Statement, any Prospectus as amended or supplemented, any Free Writing Prospectus or any “issuer information” (“</w:t>
      </w:r>
      <w:r>
        <w:rPr>
          <w:rFonts w:ascii="Arial" w:cs="Arial" w:eastAsia="Arial" w:hAnsi="Arial"/>
          <w:sz w:val="19"/>
          <w:szCs w:val="19"/>
          <w:b w:val="1"/>
          <w:bCs w:val="1"/>
          <w:color w:val="auto"/>
        </w:rPr>
        <w:t>Issuer Information</w:t>
      </w:r>
      <w:r>
        <w:rPr>
          <w:rFonts w:ascii="Arial" w:cs="Arial" w:eastAsia="Arial" w:hAnsi="Arial"/>
          <w:sz w:val="19"/>
          <w:szCs w:val="19"/>
          <w:color w:val="auto"/>
        </w:rPr>
        <w:t>”) filed or required to be filed pursuant to Rule 433(d)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67" w:name="page168"/>
    <w:bookmarkEnd w:id="167"/>
    <w:p>
      <w:pPr>
        <w:ind w:firstLine="6"/>
        <w:spacing w:after="0" w:line="288" w:lineRule="auto"/>
        <w:rPr>
          <w:sz w:val="20"/>
          <w:szCs w:val="20"/>
          <w:color w:val="auto"/>
        </w:rPr>
      </w:pPr>
      <w:r>
        <w:rPr>
          <w:rFonts w:ascii="Arial" w:cs="Arial" w:eastAsia="Arial" w:hAnsi="Arial"/>
          <w:sz w:val="19"/>
          <w:szCs w:val="19"/>
          <w:color w:val="auto"/>
        </w:rPr>
        <w:t xml:space="preserve">under the Securities Act, or arise out of or are based upon the omission or alleged omission to state therein a material fact necessary in order to make the statements therein in the light of the circumstances under which they were made not misleading, and will reimburse each such Initial Purchaser, Holder, director, officer, employee, controlling person or affiliate for any legal or other out-of-pocket expenses reasonably incurred by such Initial Purchaser, Holder, director, officer, employee, controlling person or affiliate in connection with investigating or defending any such loss, damage, liability, action or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in any such case to the extent that any such loss, claim, damage or liability arises out of or is based upon an untrue statement or alleged untrue statement or omission or alleged omission made in any Registration Statement, any Prospectus as amended or supplemented, any Free Writing Prospectus or any Issuer Information in reliance upon and in conformity with information relating to any Initial Purchaser or any Holder furnished to the Company in writing by such Initial Purchaser or by such Holder expressly for use therein.</w:t>
      </w:r>
    </w:p>
    <w:p>
      <w:pPr>
        <w:spacing w:after="0" w:line="105" w:lineRule="exact"/>
        <w:rPr>
          <w:sz w:val="20"/>
          <w:szCs w:val="20"/>
          <w:color w:val="auto"/>
        </w:rPr>
      </w:pPr>
    </w:p>
    <w:p>
      <w:pPr>
        <w:ind w:firstLine="656"/>
        <w:spacing w:after="0" w:line="285" w:lineRule="auto"/>
        <w:tabs>
          <w:tab w:leader="none" w:pos="111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Holder will, severally and not jointly, indemnify and hold harmless the Company, the Initial Purchasers and the other selling Holders, the directors, officers and employees of the Company, and the Initial Purchasers, each Person, if any, who controls the Company, any Initial Purchaser and any other selling Holder (within the meaning of Section 15 of the Securities Act or Section 20 of the Exchange Act) and each affiliate of any Initial Purchaser within the meaning of Rule 405 under the Securities Act against any losses, claims, damages or liabilities to which the Company or such Initial Purchaser, other selling Holder, director, officer, employee, controlling person or affiliate may become subject, under the Securities Act or otherwise, insofar as such losses, claims, damages or liabilities (or actions in respect thereof) that arise out of or are based upon any untrue statement or alleged untrue statement of a material fact contained in any Registration Statement, any Prospectus as amended or supplemented or any Free Writing Prospectus, or arise out of or are based upon the omission or alleged omission to state therein a material fact necessary in order to make the statements therein not misleading, in each case to the extent, but only to the extent, that such untrue statement or alleged untrue statement or omission or alleged omission was made in any Registration Statement, any Prospectus as amended or supplemented or any Free Writing Prospectus in reliance upon and in conformity with written information relating to such Holder furnished to the Company by such Holder; and each Holder will reimburse the Company and such Initial Purchaser, other selling Holder, director, officer, employee, controlling person and affiliate for any legal or other out-of-pocket expenses reasonably incurred by the Company, Initial Purchaser, other selling Holder, director, officer, employee, controlling person or affiliate in connection with investigating, or defending any such loss, damage, liability, action or claim as such expenses are incurred, but only with reference to information relating to such Holder furnished to the Company in writing by such Holder expressly for use in any Registration Statement, any Prospectus or any Free Writing Prospectus.</w:t>
      </w:r>
    </w:p>
    <w:p>
      <w:pPr>
        <w:spacing w:after="0" w:line="108" w:lineRule="exact"/>
        <w:rPr>
          <w:rFonts w:ascii="Arial" w:cs="Arial" w:eastAsia="Arial" w:hAnsi="Arial"/>
          <w:sz w:val="19"/>
          <w:szCs w:val="19"/>
          <w:color w:val="auto"/>
        </w:rPr>
      </w:pPr>
    </w:p>
    <w:p>
      <w:pPr>
        <w:ind w:right="180" w:firstLine="656"/>
        <w:spacing w:after="0" w:line="343" w:lineRule="auto"/>
        <w:tabs>
          <w:tab w:leader="none" w:pos="11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Promptly after receipt by an indemnified party under subsection (a) or (b) above of notice of the commencement of any action, such indemnified party shall, if a claim in respect thereof is to be made against the indemnifying party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68" w:name="page169"/>
    <w:bookmarkEnd w:id="168"/>
    <w:p>
      <w:pPr>
        <w:spacing w:after="0" w:line="258" w:lineRule="auto"/>
        <w:rPr>
          <w:sz w:val="20"/>
          <w:szCs w:val="20"/>
          <w:color w:val="auto"/>
        </w:rPr>
      </w:pPr>
      <w:r>
        <w:rPr>
          <w:rFonts w:ascii="Arial" w:cs="Arial" w:eastAsia="Arial" w:hAnsi="Arial"/>
          <w:sz w:val="21"/>
          <w:szCs w:val="21"/>
          <w:color w:val="auto"/>
        </w:rPr>
        <w:t>subsection, notify the indemnifying party in writing of the commencement thereof; but the omission to so notify the indemnifying party shall not relieve it from any liability which it may have to any indemnified party except to the extent such omission materially prejudices the indemnifying party. In case any such action shall be brought against any indemnified party,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and shall not be liable for any settlement of any proceeding effected without its written consent, such consent not to be unreasonably withheld, delayed or conditioned.</w:t>
      </w:r>
    </w:p>
    <w:p>
      <w:pPr>
        <w:spacing w:after="0" w:line="128" w:lineRule="exact"/>
        <w:rPr>
          <w:sz w:val="20"/>
          <w:szCs w:val="20"/>
          <w:color w:val="auto"/>
        </w:rPr>
      </w:pPr>
    </w:p>
    <w:p>
      <w:pPr>
        <w:ind w:right="60" w:firstLine="656"/>
        <w:spacing w:after="0" w:line="286" w:lineRule="auto"/>
        <w:tabs>
          <w:tab w:leader="none" w:pos="111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To the extent the indemnification provided for in paragraph (a) or (b) of this Section 5 is unavailable to an indemnified party or insufficient in respect of any losses, claims, damages or liabilities referred to therein (or actions in respect thereof),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benefits received by the Company from the offering of the Securities or Exchange Securities, on the one hand, and the Holders from receiving Securities or Exchange Securities registered under the Securities Act, on the other. If, however, the allocation provided by the immediately preceding sentence is not permitted by applicable law, then each indemnifying party shall contribute to such amount paid or payable by such indemnified party in such proportion as is appropriate to reflect not only the relative benefits but also the relative fault of the Company on the one hand and the Holders on the other in connection with the statements or omissions which resulted in such losses, claims, damages or liabilities (or actions in respect thereof), as well as any other relevant equitable considerations. The relative fault of the Company on the one hand and the Holders on the other shall be determined by reference to, among other things, whether the untrue or alleged untrue statement of a material fact or the omission or alleged omission to state a material fact relates to information supplied by the Company or such Holder and the parties’ relative intent, knowledge, access to information and opportunity to correct or prevent such statement or omission.</w:t>
      </w:r>
    </w:p>
    <w:p>
      <w:pPr>
        <w:spacing w:after="0" w:line="364" w:lineRule="exact"/>
        <w:rPr>
          <w:rFonts w:ascii="Arial" w:cs="Arial" w:eastAsia="Arial" w:hAnsi="Arial"/>
          <w:sz w:val="19"/>
          <w:szCs w:val="19"/>
          <w:color w:val="auto"/>
        </w:rPr>
      </w:pPr>
    </w:p>
    <w:p>
      <w:pPr>
        <w:ind w:right="40" w:firstLine="656"/>
        <w:spacing w:after="0" w:line="246" w:lineRule="auto"/>
        <w:tabs>
          <w:tab w:leader="none" w:pos="11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Company and the Holders agree that it would not be just or equitable if contribution pursuant to this Section 5 were determined by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investigating or defending any such action or claim. Notwithstanding the provisions of this Section 5,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69" w:name="page170"/>
    <w:bookmarkEnd w:id="169"/>
    <w:p>
      <w:pPr>
        <w:ind w:right="300"/>
        <w:spacing w:after="0" w:line="247" w:lineRule="auto"/>
        <w:rPr>
          <w:sz w:val="20"/>
          <w:szCs w:val="20"/>
          <w:color w:val="auto"/>
        </w:rPr>
      </w:pPr>
      <w:r>
        <w:rPr>
          <w:rFonts w:ascii="Arial" w:cs="Arial" w:eastAsia="Arial" w:hAnsi="Arial"/>
          <w:sz w:val="22"/>
          <w:szCs w:val="22"/>
          <w:color w:val="auto"/>
        </w:rPr>
        <w:t>Holder shall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139" w:lineRule="exact"/>
        <w:rPr>
          <w:sz w:val="20"/>
          <w:szCs w:val="20"/>
          <w:color w:val="auto"/>
        </w:rPr>
      </w:pPr>
    </w:p>
    <w:p>
      <w:pPr>
        <w:ind w:right="440" w:firstLine="656"/>
        <w:spacing w:after="0" w:line="263" w:lineRule="auto"/>
        <w:tabs>
          <w:tab w:leader="none" w:pos="107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remedies provided for in this Section 5 are not exclusive and shall not limit any rights or remedies that may otherwise be available to any indemnified party at law or in equity.</w:t>
      </w:r>
    </w:p>
    <w:p>
      <w:pPr>
        <w:spacing w:after="0" w:line="120" w:lineRule="exact"/>
        <w:rPr>
          <w:rFonts w:ascii="Arial" w:cs="Arial" w:eastAsia="Arial" w:hAnsi="Arial"/>
          <w:sz w:val="22"/>
          <w:szCs w:val="22"/>
          <w:color w:val="auto"/>
        </w:rPr>
      </w:pPr>
    </w:p>
    <w:p>
      <w:pPr>
        <w:ind w:right="40" w:firstLine="656"/>
        <w:spacing w:after="0" w:line="297" w:lineRule="auto"/>
        <w:tabs>
          <w:tab w:leader="none" w:pos="111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indemnity and contribution provisions contained in this Section 5 shall remain operative and in full force and effect regardless of (i) any termination of this Agreement, (ii) any investigation made by or on behalf of the Initial Purchasers or any Holder, any Person controlling any Initial Purchaser or any Holder or any affiliate of any Initial Purchaser, or by or on behalf of the Company, its officers or directors or any Person controlling the Company, (iii) acceptance of any of the Exchange Securities and (iv) any sale of Registrable Securities pursuant to a Shelf Registration Statement.</w:t>
      </w:r>
    </w:p>
    <w:p>
      <w:pPr>
        <w:spacing w:after="0" w:line="9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i w:val="1"/>
          <w:iCs w:val="1"/>
          <w:color w:val="auto"/>
        </w:rPr>
        <w:t>General</w:t>
      </w:r>
      <w:r>
        <w:rPr>
          <w:rFonts w:ascii="Arial" w:cs="Arial" w:eastAsia="Arial" w:hAnsi="Arial"/>
          <w:sz w:val="19"/>
          <w:szCs w:val="19"/>
          <w:color w:val="auto"/>
        </w:rPr>
        <w:t>.</w:t>
      </w:r>
    </w:p>
    <w:p>
      <w:pPr>
        <w:spacing w:after="0" w:line="166" w:lineRule="exact"/>
        <w:rPr>
          <w:sz w:val="20"/>
          <w:szCs w:val="20"/>
          <w:color w:val="auto"/>
        </w:rPr>
      </w:pPr>
    </w:p>
    <w:p>
      <w:pPr>
        <w:ind w:right="40" w:firstLine="656"/>
        <w:spacing w:after="0" w:line="297" w:lineRule="auto"/>
        <w:tabs>
          <w:tab w:leader="none" w:pos="1104"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 xml:space="preserve">No Inconsistent Agreements. </w:t>
      </w:r>
      <w:r>
        <w:rPr>
          <w:rFonts w:ascii="Arial" w:cs="Arial" w:eastAsia="Arial" w:hAnsi="Arial"/>
          <w:sz w:val="19"/>
          <w:szCs w:val="19"/>
          <w:color w:val="auto"/>
        </w:rPr>
        <w:t>The Company represents, warrants and agrees that (i) the rights granted to the Holders</w:t>
      </w:r>
      <w:r>
        <w:rPr>
          <w:rFonts w:ascii="Arial" w:cs="Arial" w:eastAsia="Arial" w:hAnsi="Arial"/>
          <w:sz w:val="19"/>
          <w:szCs w:val="19"/>
          <w:i w:val="1"/>
          <w:iCs w:val="1"/>
          <w:color w:val="auto"/>
        </w:rPr>
        <w:t xml:space="preserve"> </w:t>
      </w:r>
      <w:r>
        <w:rPr>
          <w:rFonts w:ascii="Arial" w:cs="Arial" w:eastAsia="Arial" w:hAnsi="Arial"/>
          <w:sz w:val="19"/>
          <w:szCs w:val="19"/>
          <w:color w:val="auto"/>
        </w:rPr>
        <w:t>hereunder do not in any way conflict with and are not inconsistent with the rights granted to the holders of any other outstanding securities issued or guaranteed by the Company under any other agreement and (ii) the Company has not entered into, and on or after the date of this Agreement will not enter into, any agreement that is inconsistent with the rights granted to the Holders of Registrable Securities in this Agreement or otherwise conflicts with the provisions hereof.</w:t>
      </w:r>
    </w:p>
    <w:p>
      <w:pPr>
        <w:spacing w:after="0" w:line="92" w:lineRule="exact"/>
        <w:rPr>
          <w:rFonts w:ascii="Arial" w:cs="Arial" w:eastAsia="Arial" w:hAnsi="Arial"/>
          <w:sz w:val="19"/>
          <w:szCs w:val="19"/>
          <w:color w:val="auto"/>
        </w:rPr>
      </w:pPr>
    </w:p>
    <w:p>
      <w:pPr>
        <w:ind w:firstLine="656"/>
        <w:spacing w:after="0" w:line="287" w:lineRule="auto"/>
        <w:tabs>
          <w:tab w:leader="none" w:pos="1116"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 xml:space="preserve">Amendments and Waivers. </w:t>
      </w:r>
      <w:r>
        <w:rPr>
          <w:rFonts w:ascii="Arial" w:cs="Arial" w:eastAsia="Arial" w:hAnsi="Arial"/>
          <w:sz w:val="19"/>
          <w:szCs w:val="19"/>
          <w:color w:val="auto"/>
        </w:rPr>
        <w:t>The provisions of this Agreement, including the provisions of this sentence, may not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amended, modified or supplemented, and waivers or consents to departures from the provisions hereof may not be given unless the Company has obtained the written consent of Holders of at least a majority in aggregate principal amount of the outstanding Registrable Securities affected by such amendment, modification, supplement, waiver or consent;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amendment, modification, supplement, waiver or consent to any departure from the provisions of Section 5 hereof shall be effective as against any Holder of Registrable Securities unless consented to in writing by such Holder. Any amendments, modifications, supplements, waivers or consents pursuant to this Section 6(b) shall be by a writing executed by each of the parties hereto. Each Holder of Registrable Securities outstanding at the time of any such amendment, modification, supplement, waiver or consent thereafter shall be bound by any such amendment, modification, supplement, waiver or consent effected pursuant to this Section 6(b), whether or not any notice, writing or marking indicating such amendment, modification, supplement, waiver or consent appears on the Registrable Securities or is delivered to such Holder. Notwithstanding the foregoing, each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00"/>
          </w:cols>
          <w:pgMar w:left="320" w:top="1428" w:right="379" w:bottom="1440" w:gutter="0" w:footer="0" w:header="0"/>
        </w:sectPr>
      </w:pPr>
    </w:p>
    <w:bookmarkStart w:id="170" w:name="page171"/>
    <w:bookmarkEnd w:id="170"/>
    <w:p>
      <w:pPr>
        <w:ind w:right="300"/>
        <w:spacing w:after="0" w:line="263" w:lineRule="auto"/>
        <w:rPr>
          <w:sz w:val="20"/>
          <w:szCs w:val="20"/>
          <w:color w:val="auto"/>
        </w:rPr>
      </w:pPr>
      <w:r>
        <w:rPr>
          <w:rFonts w:ascii="Arial" w:cs="Arial" w:eastAsia="Arial" w:hAnsi="Arial"/>
          <w:sz w:val="22"/>
          <w:szCs w:val="22"/>
          <w:color w:val="auto"/>
        </w:rPr>
        <w:t>may waive compliance with respect to any obligation of the Company under this Agreement as it may apply or be enforced by such particular Holder.</w:t>
      </w:r>
    </w:p>
    <w:p>
      <w:pPr>
        <w:spacing w:after="0" w:line="121" w:lineRule="exact"/>
        <w:rPr>
          <w:sz w:val="20"/>
          <w:szCs w:val="20"/>
          <w:color w:val="auto"/>
        </w:rPr>
      </w:pPr>
    </w:p>
    <w:p>
      <w:pPr>
        <w:ind w:right="100" w:firstLine="656"/>
        <w:spacing w:after="0" w:line="287" w:lineRule="auto"/>
        <w:tabs>
          <w:tab w:leader="none" w:pos="1104"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 xml:space="preserve">Notices. </w:t>
      </w:r>
      <w:r>
        <w:rPr>
          <w:rFonts w:ascii="Arial" w:cs="Arial" w:eastAsia="Arial" w:hAnsi="Arial"/>
          <w:sz w:val="19"/>
          <w:szCs w:val="19"/>
          <w:color w:val="auto"/>
        </w:rPr>
        <w:t>All notices and other communications provided for or permitted hereunder shall be made in writing by</w:t>
      </w:r>
      <w:r>
        <w:rPr>
          <w:rFonts w:ascii="Arial" w:cs="Arial" w:eastAsia="Arial" w:hAnsi="Arial"/>
          <w:sz w:val="19"/>
          <w:szCs w:val="19"/>
          <w:i w:val="1"/>
          <w:iCs w:val="1"/>
          <w:color w:val="auto"/>
        </w:rPr>
        <w:t xml:space="preserve"> </w:t>
      </w:r>
      <w:r>
        <w:rPr>
          <w:rFonts w:ascii="Arial" w:cs="Arial" w:eastAsia="Arial" w:hAnsi="Arial"/>
          <w:sz w:val="19"/>
          <w:szCs w:val="19"/>
          <w:color w:val="auto"/>
        </w:rPr>
        <w:t>hand-delivery, registered first-class mail, telecopier, electronic transmission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addresses set forth in the Purchase Agreement; (ii) if to the Company, initially at the applicable address set forth in the Purchase Agreement and thereafter at such other address(es), notice of which is given in accordance with the provisions of this Section 6(c); and (iii) to such other persons at their respective addresses as provided in the Purchase Agreement and thereafter at such other address, notice of which is given in accordance with the provisions of this Section 6(c). All such notices and communications shall be deemed to have been duly given: at the time delivered by hand, if personally delivered; three Business Days after being deposited in the mail, postage prepaid, if mailed; when receipt is acknowledged, if telecopied or electronically transmitted; and on the next Business Day if timely delivered to an air courier guaranteeing overnight delivery.</w:t>
      </w:r>
    </w:p>
    <w:p>
      <w:pPr>
        <w:spacing w:after="0" w:line="109" w:lineRule="exact"/>
        <w:rPr>
          <w:rFonts w:ascii="Arial" w:cs="Arial" w:eastAsia="Arial" w:hAnsi="Arial"/>
          <w:sz w:val="19"/>
          <w:szCs w:val="19"/>
          <w:color w:val="auto"/>
        </w:rPr>
      </w:pPr>
    </w:p>
    <w:p>
      <w:pPr>
        <w:ind w:firstLine="656"/>
        <w:spacing w:after="0" w:line="247" w:lineRule="auto"/>
        <w:tabs>
          <w:tab w:leader="none" w:pos="1116"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Majority of Holders</w:t>
      </w:r>
      <w:r>
        <w:rPr>
          <w:rFonts w:ascii="Arial" w:cs="Arial" w:eastAsia="Arial" w:hAnsi="Arial"/>
          <w:sz w:val="22"/>
          <w:szCs w:val="22"/>
          <w:color w:val="auto"/>
        </w:rPr>
        <w:t>. Whenever an action or determination under this Agreement requires a majority of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principal amount of the applicable holders, in determining such majority, if the Company shall issue any additional Securities under the Indenture prior to consummation of the Exchange Offer or, if applicable, the effectiveness of any Shelf Registration Statement, then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138" w:lineRule="exact"/>
        <w:rPr>
          <w:rFonts w:ascii="Arial" w:cs="Arial" w:eastAsia="Arial" w:hAnsi="Arial"/>
          <w:sz w:val="22"/>
          <w:szCs w:val="22"/>
          <w:color w:val="auto"/>
        </w:rPr>
      </w:pPr>
    </w:p>
    <w:p>
      <w:pPr>
        <w:ind w:right="100" w:firstLine="656"/>
        <w:spacing w:after="0" w:line="288" w:lineRule="auto"/>
        <w:tabs>
          <w:tab w:leader="none" w:pos="1104"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 xml:space="preserve">Successors and Assigns. </w:t>
      </w:r>
      <w:r>
        <w:rPr>
          <w:rFonts w:ascii="Arial" w:cs="Arial" w:eastAsia="Arial" w:hAnsi="Arial"/>
          <w:sz w:val="19"/>
          <w:szCs w:val="19"/>
          <w:color w:val="auto"/>
        </w:rPr>
        <w:t>This Agreement shall inure to the benefit of and be binding upon the successors, assigns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transferees of each of the parties, including, without limitation and without the need for an express assignment, subsequent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with respect to any failure by a Holder to comply with, or any breach by any Holder of, any of the obligations of such Holder under this Agreement.</w:t>
      </w:r>
    </w:p>
    <w:p>
      <w:pPr>
        <w:spacing w:after="0" w:line="105" w:lineRule="exact"/>
        <w:rPr>
          <w:rFonts w:ascii="Arial" w:cs="Arial" w:eastAsia="Arial" w:hAnsi="Arial"/>
          <w:sz w:val="19"/>
          <w:szCs w:val="19"/>
          <w:color w:val="auto"/>
        </w:rPr>
      </w:pPr>
    </w:p>
    <w:p>
      <w:pPr>
        <w:jc w:val="both"/>
        <w:ind w:right="120" w:firstLine="656"/>
        <w:spacing w:after="0" w:line="343" w:lineRule="auto"/>
        <w:tabs>
          <w:tab w:leader="none" w:pos="1080"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 xml:space="preserve">Third Party Beneficiaries. </w:t>
      </w:r>
      <w:r>
        <w:rPr>
          <w:rFonts w:ascii="Arial" w:cs="Arial" w:eastAsia="Arial" w:hAnsi="Arial"/>
          <w:sz w:val="19"/>
          <w:szCs w:val="19"/>
          <w:color w:val="auto"/>
        </w:rPr>
        <w:t>Each Holder shall be a third party beneficiary to the agreements made hereunder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on the one hand, and the Initial Purchasers, on the other hand, and shall have the right to enforce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71" w:name="page172"/>
    <w:bookmarkEnd w:id="171"/>
    <w:p>
      <w:pPr>
        <w:ind w:right="820"/>
        <w:spacing w:after="0" w:line="263" w:lineRule="auto"/>
        <w:rPr>
          <w:sz w:val="20"/>
          <w:szCs w:val="20"/>
          <w:color w:val="auto"/>
        </w:rPr>
      </w:pPr>
      <w:r>
        <w:rPr>
          <w:rFonts w:ascii="Arial" w:cs="Arial" w:eastAsia="Arial" w:hAnsi="Arial"/>
          <w:sz w:val="22"/>
          <w:szCs w:val="22"/>
          <w:color w:val="auto"/>
        </w:rPr>
        <w:t>directly to the extent it deems such enforcement necessary or advisable to protect its rights or the rights of other Holders hereunder.</w:t>
      </w:r>
    </w:p>
    <w:p>
      <w:pPr>
        <w:spacing w:after="0" w:line="121" w:lineRule="exact"/>
        <w:rPr>
          <w:sz w:val="20"/>
          <w:szCs w:val="20"/>
          <w:color w:val="auto"/>
        </w:rPr>
      </w:pPr>
    </w:p>
    <w:p>
      <w:pPr>
        <w:ind w:right="140" w:firstLine="656"/>
        <w:spacing w:after="0" w:line="294" w:lineRule="auto"/>
        <w:tabs>
          <w:tab w:leader="none" w:pos="1116"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 xml:space="preserve">Counterparts. </w:t>
      </w:r>
      <w:r>
        <w:rPr>
          <w:rFonts w:ascii="Arial" w:cs="Arial" w:eastAsia="Arial" w:hAnsi="Arial"/>
          <w:sz w:val="19"/>
          <w:szCs w:val="19"/>
          <w:color w:val="auto"/>
        </w:rPr>
        <w:t>This Agreement may be executed in two or more counterparts, each of which shall be an original,</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95" w:lineRule="exact"/>
        <w:rPr>
          <w:rFonts w:ascii="Arial" w:cs="Arial" w:eastAsia="Arial" w:hAnsi="Arial"/>
          <w:sz w:val="19"/>
          <w:szCs w:val="19"/>
          <w:color w:val="auto"/>
        </w:rPr>
      </w:pPr>
    </w:p>
    <w:p>
      <w:pPr>
        <w:ind w:right="280" w:firstLine="656"/>
        <w:spacing w:after="0" w:line="263" w:lineRule="auto"/>
        <w:tabs>
          <w:tab w:leader="none" w:pos="1116"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in this Agreement are for convenience of reference only, are not a part of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shall not limit or otherwise affect the meaning hereof.</w:t>
      </w:r>
    </w:p>
    <w:p>
      <w:pPr>
        <w:spacing w:after="0" w:line="120" w:lineRule="exact"/>
        <w:rPr>
          <w:rFonts w:ascii="Arial" w:cs="Arial" w:eastAsia="Arial" w:hAnsi="Arial"/>
          <w:sz w:val="22"/>
          <w:szCs w:val="22"/>
          <w:color w:val="auto"/>
        </w:rPr>
      </w:pPr>
    </w:p>
    <w:p>
      <w:pPr>
        <w:ind w:right="220" w:firstLine="656"/>
        <w:spacing w:after="0" w:line="263" w:lineRule="auto"/>
        <w:tabs>
          <w:tab w:leader="none" w:pos="1068"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and any claim, controversy or dispute arising under or related to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governed by and construed in accordance with the laws of the State of New York.</w:t>
      </w:r>
    </w:p>
    <w:p>
      <w:pPr>
        <w:spacing w:after="0" w:line="120" w:lineRule="exact"/>
        <w:rPr>
          <w:rFonts w:ascii="Arial" w:cs="Arial" w:eastAsia="Arial" w:hAnsi="Arial"/>
          <w:sz w:val="22"/>
          <w:szCs w:val="22"/>
          <w:color w:val="auto"/>
        </w:rPr>
      </w:pPr>
    </w:p>
    <w:p>
      <w:pPr>
        <w:ind w:firstLine="656"/>
        <w:spacing w:after="0" w:line="292" w:lineRule="auto"/>
        <w:tabs>
          <w:tab w:leader="none" w:pos="1068"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 xml:space="preserve">Entire Agreement; Severability. </w:t>
      </w:r>
      <w:r>
        <w:rPr>
          <w:rFonts w:ascii="Arial" w:cs="Arial" w:eastAsia="Arial" w:hAnsi="Arial"/>
          <w:sz w:val="19"/>
          <w:szCs w:val="19"/>
          <w:color w:val="auto"/>
        </w:rPr>
        <w:t>This Agreement contains the entire agreement between the parties relating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 restrictions contained herein shall remain in full force and effect and shall in no way be affected, impaired or invalidated. The Company and the Initial Purchasers shall endeavor in good faith negotiations to replace the invalid, void or unenforceable provisions with valid provisions the economic effect of which comes as close as possible to that of the invalid, void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20"/>
          </w:cols>
          <w:pgMar w:left="320" w:top="1428" w:right="35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GXO Logistics, Inc.</w:t>
      </w:r>
    </w:p>
    <w:p>
      <w:pPr>
        <w:spacing w:after="0" w:line="382" w:lineRule="exact"/>
        <w:rPr>
          <w:sz w:val="20"/>
          <w:szCs w:val="20"/>
          <w:color w:val="auto"/>
        </w:rPr>
      </w:pPr>
    </w:p>
    <w:tbl>
      <w:tblPr>
        <w:tblLayout w:type="fixed"/>
        <w:tblInd w:w="4600" w:type="dxa"/>
        <w:tblCellMar>
          <w:top w:w="0" w:type="dxa"/>
          <w:left w:w="0" w:type="dxa"/>
          <w:bottom w:w="0" w:type="dxa"/>
          <w:right w:w="0" w:type="dxa"/>
        </w:tblCellMar>
      </w:tblPr>
      <w:tr>
        <w:trPr>
          <w:trHeight w:val="285"/>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Baris Oran</w:t>
            </w:r>
          </w:p>
        </w:tc>
      </w:tr>
      <w:tr>
        <w:trPr>
          <w:trHeight w:val="294"/>
        </w:trPr>
        <w:tc>
          <w:tcPr>
            <w:tcW w:w="7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Name: Baris Oran</w:t>
            </w:r>
          </w:p>
        </w:tc>
      </w:tr>
      <w:tr>
        <w:trPr>
          <w:trHeight w:val="310"/>
        </w:trPr>
        <w:tc>
          <w:tcPr>
            <w:tcW w:w="72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22"/>
                <w:szCs w:val="22"/>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40"/>
        <w:spacing w:after="0"/>
        <w:rPr>
          <w:sz w:val="20"/>
          <w:szCs w:val="20"/>
          <w:color w:val="auto"/>
        </w:rPr>
      </w:pPr>
      <w:r>
        <w:rPr>
          <w:rFonts w:ascii="Arial" w:cs="Arial" w:eastAsia="Arial" w:hAnsi="Arial"/>
          <w:sz w:val="22"/>
          <w:szCs w:val="22"/>
          <w:i w:val="1"/>
          <w:iCs w:val="1"/>
          <w:color w:val="auto"/>
        </w:rPr>
        <w:t>[Signature Page to Registration Rights Agreement]</w:t>
      </w:r>
    </w:p>
    <w:p>
      <w:pPr>
        <w:sectPr>
          <w:pgSz w:w="11900" w:h="16838" w:orient="portrait"/>
          <w:cols w:equalWidth="0" w:num="1">
            <w:col w:w="10580"/>
          </w:cols>
          <w:pgMar w:left="980" w:top="1428"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Confirmed and accepted as of the date first above written: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CREDIT AGRICOLE SECURITIES (USA)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themselves and on behalf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several Initial Purchasers</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Barclays Capital Inc.</w:t>
      </w:r>
    </w:p>
    <w:p>
      <w:pPr>
        <w:spacing w:after="0" w:line="382"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Name: Kenneth Chang</w:t>
      </w:r>
    </w:p>
    <w:p>
      <w:pPr>
        <w:spacing w:after="0" w:line="5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 MD</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Citigroup Global Markets Inc.</w:t>
      </w:r>
    </w:p>
    <w:p>
      <w:pPr>
        <w:spacing w:after="0" w:line="200" w:lineRule="exact"/>
        <w:rPr>
          <w:sz w:val="20"/>
          <w:szCs w:val="20"/>
          <w:color w:val="auto"/>
        </w:rPr>
      </w:pPr>
    </w:p>
    <w:p>
      <w:pPr>
        <w:spacing w:after="0" w:line="398"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1" w:lineRule="exact"/>
        <w:rPr>
          <w:sz w:val="20"/>
          <w:szCs w:val="20"/>
          <w:color w:val="auto"/>
        </w:rPr>
      </w:pPr>
    </w:p>
    <w:p>
      <w:pPr>
        <w:ind w:left="6000"/>
        <w:spacing w:after="0"/>
        <w:rPr>
          <w:sz w:val="20"/>
          <w:szCs w:val="20"/>
          <w:color w:val="auto"/>
        </w:rPr>
      </w:pPr>
      <w:r>
        <w:rPr>
          <w:rFonts w:ascii="Arial" w:cs="Arial" w:eastAsia="Arial" w:hAnsi="Arial"/>
          <w:sz w:val="21"/>
          <w:szCs w:val="21"/>
          <w:color w:val="auto"/>
        </w:rPr>
        <w:t>Name: Brian D. Bednarski</w:t>
      </w:r>
    </w:p>
    <w:p>
      <w:pPr>
        <w:spacing w:after="0" w:line="69"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98" w:lineRule="exact"/>
        <w:rPr>
          <w:sz w:val="20"/>
          <w:szCs w:val="20"/>
          <w:color w:val="auto"/>
        </w:rPr>
      </w:pPr>
    </w:p>
    <w:p>
      <w:pPr>
        <w:jc w:val="right"/>
        <w:ind w:right="1599"/>
        <w:spacing w:after="0"/>
        <w:rPr>
          <w:sz w:val="20"/>
          <w:szCs w:val="20"/>
          <w:color w:val="auto"/>
        </w:rPr>
      </w:pPr>
      <w:r>
        <w:rPr>
          <w:rFonts w:ascii="Arial" w:cs="Arial" w:eastAsia="Arial" w:hAnsi="Arial"/>
          <w:sz w:val="22"/>
          <w:szCs w:val="22"/>
          <w:color w:val="auto"/>
        </w:rPr>
        <w:t>Credit Agricole Securities (USA) Inc.</w:t>
      </w:r>
    </w:p>
    <w:p>
      <w:pPr>
        <w:spacing w:after="0" w:line="382"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Ivan Hrazdira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Name: Ivan Hrazdira</w:t>
      </w:r>
    </w:p>
    <w:p>
      <w:pPr>
        <w:spacing w:after="0" w:line="5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 Managing Director</w:t>
      </w:r>
    </w:p>
    <w:p>
      <w:pPr>
        <w:spacing w:after="0" w:line="38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Goldman Sachs &amp; Co. LLC</w:t>
      </w:r>
    </w:p>
    <w:p>
      <w:pPr>
        <w:spacing w:after="0" w:line="382" w:lineRule="exact"/>
        <w:rPr>
          <w:sz w:val="20"/>
          <w:szCs w:val="20"/>
          <w:color w:val="auto"/>
        </w:rPr>
      </w:pPr>
    </w:p>
    <w:p>
      <w:pPr>
        <w:ind w:left="526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Sam Chaffin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24130</wp:posOffset>
            </wp:positionV>
            <wp:extent cx="3343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1"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Name: Sam Chaffin</w:t>
      </w:r>
    </w:p>
    <w:p>
      <w:pPr>
        <w:spacing w:after="0" w:line="58" w:lineRule="exact"/>
        <w:rPr>
          <w:sz w:val="20"/>
          <w:szCs w:val="20"/>
          <w:color w:val="auto"/>
        </w:rPr>
      </w:pPr>
    </w:p>
    <w:p>
      <w:pPr>
        <w:ind w:left="60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0"/>
        <w:spacing w:after="0"/>
        <w:rPr>
          <w:sz w:val="20"/>
          <w:szCs w:val="20"/>
          <w:color w:val="auto"/>
        </w:rPr>
      </w:pPr>
      <w:r>
        <w:rPr>
          <w:rFonts w:ascii="Arial" w:cs="Arial" w:eastAsia="Arial" w:hAnsi="Arial"/>
          <w:sz w:val="22"/>
          <w:szCs w:val="22"/>
          <w:i w:val="1"/>
          <w:iCs w:val="1"/>
          <w:color w:val="auto"/>
        </w:rPr>
        <w:t>[Signature Page to Registration Rights Agreement]</w:t>
      </w:r>
    </w:p>
    <w:p>
      <w:pPr>
        <w:sectPr>
          <w:pgSz w:w="11900" w:h="16838" w:orient="portrait"/>
          <w:cols w:equalWidth="0" w:num="1">
            <w:col w:w="10139"/>
          </w:cols>
          <w:pgMar w:left="320" w:top="1428"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right="440" w:firstLine="95"/>
        <w:spacing w:after="0" w:line="343" w:lineRule="auto"/>
        <w:rPr>
          <w:sz w:val="20"/>
          <w:szCs w:val="20"/>
          <w:color w:val="auto"/>
        </w:rPr>
      </w:pPr>
      <w:r>
        <w:rPr>
          <w:rFonts w:ascii="Arial" w:cs="Arial" w:eastAsia="Arial" w:hAnsi="Arial"/>
          <w:sz w:val="19"/>
          <w:szCs w:val="19"/>
          <w:color w:val="auto"/>
        </w:rPr>
        <w:t>FORM OF OPTION AWARD AGREEMENT UNDER THE XPO LOGISTICS, INC. 2016 OMNIBUS INCENTIVE COMPENSATION PLAN, dated as of [] between XPO Logistics,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w:t>
      </w:r>
    </w:p>
    <w:p>
      <w:pPr>
        <w:spacing w:after="0" w:line="131"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This Option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sets forth the terms and conditions of an award of options to purchase [] shares (this “</w:t>
      </w:r>
      <w:r>
        <w:rPr>
          <w:rFonts w:ascii="Arial" w:cs="Arial" w:eastAsia="Arial" w:hAnsi="Arial"/>
          <w:sz w:val="22"/>
          <w:szCs w:val="22"/>
          <w:u w:val="single" w:color="auto"/>
          <w:color w:val="auto"/>
        </w:rPr>
        <w:t>Award</w:t>
      </w:r>
      <w:r>
        <w:rPr>
          <w:rFonts w:ascii="Arial" w:cs="Arial" w:eastAsia="Arial" w:hAnsi="Arial"/>
          <w:sz w:val="22"/>
          <w:szCs w:val="22"/>
          <w:color w:val="auto"/>
        </w:rPr>
        <w:t>”) of the Company’s common stock, $0.001 par value per share (each, a “</w:t>
      </w:r>
      <w:r>
        <w:rPr>
          <w:rFonts w:ascii="Arial" w:cs="Arial" w:eastAsia="Arial" w:hAnsi="Arial"/>
          <w:sz w:val="22"/>
          <w:szCs w:val="22"/>
          <w:u w:val="single" w:color="auto"/>
          <w:color w:val="auto"/>
        </w:rPr>
        <w:t>Share</w:t>
      </w:r>
      <w:r>
        <w:rPr>
          <w:rFonts w:ascii="Arial" w:cs="Arial" w:eastAsia="Arial" w:hAnsi="Arial"/>
          <w:sz w:val="22"/>
          <w:szCs w:val="22"/>
          <w:color w:val="auto"/>
        </w:rPr>
        <w:t>”), that are being granted to you on the date hereof (such date, the “</w:t>
      </w:r>
      <w:r>
        <w:rPr>
          <w:rFonts w:ascii="Arial" w:cs="Arial" w:eastAsia="Arial" w:hAnsi="Arial"/>
          <w:sz w:val="22"/>
          <w:szCs w:val="22"/>
          <w:u w:val="single" w:color="auto"/>
          <w:color w:val="auto"/>
        </w:rPr>
        <w:t>Grant Date</w:t>
      </w:r>
      <w:r>
        <w:rPr>
          <w:rFonts w:ascii="Arial" w:cs="Arial" w:eastAsia="Arial" w:hAnsi="Arial"/>
          <w:sz w:val="22"/>
          <w:szCs w:val="22"/>
          <w:color w:val="auto"/>
        </w:rPr>
        <w:t>”), at an exercise price of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per Share (the “</w:t>
      </w:r>
      <w:r>
        <w:rPr>
          <w:rFonts w:ascii="Arial" w:cs="Arial" w:eastAsia="Arial" w:hAnsi="Arial"/>
          <w:sz w:val="22"/>
          <w:szCs w:val="22"/>
          <w:u w:val="single" w:color="auto"/>
          <w:color w:val="auto"/>
        </w:rPr>
        <w:t>Exercise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 that are subject to the terms and conditions specified herein (each such option to purchase one Share, an “</w:t>
      </w:r>
      <w:r>
        <w:rPr>
          <w:rFonts w:ascii="Arial" w:cs="Arial" w:eastAsia="Arial" w:hAnsi="Arial"/>
          <w:sz w:val="22"/>
          <w:szCs w:val="22"/>
          <w:u w:val="single" w:color="auto"/>
          <w:color w:val="auto"/>
        </w:rPr>
        <w:t>Option</w:t>
      </w:r>
      <w:r>
        <w:rPr>
          <w:rFonts w:ascii="Arial" w:cs="Arial" w:eastAsia="Arial" w:hAnsi="Arial"/>
          <w:sz w:val="22"/>
          <w:szCs w:val="22"/>
          <w:color w:val="auto"/>
        </w:rPr>
        <w:t>”), and that are granted to you under the XPO Logistics, Inc. 2016 Omnibus Incentive Compensation Plan, as amended (the “</w:t>
      </w:r>
      <w:r>
        <w:rPr>
          <w:rFonts w:ascii="Arial" w:cs="Arial" w:eastAsia="Arial" w:hAnsi="Arial"/>
          <w:sz w:val="22"/>
          <w:szCs w:val="22"/>
          <w:u w:val="single" w:color="auto"/>
          <w:color w:val="auto"/>
        </w:rPr>
        <w:t>Plan</w:t>
      </w:r>
      <w:r>
        <w:rPr>
          <w:rFonts w:ascii="Arial" w:cs="Arial" w:eastAsia="Arial" w:hAnsi="Arial"/>
          <w:sz w:val="22"/>
          <w:szCs w:val="22"/>
          <w:color w:val="auto"/>
        </w:rPr>
        <w:t>”). The Options are not intended to qualify as “incentive stock options” (within the meaning of Section 422 of the Internal Revenue Code of 1986, as amended).</w:t>
      </w:r>
    </w:p>
    <w:p>
      <w:pPr>
        <w:spacing w:after="0" w:line="148"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THIS AWARD IS SUBJECT TO ALL TERMS AND CONDITIONS OF THE PLAN AND THIS AWARD AGREEMENT, INCLUDING THE DISPUTE RESOLUTION PROVISIONS SET FORTH IN SECTION 10 OF THIS AWARD AGREEMENT. BY SIGNING YOUR NAME BELOW, YOU SHALL HAVE CONFIRMED YOUR ACCEPTANCE OF THE TERMS AND CONDITIONS OF THIS AWARD AGREEMENT.</w:t>
      </w:r>
    </w:p>
    <w:p>
      <w:pPr>
        <w:spacing w:after="0" w:line="134" w:lineRule="exact"/>
        <w:rPr>
          <w:sz w:val="20"/>
          <w:szCs w:val="20"/>
          <w:color w:val="auto"/>
        </w:rPr>
      </w:pPr>
    </w:p>
    <w:p>
      <w:pPr>
        <w:jc w:val="both"/>
        <w:ind w:right="120" w:firstLine="1296"/>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The Plan.</w:t>
      </w:r>
      <w:r>
        <w:rPr>
          <w:rFonts w:ascii="Arial" w:cs="Arial" w:eastAsia="Arial" w:hAnsi="Arial"/>
          <w:sz w:val="22"/>
          <w:szCs w:val="22"/>
          <w:color w:val="auto"/>
        </w:rPr>
        <w:t xml:space="preserve"> This Award is made pursuant to the Plan, all the terms of which are hereby incorporated in this Award Agreement. In the event of any conflict between the terms of the Plan and the terms of this Award Agreement, the terms of the Plan shall govern.</w:t>
      </w:r>
    </w:p>
    <w:p>
      <w:pPr>
        <w:spacing w:after="0" w:line="131" w:lineRule="exact"/>
        <w:rPr>
          <w:sz w:val="20"/>
          <w:szCs w:val="20"/>
          <w:color w:val="auto"/>
        </w:rPr>
      </w:pPr>
    </w:p>
    <w:p>
      <w:pPr>
        <w:jc w:val="both"/>
        <w:ind w:right="380" w:firstLine="1296"/>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Award Agreement that are not defined in this Award Agreement have the meanings as used or defined in the Plan. As used in this Award Agreement, the following terms have the meanings set forth below:</w:t>
      </w:r>
    </w:p>
    <w:p>
      <w:pPr>
        <w:spacing w:after="0" w:line="131"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21" w:lineRule="exact"/>
        <w:rPr>
          <w:sz w:val="20"/>
          <w:szCs w:val="20"/>
          <w:color w:val="auto"/>
        </w:rPr>
      </w:pPr>
    </w:p>
    <w:p>
      <w:pPr>
        <w:ind w:right="160"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your (i) gross negligence or willful failure to perform your duties hereunder or willful refusal to follow any lawful directive of the Chief Executive Officer of the Company or the Board of Directors of the Company; (ii) abuse of or dependency on alcohol or drugs (illicit or otherwise) that adversely affects your performance of duties hereunder;</w:t>
      </w:r>
    </w:p>
    <w:p>
      <w:pPr>
        <w:spacing w:after="0" w:line="1" w:lineRule="exact"/>
        <w:rPr>
          <w:sz w:val="20"/>
          <w:szCs w:val="20"/>
          <w:color w:val="auto"/>
        </w:rPr>
      </w:pPr>
    </w:p>
    <w:p>
      <w:pPr>
        <w:ind w:right="120" w:firstLine="8"/>
        <w:spacing w:after="0" w:line="257" w:lineRule="auto"/>
        <w:tabs>
          <w:tab w:leader="none" w:pos="37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commission of any fraud, embezzlement, theft or dishonesty, or any deliberate misappropriation of money or other assets of the Company; (iv) breach of any term of any Employment Agreement to which you may be party or any agreement governing long-term incentive compensation or equity compensation to which you may be party or breach of your fiduciary duties to the Company; (v) failure to provide the Company with at least 30 days’ advanced written notice of your intention to resign; (vi) any willful act, or failure to act, in bad faith to the detriment of the Company; (vii) willful failure to cooperate in good faith with a governmental or internal investigation of the Company or any of its directors, managers, officers or employees, if the Company requests your cooperation; (viii) failure to follow the Company’s code of conduct or ethics policy; and (ix) conviction of, or plea of nolo contendere to, a felony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1" w:lineRule="exact"/>
        <w:rPr>
          <w:sz w:val="20"/>
          <w:szCs w:val="20"/>
          <w:color w:val="auto"/>
        </w:rPr>
      </w:pPr>
    </w:p>
    <w:p>
      <w:pPr>
        <w:ind w:left="520" w:hanging="123"/>
        <w:spacing w:after="0"/>
        <w:tabs>
          <w:tab w:leader="none" w:pos="520" w:val="left"/>
        </w:tabs>
        <w:numPr>
          <w:ilvl w:val="0"/>
          <w:numId w:val="136"/>
        </w:numPr>
        <w:rPr>
          <w:rFonts w:ascii="Arial" w:cs="Arial" w:eastAsia="Arial" w:hAnsi="Arial"/>
          <w:sz w:val="28"/>
          <w:szCs w:val="28"/>
          <w:color w:val="auto"/>
          <w:vertAlign w:val="superscript"/>
        </w:rPr>
      </w:pPr>
      <w:r>
        <w:rPr>
          <w:rFonts w:ascii="Arial" w:cs="Arial" w:eastAsia="Arial" w:hAnsi="Arial"/>
          <w:sz w:val="18"/>
          <w:szCs w:val="18"/>
          <w:color w:val="auto"/>
        </w:rPr>
        <w:t>Exercise price per Share will equal the closing price per Share as reported by the NYSE on the Grant Date.</w:t>
      </w:r>
    </w:p>
    <w:p>
      <w:pPr>
        <w:sectPr>
          <w:pgSz w:w="11900" w:h="16838" w:orient="portrait"/>
          <w:cols w:equalWidth="0" w:num="1">
            <w:col w:w="11240"/>
          </w:cols>
          <w:pgMar w:left="320" w:top="121" w:right="339" w:bottom="1440" w:gutter="0" w:footer="0" w:header="0"/>
        </w:sectPr>
      </w:pPr>
    </w:p>
    <w:bookmarkStart w:id="175" w:name="page176"/>
    <w:bookmarkEnd w:id="175"/>
    <w:p>
      <w:pPr>
        <w:spacing w:after="0" w:line="290" w:lineRule="auto"/>
        <w:rPr>
          <w:sz w:val="20"/>
          <w:szCs w:val="20"/>
          <w:color w:val="auto"/>
        </w:rPr>
      </w:pPr>
      <w:r>
        <w:rPr>
          <w:rFonts w:ascii="Arial" w:cs="Arial" w:eastAsia="Arial" w:hAnsi="Arial"/>
          <w:sz w:val="19"/>
          <w:szCs w:val="19"/>
          <w:color w:val="auto"/>
        </w:rPr>
        <w:t>any serious crime; provided that, the Company will provide you with written notice describing the facts and circumstances that the Company believes constitutes Cause and, in cases where cure is possible, you shall first be provided a 15-day cure period. If, subsequent to your termination of employment for any reason other than by the Company for Cause, it is determined in good faith by the Chief Executive Officer of the Company that your employment could have been terminated by the Company for Cause, your employment shall, at the election of the Chief Executive Officer of the Company at any time up to two years after your termination of employment but in no event more than six months after the Chief Executive Officer of the Company learns of the facts or events that could give rise to the termination for Cause, be deemed to have been terminated for Cause retroactively to the date the events giving rise to Cause occurred.</w:t>
      </w:r>
    </w:p>
    <w:p>
      <w:pPr>
        <w:spacing w:after="0" w:line="102" w:lineRule="exact"/>
        <w:rPr>
          <w:sz w:val="20"/>
          <w:szCs w:val="20"/>
          <w:color w:val="auto"/>
        </w:rPr>
      </w:pPr>
    </w:p>
    <w:p>
      <w:pPr>
        <w:ind w:right="6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CIC Termination</w:t>
      </w:r>
      <w:r>
        <w:rPr>
          <w:rFonts w:ascii="Arial" w:cs="Arial" w:eastAsia="Arial" w:hAnsi="Arial"/>
          <w:sz w:val="21"/>
          <w:szCs w:val="21"/>
          <w:color w:val="auto"/>
        </w:rPr>
        <w:t>” means your termination of employment by the Company without Cause (and other than due to your disability) or by you for Good Reason, in each case following a Change in Control of the Company.</w:t>
      </w:r>
    </w:p>
    <w:p>
      <w:pPr>
        <w:spacing w:after="0" w:line="97" w:lineRule="exact"/>
        <w:rPr>
          <w:sz w:val="20"/>
          <w:szCs w:val="20"/>
          <w:color w:val="auto"/>
        </w:rPr>
      </w:pPr>
    </w:p>
    <w:p>
      <w:pPr>
        <w:ind w:right="5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offer letter or employment agreement between you and the Company or any of its Subsidiaries.</w:t>
      </w:r>
    </w:p>
    <w:p>
      <w:pPr>
        <w:spacing w:after="0" w:line="107" w:lineRule="exact"/>
        <w:rPr>
          <w:sz w:val="20"/>
          <w:szCs w:val="20"/>
          <w:color w:val="auto"/>
        </w:rPr>
      </w:pPr>
    </w:p>
    <w:p>
      <w:pPr>
        <w:ind w:right="6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means, without first obtaining your written consent: (i) a material reduction of your annual base salary from that in effect immediately prior to the Change in Control (or if higher, that in effect at any time thereafter), other than pursuant to a general reduction in annual base salary that applies on a uniform basis to all employees of the Company or an Affiliate (if you are an employee of an Affiliate) who are similarly situated to you; (ii) a material reduction in your target annual cash bonus opportunity from that in effect immediately prior to the Change in Control (or, if higher, that in effect at any time thereafter); (iii) a material, adverse change in your title, reporting relationship, authority, duties, or responsibilities from those in effect immediately prior to the Change in Control; or (iv) the Company requires</w:t>
      </w:r>
    </w:p>
    <w:p>
      <w:pPr>
        <w:spacing w:after="0"/>
        <w:rPr>
          <w:sz w:val="20"/>
          <w:szCs w:val="20"/>
          <w:color w:val="auto"/>
        </w:rPr>
      </w:pPr>
      <w:r>
        <w:rPr>
          <w:rFonts w:ascii="Arial" w:cs="Arial" w:eastAsia="Arial" w:hAnsi="Arial"/>
          <w:sz w:val="22"/>
          <w:szCs w:val="22"/>
          <w:color w:val="auto"/>
        </w:rPr>
        <w:t>that you be based at a location that is more than 50 miles from the location of your employment</w:t>
      </w:r>
    </w:p>
    <w:p>
      <w:pPr>
        <w:spacing w:after="0" w:line="3" w:lineRule="exact"/>
        <w:rPr>
          <w:sz w:val="20"/>
          <w:szCs w:val="20"/>
          <w:color w:val="auto"/>
        </w:rPr>
      </w:pPr>
    </w:p>
    <w:p>
      <w:pPr>
        <w:ind w:right="140"/>
        <w:spacing w:after="0" w:line="243" w:lineRule="auto"/>
        <w:rPr>
          <w:sz w:val="20"/>
          <w:szCs w:val="20"/>
          <w:color w:val="auto"/>
        </w:rPr>
      </w:pPr>
      <w:r>
        <w:rPr>
          <w:rFonts w:ascii="Arial" w:cs="Arial" w:eastAsia="Arial" w:hAnsi="Arial"/>
          <w:sz w:val="22"/>
          <w:szCs w:val="22"/>
          <w:color w:val="auto"/>
        </w:rPr>
        <w:t>immediately prior to the applicable Change of Control; provided that, the Company shall first be provided a 30-day cure period (the “</w:t>
      </w:r>
      <w:r>
        <w:rPr>
          <w:rFonts w:ascii="Arial" w:cs="Arial" w:eastAsia="Arial" w:hAnsi="Arial"/>
          <w:sz w:val="22"/>
          <w:szCs w:val="22"/>
          <w:u w:val="single" w:color="auto"/>
          <w:color w:val="auto"/>
        </w:rPr>
        <w:t>Cure Period</w:t>
      </w:r>
      <w:r>
        <w:rPr>
          <w:rFonts w:ascii="Arial" w:cs="Arial" w:eastAsia="Arial" w:hAnsi="Arial"/>
          <w:sz w:val="22"/>
          <w:szCs w:val="22"/>
          <w:color w:val="auto"/>
        </w:rPr>
        <w:t>”), following receipt of written notice setting forth in reasonable detail the specific event, circumstance or conduct of the Company that constitutes Good Reason, to cease, and to cure, any event, circumstance or conduct specified in such written notice, if curable; provided further, that such notice shall be provided to the Company within 45 days of the occurrence of the event, circumstance or conduct constituting Good Reason. If, at the end of the Cure Period, the event, circumstance or conduct that constitutes Good Reason has not been remedied, you will be entitled to terminate employment for Good Reason during the 30-day period that follows the end of the Cure Period. If you do not terminate employment during such 30-day period, you will not be permitted to terminate employment for Good Reason as a result of such event, circumstance or conduct.</w:t>
      </w:r>
    </w:p>
    <w:p>
      <w:pPr>
        <w:spacing w:after="0" w:line="228" w:lineRule="exact"/>
        <w:rPr>
          <w:sz w:val="20"/>
          <w:szCs w:val="20"/>
          <w:color w:val="auto"/>
        </w:rPr>
      </w:pPr>
    </w:p>
    <w:p>
      <w:pPr>
        <w:jc w:val="both"/>
        <w:ind w:right="3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Spinoff</w:t>
      </w:r>
      <w:r>
        <w:rPr>
          <w:rFonts w:ascii="Arial" w:cs="Arial" w:eastAsia="Arial" w:hAnsi="Arial"/>
          <w:sz w:val="22"/>
          <w:szCs w:val="22"/>
          <w:color w:val="auto"/>
        </w:rPr>
        <w:t>” means the distribution of the outstanding Shares to the stockholders of the Company, pursuant to the Separation and Distribution Agreement between the Company and GXO Logistics, Inc. entered into in connection with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28" w:right="359" w:bottom="1440" w:gutter="0" w:footer="0" w:header="0"/>
        </w:sectPr>
      </w:pPr>
    </w:p>
    <w:bookmarkStart w:id="176" w:name="page177"/>
    <w:bookmarkEnd w:id="176"/>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each date on which all or a portion of the Options subject to this Award Agreement become fully vested and exercisable as provided in Section 3(a) or 3(c) of this Award Agreement.</w:t>
      </w:r>
    </w:p>
    <w:p>
      <w:pPr>
        <w:spacing w:after="0" w:line="121"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Vesting and Exercise.</w:t>
      </w:r>
    </w:p>
    <w:p>
      <w:pPr>
        <w:spacing w:after="0" w:line="166" w:lineRule="exact"/>
        <w:rPr>
          <w:sz w:val="20"/>
          <w:szCs w:val="20"/>
          <w:color w:val="auto"/>
        </w:rPr>
      </w:pPr>
    </w:p>
    <w:p>
      <w:pPr>
        <w:ind w:right="120" w:firstLine="1304"/>
        <w:spacing w:after="0" w:line="247" w:lineRule="auto"/>
        <w:tabs>
          <w:tab w:leader="none" w:pos="175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xml:space="preserve"> On each Vesting Date set forth below, your rights with respect to the number of Options that corresponds to such Vesting Date, as specified in the chart below, shall become vested and such Options shall become exercisable, provided that (i) the Spinoff occurs on or prior to March 31, 2022 and (ii) you remain employed by the Company or an Affiliate through the applicable Vesting Date below. All unvested Options referenced in this Section 3 shall be forfeited, and shall cease to be outstanding, (x) if the Spinoff does not occur on or prior to March 31, 2022 or (y) upon the termination of your employment with the Company for any reason.</w:t>
      </w:r>
    </w:p>
    <w:p>
      <w:pPr>
        <w:spacing w:after="0" w:line="154" w:lineRule="exact"/>
        <w:rPr>
          <w:sz w:val="20"/>
          <w:szCs w:val="20"/>
          <w:color w:val="auto"/>
        </w:rPr>
      </w:pPr>
    </w:p>
    <w:tbl>
      <w:tblPr>
        <w:tblLayout w:type="fixed"/>
        <w:tblInd w:w="2530" w:type="dxa"/>
        <w:tblCellMar>
          <w:top w:w="0" w:type="dxa"/>
          <w:left w:w="0" w:type="dxa"/>
          <w:bottom w:w="0" w:type="dxa"/>
          <w:right w:w="0" w:type="dxa"/>
        </w:tblCellMar>
      </w:tblPr>
      <w:tr>
        <w:trPr>
          <w:trHeight w:val="257"/>
        </w:trPr>
        <w:tc>
          <w:tcPr>
            <w:tcW w:w="720" w:type="dxa"/>
            <w:vAlign w:val="bottom"/>
            <w:tcBorders>
              <w:top w:val="single" w:sz="8" w:color="auto"/>
              <w:left w:val="single" w:sz="8" w:color="auto"/>
            </w:tcBorders>
          </w:tcPr>
          <w:p>
            <w:pPr>
              <w:spacing w:after="0"/>
              <w:rPr>
                <w:sz w:val="22"/>
                <w:szCs w:val="22"/>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89"/>
              </w:rPr>
              <w:t>Scheduled Vesting</w:t>
            </w:r>
          </w:p>
        </w:tc>
        <w:tc>
          <w:tcPr>
            <w:tcW w:w="740" w:type="dxa"/>
            <w:vAlign w:val="bottom"/>
            <w:tcBorders>
              <w:top w:val="single" w:sz="8" w:color="auto"/>
              <w:right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880" w:type="dxa"/>
            <w:vAlign w:val="bottom"/>
            <w:tcBorders>
              <w:top w:val="single" w:sz="8" w:color="auto"/>
              <w:right w:val="single" w:sz="8" w:color="auto"/>
            </w:tcBorders>
            <w:gridSpan w:val="4"/>
          </w:tcPr>
          <w:p>
            <w:pPr>
              <w:jc w:val="center"/>
              <w:ind w:right="280"/>
              <w:spacing w:after="0"/>
              <w:rPr>
                <w:sz w:val="20"/>
                <w:szCs w:val="20"/>
                <w:color w:val="auto"/>
              </w:rPr>
            </w:pPr>
            <w:r>
              <w:rPr>
                <w:rFonts w:ascii="Arial" w:cs="Arial" w:eastAsia="Arial" w:hAnsi="Arial"/>
                <w:sz w:val="22"/>
                <w:szCs w:val="22"/>
                <w:color w:val="auto"/>
                <w:w w:val="86"/>
              </w:rPr>
              <w:t>Aggregate Percentage Vesting</w:t>
            </w:r>
          </w:p>
        </w:tc>
      </w:tr>
      <w:tr>
        <w:trPr>
          <w:trHeight w:val="237"/>
        </w:trPr>
        <w:tc>
          <w:tcPr>
            <w:tcW w:w="720" w:type="dxa"/>
            <w:vAlign w:val="bottom"/>
            <w:tcBorders>
              <w:left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620"/>
              <w:spacing w:after="0" w:line="237" w:lineRule="exact"/>
              <w:rPr>
                <w:sz w:val="20"/>
                <w:szCs w:val="20"/>
                <w:color w:val="auto"/>
              </w:rPr>
            </w:pPr>
            <w:r>
              <w:rPr>
                <w:rFonts w:ascii="Arial" w:cs="Arial" w:eastAsia="Arial" w:hAnsi="Arial"/>
                <w:sz w:val="22"/>
                <w:szCs w:val="22"/>
                <w:color w:val="auto"/>
                <w:w w:val="90"/>
              </w:rPr>
              <w:t>Date</w:t>
            </w:r>
          </w:p>
        </w:tc>
        <w:tc>
          <w:tcPr>
            <w:tcW w:w="7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Borders>
              <w:top w:val="single" w:sz="8" w:color="auto"/>
            </w:tcBorders>
            <w:gridSpan w:val="3"/>
          </w:tcPr>
          <w:p>
            <w:pPr>
              <w:jc w:val="center"/>
              <w:spacing w:after="0" w:line="237" w:lineRule="exact"/>
              <w:rPr>
                <w:sz w:val="20"/>
                <w:szCs w:val="20"/>
                <w:color w:val="auto"/>
              </w:rPr>
            </w:pPr>
            <w:r>
              <w:rPr>
                <w:rFonts w:ascii="Arial" w:cs="Arial" w:eastAsia="Arial" w:hAnsi="Arial"/>
                <w:sz w:val="22"/>
                <w:szCs w:val="22"/>
                <w:color w:val="auto"/>
                <w:w w:val="85"/>
              </w:rPr>
              <w:t>Percentage</w:t>
            </w:r>
          </w:p>
        </w:tc>
        <w:tc>
          <w:tcPr>
            <w:tcW w:w="280" w:type="dxa"/>
            <w:vAlign w:val="bottom"/>
            <w:tcBorders>
              <w:right w:val="single" w:sz="8" w:color="auto"/>
            </w:tcBorders>
          </w:tcPr>
          <w:p>
            <w:pPr>
              <w:spacing w:after="0"/>
              <w:rPr>
                <w:sz w:val="20"/>
                <w:szCs w:val="20"/>
                <w:color w:val="auto"/>
              </w:rPr>
            </w:pPr>
          </w:p>
        </w:tc>
      </w:tr>
      <w:tr>
        <w:trPr>
          <w:trHeight w:val="209"/>
        </w:trPr>
        <w:tc>
          <w:tcPr>
            <w:tcW w:w="7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1"/>
              </w:rPr>
              <w:t>First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10%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89"/>
              </w:rPr>
              <w:t>Second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15%</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1"/>
              </w:rPr>
              <w:t>Third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20%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22"/>
                <w:szCs w:val="22"/>
                <w:color w:val="auto"/>
                <w:w w:val="90"/>
              </w:rPr>
              <w:t>Fourth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25%</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r>
        <w:trPr>
          <w:trHeight w:val="269"/>
        </w:trPr>
        <w:tc>
          <w:tcPr>
            <w:tcW w:w="31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22"/>
                <w:szCs w:val="22"/>
                <w:color w:val="auto"/>
                <w:w w:val="91"/>
              </w:rPr>
              <w:t>Fifth Anniversary of the Grant</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274"/>
        </w:trPr>
        <w:tc>
          <w:tcPr>
            <w:tcW w:w="720" w:type="dxa"/>
            <w:vAlign w:val="bottom"/>
            <w:tcBorders>
              <w:left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1780" w:type="dxa"/>
            <w:vAlign w:val="bottom"/>
            <w:tcBorders>
              <w:right w:val="single" w:sz="8" w:color="auto"/>
            </w:tcBorders>
            <w:gridSpan w:val="3"/>
          </w:tcPr>
          <w:p>
            <w:pPr>
              <w:jc w:val="center"/>
              <w:ind w:right="1360"/>
              <w:spacing w:after="0"/>
              <w:rPr>
                <w:sz w:val="20"/>
                <w:szCs w:val="20"/>
                <w:color w:val="auto"/>
              </w:rPr>
            </w:pPr>
            <w:r>
              <w:rPr>
                <w:rFonts w:ascii="Arial" w:cs="Arial" w:eastAsia="Arial" w:hAnsi="Arial"/>
                <w:sz w:val="22"/>
                <w:szCs w:val="22"/>
                <w:color w:val="auto"/>
                <w:w w:val="90"/>
              </w:rPr>
              <w:t>Date</w:t>
            </w:r>
          </w:p>
        </w:tc>
        <w:tc>
          <w:tcPr>
            <w:tcW w:w="2020" w:type="dxa"/>
            <w:vAlign w:val="bottom"/>
            <w:gridSpan w:val="3"/>
          </w:tcPr>
          <w:p>
            <w:pPr>
              <w:jc w:val="center"/>
              <w:ind w:left="952"/>
              <w:spacing w:after="0"/>
              <w:rPr>
                <w:sz w:val="20"/>
                <w:szCs w:val="20"/>
                <w:color w:val="auto"/>
              </w:rPr>
            </w:pPr>
            <w:r>
              <w:rPr>
                <w:rFonts w:ascii="Arial" w:cs="Arial" w:eastAsia="Arial" w:hAnsi="Arial"/>
                <w:sz w:val="22"/>
                <w:szCs w:val="22"/>
                <w:color w:val="auto"/>
                <w:w w:val="90"/>
              </w:rPr>
              <w:t>30%</w:t>
            </w:r>
          </w:p>
        </w:tc>
        <w:tc>
          <w:tcPr>
            <w:tcW w:w="82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r>
      <w:tr>
        <w:trPr>
          <w:trHeight w:val="179"/>
        </w:trPr>
        <w:tc>
          <w:tcPr>
            <w:tcW w:w="720" w:type="dxa"/>
            <w:vAlign w:val="bottom"/>
            <w:tcBorders>
              <w:left w:val="single" w:sz="8" w:color="auto"/>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r>
    </w:tbl>
    <w:p>
      <w:pPr>
        <w:spacing w:after="0" w:line="249" w:lineRule="exact"/>
        <w:rPr>
          <w:sz w:val="20"/>
          <w:szCs w:val="20"/>
          <w:color w:val="auto"/>
        </w:rPr>
      </w:pPr>
    </w:p>
    <w:p>
      <w:pPr>
        <w:ind w:firstLine="1304"/>
        <w:spacing w:after="0" w:line="259" w:lineRule="auto"/>
        <w:tabs>
          <w:tab w:leader="none" w:pos="1764"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Exercise of Options.</w:t>
      </w:r>
      <w:r>
        <w:rPr>
          <w:rFonts w:ascii="Arial" w:cs="Arial" w:eastAsia="Arial" w:hAnsi="Arial"/>
          <w:sz w:val="21"/>
          <w:szCs w:val="21"/>
          <w:color w:val="auto"/>
        </w:rPr>
        <w:t xml:space="preserve"> Options, to the extent that they are vested, may be exercised, in whole or in part (but for the purchase of whole Shares only), by delivery to the Company of (i) written or electronic notice, complying with the applicable procedures established by the Committee or the Company from time to time, stating the number of Options that are thereby exercised, and (ii) full payment, in accordance with Section 6(b)(iv) of the Plan, of the aggregate Exercise Price for the Shares with respect to which the Options are thereby exercised. Upon exercise and full payment of the Exercise Price for Shares with respect to which the Options are thereby exercised, subject to Section 7(a) of this Award Agreement, the Company shall issue to you or your legal representative (as evidenced by the appropriate entry on the books of the Company or of a duly authorized transfer agent of the Company, the delivery of share certificates or as otherwise determined by the Company) one Share for each Option you have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28" w:right="379" w:bottom="1440" w:gutter="0" w:footer="0" w:header="0"/>
        </w:sectPr>
      </w:pPr>
    </w:p>
    <w:bookmarkStart w:id="177" w:name="page178"/>
    <w:bookmarkEnd w:id="177"/>
    <w:p>
      <w:pPr>
        <w:ind w:right="40" w:firstLine="1304"/>
        <w:spacing w:after="0" w:line="247" w:lineRule="auto"/>
        <w:tabs>
          <w:tab w:leader="none" w:pos="175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In the event of a Change of Control, all Options shall, to the extent outstanding as of the date of such Change of Control and replaced in compliance with Section 8(b) of the Plan, remain outstanding and unvested, and shall (i) vest in accordance with the vesting schedule set forth in Section 3(a), subject to your continued employment through each applicable Vesting Date specified in Section 3(a), or (ii) vest in full immediately upon your earlier CIC Termination. If such Options are not replaced in compliance with Section 8(b) of the Plan, such Options shall vest immediately upon the Change of Control.</w:t>
      </w:r>
    </w:p>
    <w:p>
      <w:pPr>
        <w:spacing w:after="0" w:line="139" w:lineRule="exact"/>
        <w:rPr>
          <w:sz w:val="20"/>
          <w:szCs w:val="20"/>
          <w:color w:val="auto"/>
        </w:rPr>
      </w:pPr>
    </w:p>
    <w:p>
      <w:pPr>
        <w:ind w:right="40" w:firstLine="1296"/>
        <w:spacing w:after="0" w:line="283"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Forfeiture of Options.</w:t>
      </w:r>
      <w:r>
        <w:rPr>
          <w:rFonts w:ascii="Arial" w:cs="Arial" w:eastAsia="Arial" w:hAnsi="Arial"/>
          <w:sz w:val="19"/>
          <w:szCs w:val="19"/>
          <w:color w:val="auto"/>
        </w:rPr>
        <w:t xml:space="preserve"> (a) If you (i) breach any restrictive covenant (which, for the avoidance of doubt, includes any non-compete, non-solicit, non-disparagement or confidentiality provisions) contained in any arrangements with the Company (including your Employment Agreement and your Confidential Information Protection Agreement) to which you are subject or (ii) engage in fraud or willful misconduct that contributes materially to any financial restatement or material loss to the Company or any of its Subsidiaries, your rights with respect to the Option shall immediately terminate, the Options shall be forfeited and cease to be outstanding (and you shall be entitled to no further payments or benefits with respect thereto), and, if any Options were previously exercised, the Company may require you to forfeit or remit to the Company the after-tax net amount paid or received by you, in respect of such Options; provided, however, that (x) the Company shall make such demand that you forfeit or remit any such amount no later than six months after learning of the conduct described in this Section 4(a) and</w:t>
      </w:r>
    </w:p>
    <w:p>
      <w:pPr>
        <w:spacing w:after="0" w:line="8"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in cases where cure is possible, you shall first be provided a 15-day cure period to cease, and to cure, such conduct.</w:t>
      </w:r>
    </w:p>
    <w:p>
      <w:pPr>
        <w:spacing w:after="0" w:line="159" w:lineRule="exact"/>
        <w:rPr>
          <w:rFonts w:ascii="Arial" w:cs="Arial" w:eastAsia="Arial" w:hAnsi="Arial"/>
          <w:sz w:val="21"/>
          <w:szCs w:val="21"/>
          <w:color w:val="auto"/>
        </w:rPr>
      </w:pPr>
    </w:p>
    <w:p>
      <w:pPr>
        <w:ind w:firstLine="1304"/>
        <w:spacing w:after="0" w:line="294" w:lineRule="auto"/>
        <w:tabs>
          <w:tab w:leader="none" w:pos="176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Notwithstanding the foregoing, unless the Committee determines otherwise, vested and unexercised Options shall automatically expire, and cease to be outstanding, on the earliest to occur of (i) the date of the termination of your employment for Cause, (ii) one year after your termination of employment due to death or permanent disability (as defined in the Company’s long-term disability plan applicable to you), (iii) the tenth anniversary of the Grant Date in the case of your CIC Termination; (iv) three months after the date of the termination of your employment if your employment terminates for any reason other than those set forth in clauses (i), (ii), and (iii); and (v) the tenth anniversary of the Grant Date.</w:t>
      </w:r>
    </w:p>
    <w:p>
      <w:pPr>
        <w:spacing w:after="0" w:line="95"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xml:space="preserve"> You shall not have any rights or privileges of a stockholder with respect to the Options subject to this Award Agreement unless and until Shares are actually issued and delivered to you or your legal representative (including through the appropriate entry on the books of the Company or of a duly authorized transfer agent of the Company) upon exercise of vested Options.</w:t>
      </w:r>
    </w:p>
    <w:p>
      <w:pPr>
        <w:spacing w:after="0" w:line="134" w:lineRule="exact"/>
        <w:rPr>
          <w:sz w:val="20"/>
          <w:szCs w:val="20"/>
          <w:color w:val="auto"/>
        </w:rPr>
      </w:pPr>
    </w:p>
    <w:p>
      <w:pPr>
        <w:ind w:right="380" w:firstLine="1296"/>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Non-Transferability of Options.</w:t>
      </w:r>
      <w:r>
        <w:rPr>
          <w:rFonts w:ascii="Arial" w:cs="Arial" w:eastAsia="Arial" w:hAnsi="Arial"/>
          <w:sz w:val="19"/>
          <w:szCs w:val="19"/>
          <w:color w:val="auto"/>
        </w:rPr>
        <w:t xml:space="preserve"> Unless otherwise provided by the Committee in its discretion, Options may not be sold, assigned, alienated, transferred, pledged, attached or otherwise encumbered except as provided in Section 9(a) of the Plan. Any purported sale, assignment, alienation, transfer, pledge, attachment or other encumbrance of an Option in violation of the provisions of this Section 6 and Section 9(a) of the Plan shall be void.</w:t>
      </w:r>
    </w:p>
    <w:p>
      <w:pPr>
        <w:spacing w:after="0" w:line="88" w:lineRule="exact"/>
        <w:rPr>
          <w:sz w:val="20"/>
          <w:szCs w:val="20"/>
          <w:color w:val="auto"/>
        </w:rPr>
      </w:pPr>
    </w:p>
    <w:p>
      <w:pPr>
        <w:jc w:val="both"/>
        <w:ind w:right="100" w:firstLine="1296"/>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Withholding, Consents and Legends.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The delivery of Shares pursuant to Section 3(b) of this Award Agreement is conditioned on satisfaction of any applicable withholding taxes in accordance with this Section 7(a) and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28" w:right="399" w:bottom="1440" w:gutter="0" w:footer="0" w:header="0"/>
        </w:sectPr>
      </w:pPr>
    </w:p>
    <w:bookmarkStart w:id="178" w:name="page179"/>
    <w:bookmarkEnd w:id="178"/>
    <w:p>
      <w:pPr>
        <w:spacing w:after="0" w:line="285" w:lineRule="auto"/>
        <w:rPr>
          <w:sz w:val="20"/>
          <w:szCs w:val="20"/>
          <w:color w:val="auto"/>
        </w:rPr>
      </w:pPr>
      <w:r>
        <w:rPr>
          <w:rFonts w:ascii="Arial" w:cs="Arial" w:eastAsia="Arial" w:hAnsi="Arial"/>
          <w:sz w:val="19"/>
          <w:szCs w:val="19"/>
          <w:color w:val="auto"/>
        </w:rPr>
        <w:t>9(d) of the Plan. No later than the date as of which an amount first becomes includible in your gross income for Federal, state, local or foreign income tax or social security (and/or any similar charges) purposes with respect to the receipt or exercise of any Options, you shall pay to the Company, or make arrangements satisfactory to the Company regarding the payment of, any Federal, state, local and foreign taxes or social security (and/or any similar charges) that are required by applicable laws and regulations to be withheld with respect to such amount. In the event that there is withholding tax liability in connection with the receipt or exercise of an Option, the relevant entity may make any withholding arrangements that it considers necessary or desirable, including: (i) unless otherwise determined by the Committee, in its sole discretion, you may satisfy, in whole or in part, any withholding tax liability by having the Company withhold from the number of Shares you would be entitled to receive upon exercise of the Option a number of Shares having a Fair Market Value (which shall either have the meaning set forth in the Plan or shall have such other meaning as determined by the Company in accordance with applicable withholding requirements) equal to such withholding tax liability; (ii) making any deductions from any cash payment owed to you; and/or (iii) unless otherwise determined by the Committee, making a sale on your behalf of some or all of the Shares to which you are entitled under the Plan in order to meet the liability to any Federal, state, local or foreign taxes and/or social security (and/or similar charges) and any Exercise Price, any dealing or currency exchange costs and any other related costs. You agree to enter any tax elections as may be requested by any member of the XPO group of companies for particular tax and/or social security treatment, whether in respect of your Award or any Shares acquired by you on the exercise of your Award.</w:t>
      </w:r>
    </w:p>
    <w:p>
      <w:pPr>
        <w:spacing w:after="0" w:line="115" w:lineRule="exact"/>
        <w:rPr>
          <w:sz w:val="20"/>
          <w:szCs w:val="20"/>
          <w:color w:val="auto"/>
        </w:rPr>
      </w:pPr>
    </w:p>
    <w:p>
      <w:pPr>
        <w:ind w:right="220" w:firstLine="1304"/>
        <w:spacing w:after="0" w:line="250" w:lineRule="auto"/>
        <w:tabs>
          <w:tab w:leader="none" w:pos="1764"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Your rights in respect of the Options are conditioned on the receipt to the full satisfaction of the Committee of any required consents that the Committee may determine to be necessary or advisable (including your consent to the Company’s supplying to any third-party recordkeeper of the Plan such personal information as the Committee deems advisable to administer the Plan).</w:t>
      </w:r>
    </w:p>
    <w:p>
      <w:pPr>
        <w:spacing w:after="0" w:line="133" w:lineRule="exact"/>
        <w:rPr>
          <w:rFonts w:ascii="Arial" w:cs="Arial" w:eastAsia="Arial" w:hAnsi="Arial"/>
          <w:sz w:val="22"/>
          <w:szCs w:val="22"/>
          <w:color w:val="auto"/>
        </w:rPr>
      </w:pPr>
    </w:p>
    <w:p>
      <w:pPr>
        <w:ind w:right="140" w:firstLine="1304"/>
        <w:spacing w:after="0" w:line="248" w:lineRule="auto"/>
        <w:tabs>
          <w:tab w:leader="none" w:pos="175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xml:space="preserve"> The Company may affix to certificates, or otherwise designate on the books and records of the Company or the duly authorized transfer agent of the Company, for Shares issued pursuant to this Award Agreement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38"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xml:space="preserve"> The terms and conditions of this Award Agreement shall be binding upon and shall inure to the benefit of the Company and its successors and assigns.</w:t>
      </w:r>
    </w:p>
    <w:p>
      <w:pPr>
        <w:spacing w:after="0" w:line="121"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xml:space="preserve"> The Committee shall have full and plenary discretion with respect to any actions to be taken or determinations to be made in connection with this Award Agreement, and its determinations shall be final, binding and conclusive. You acknowledge that you are not automatically entitled to the exercise of any discretion under the Plan in your favour and you do not have any claim or right of action in respect of any decision, omission, or discretion which may operate to your disadvantage.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28" w:right="359" w:bottom="1440" w:gutter="0" w:footer="0" w:header="0"/>
        </w:sectPr>
      </w:pPr>
    </w:p>
    <w:bookmarkStart w:id="179" w:name="page180"/>
    <w:bookmarkEnd w:id="179"/>
    <w:p>
      <w:pPr>
        <w:ind w:firstLine="1296"/>
        <w:spacing w:after="0" w:line="286"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Jurisdiction and Venue.</w:t>
      </w:r>
      <w:r>
        <w:rPr>
          <w:rFonts w:ascii="Arial" w:cs="Arial" w:eastAsia="Arial" w:hAnsi="Arial"/>
          <w:sz w:val="19"/>
          <w:szCs w:val="19"/>
          <w:color w:val="auto"/>
        </w:rPr>
        <w:t xml:space="preserve"> Any claim initiated by you arising out of or relating to this Agreement, or the breach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 Except the extent that the Company seeks injunctive relief pursuant to an Employment Agreement (or other individual agreement between you and the Company), any claim initiated by the Company arising out of or relating to this Agreement, or the breach thereof, shall, at the election of the Company be resolved in accordance with this Section 10. You hereby irrevocably submit to the jurisdiction of any state or federal court located in the State of Delaware; provided, however, that nothing herein shall preclude the Company from bringing any suit, action or proceeding in any other court for the purposes of enforcing any judgment or award obtained by the Company. You waive, to the fullest extent permitted by applicable law, any objection which you now or hereafter have to personal jurisdiction or to the laying of venue of any such suit, action or proceeding brought in an applicable court described in this Section 10, and agree that you shall not attempt to deny or defeat such personal jurisdiction by motion or other request for leave from any court. You agree that, to the fullest extent permitted by applicable law, a final and non-appealable judgment in any suit, action or proceeding brought in any applicable court described in this Section 10 shall be conclusive and binding upon you and may be enforced in any other jurisdiction.</w:t>
      </w:r>
    </w:p>
    <w:p>
      <w:pPr>
        <w:spacing w:after="0" w:line="364" w:lineRule="exact"/>
        <w:rPr>
          <w:sz w:val="20"/>
          <w:szCs w:val="20"/>
          <w:color w:val="auto"/>
        </w:rPr>
      </w:pPr>
    </w:p>
    <w:p>
      <w:pPr>
        <w:ind w:right="180" w:firstLine="1304"/>
        <w:spacing w:after="0" w:line="253" w:lineRule="auto"/>
        <w:tabs>
          <w:tab w:leader="none" w:pos="1764"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You and the Company hereby waive, to the fullest extent permitted by applicable law, any right either of you may have to a trial by jury in respect to any litigation directly or indirectly arising out of, under or in connection with this Award Agreement or the Plan.</w:t>
      </w:r>
    </w:p>
    <w:p>
      <w:pPr>
        <w:spacing w:after="0" w:line="131" w:lineRule="exact"/>
        <w:rPr>
          <w:rFonts w:ascii="Arial" w:cs="Arial" w:eastAsia="Arial" w:hAnsi="Arial"/>
          <w:sz w:val="22"/>
          <w:szCs w:val="22"/>
          <w:color w:val="auto"/>
        </w:rPr>
      </w:pPr>
    </w:p>
    <w:p>
      <w:pPr>
        <w:ind w:right="260" w:firstLine="1304"/>
        <w:spacing w:after="0" w:line="250" w:lineRule="auto"/>
        <w:tabs>
          <w:tab w:leader="none" w:pos="175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You hereby agree to keep confidential the existence of, and any information concerning, a dispute described in this Section 10, except that you may disclose information concerning such dispute to the court that is considering such dispute or to your legal counsel (provided that such counsel agrees not to disclose any such information other than as necessary to the prosecution or defense of the dispute).</w:t>
      </w:r>
    </w:p>
    <w:p>
      <w:pPr>
        <w:spacing w:after="0" w:line="134" w:lineRule="exact"/>
        <w:rPr>
          <w:sz w:val="20"/>
          <w:szCs w:val="20"/>
          <w:color w:val="auto"/>
        </w:rPr>
      </w:pPr>
    </w:p>
    <w:p>
      <w:pPr>
        <w:ind w:right="40" w:firstLine="1296"/>
        <w:spacing w:after="0" w:line="287"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The grant of your Award does not form part of, and does not affect or change, your employment contract or your employment relationship with your employer. The grant of this Award granted is strictly discretionary and does not, in any way, form part of your normal remuneration. In particular, it will not be taken into account (except to the extent otherwise required by local law) in determining any other employment-related rights you may have, including without limitation rights in relation to severance, redundancy or end-of-service payments (whatever the reason for termination), bonuses, long-service awards, pension or retirement benefits. The decision to grant awards under the Plan is discretionary and (even if you are granted an award, or participate in the Plan on a regular or repeated basis) you have no automatic right or expectation in relation to: (i) participation in the Plan or similar compensation in future; (ii) the terms, conditions and amount of any Plan participation or similar compensation that the Company may decide to offer in future; or (iii) continued or future employment. The Company may at any time decide to cease offering awards under the Plan. In consideration for, and as a condition of your Award, you waive any and all rights to compensation or damages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28" w:right="359" w:bottom="1440" w:gutter="0" w:footer="0" w:header="0"/>
        </w:sectPr>
      </w:pPr>
    </w:p>
    <w:bookmarkStart w:id="180" w:name="page181"/>
    <w:bookmarkEnd w:id="180"/>
    <w:p>
      <w:pPr>
        <w:spacing w:after="0" w:line="250" w:lineRule="auto"/>
        <w:rPr>
          <w:sz w:val="20"/>
          <w:szCs w:val="20"/>
          <w:color w:val="auto"/>
        </w:rPr>
      </w:pPr>
      <w:r>
        <w:rPr>
          <w:rFonts w:ascii="Arial" w:cs="Arial" w:eastAsia="Arial" w:hAnsi="Arial"/>
          <w:sz w:val="22"/>
          <w:szCs w:val="22"/>
          <w:color w:val="auto"/>
        </w:rPr>
        <w:t>consequence of the termination of your employment for any reason whatsoever insofar as those rights arise or may arise from you ceasing to have rights under, or be entitled to receive payment in respect of, the Plan as a result of such termination, or from the loss (actual or potential) or diminution in value of such rights or entitlements. This waiver applies whether or not such termination amounts to wrongful or unfair dismissal.</w:t>
      </w:r>
    </w:p>
    <w:p>
      <w:pPr>
        <w:spacing w:after="0" w:line="134" w:lineRule="exact"/>
        <w:rPr>
          <w:sz w:val="20"/>
          <w:szCs w:val="20"/>
          <w:color w:val="auto"/>
        </w:rPr>
      </w:pPr>
    </w:p>
    <w:p>
      <w:pPr>
        <w:ind w:right="40" w:firstLine="1296"/>
        <w:spacing w:after="0" w:line="265"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ectPr>
          <w:pgSz w:w="11900" w:h="16838" w:orient="portrait"/>
          <w:cols w:equalWidth="0" w:num="1">
            <w:col w:w="11240"/>
          </w:cols>
          <w:pgMar w:left="320" w:top="1428" w:right="339" w:bottom="1440" w:gutter="0" w:footer="0" w:header="0"/>
        </w:sectPr>
      </w:pP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5 American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Human Resources Officer</w:t>
      </w:r>
    </w:p>
    <w:p>
      <w:pPr>
        <w:spacing w:after="0" w:line="200" w:lineRule="exact"/>
        <w:rPr>
          <w:sz w:val="20"/>
          <w:szCs w:val="20"/>
          <w:color w:val="auto"/>
        </w:rPr>
      </w:pPr>
    </w:p>
    <w:p>
      <w:pPr>
        <w:sectPr>
          <w:pgSz w:w="11900" w:h="16838" w:orient="portrait"/>
          <w:cols w:equalWidth="0" w:num="2">
            <w:col w:w="4680" w:space="720"/>
            <w:col w:w="5840"/>
          </w:cols>
          <w:pgMar w:left="320" w:top="1428" w:right="339" w:bottom="1440" w:gutter="0" w:footer="0" w:header="0"/>
          <w:type w:val="continuous"/>
        </w:sectPr>
      </w:pPr>
    </w:p>
    <w:p>
      <w:pPr>
        <w:spacing w:after="0" w:line="23"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If to you:</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780"/>
        <w:spacing w:after="0" w:line="263" w:lineRule="auto"/>
        <w:rPr>
          <w:sz w:val="20"/>
          <w:szCs w:val="20"/>
          <w:color w:val="auto"/>
        </w:rPr>
      </w:pPr>
      <w:r>
        <w:rPr>
          <w:rFonts w:ascii="Arial" w:cs="Arial" w:eastAsia="Arial" w:hAnsi="Arial"/>
          <w:sz w:val="22"/>
          <w:szCs w:val="22"/>
          <w:color w:val="auto"/>
        </w:rPr>
        <w:t>To your address as most recently supplied to the Company and set forth in the Company’s records</w:t>
      </w:r>
    </w:p>
    <w:p>
      <w:pPr>
        <w:spacing w:after="0" w:line="200" w:lineRule="exact"/>
        <w:rPr>
          <w:sz w:val="20"/>
          <w:szCs w:val="20"/>
          <w:color w:val="auto"/>
        </w:rPr>
      </w:pPr>
    </w:p>
    <w:p>
      <w:pPr>
        <w:sectPr>
          <w:pgSz w:w="11900" w:h="16838" w:orient="portrait"/>
          <w:cols w:equalWidth="0" w:num="2">
            <w:col w:w="4680" w:space="720"/>
            <w:col w:w="5840"/>
          </w:cols>
          <w:pgMar w:left="320" w:top="1428" w:right="339" w:bottom="1440" w:gutter="0" w:footer="0" w:header="0"/>
          <w:type w:val="continuous"/>
        </w:sectPr>
      </w:pP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21"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31" w:lineRule="exact"/>
        <w:rPr>
          <w:sz w:val="20"/>
          <w:szCs w:val="20"/>
          <w:color w:val="auto"/>
        </w:rPr>
      </w:pPr>
    </w:p>
    <w:p>
      <w:pPr>
        <w:ind w:right="180" w:firstLine="1296"/>
        <w:spacing w:after="0" w:line="248"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xml:space="preserve">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38" w:lineRule="exact"/>
        <w:rPr>
          <w:sz w:val="20"/>
          <w:szCs w:val="20"/>
          <w:color w:val="auto"/>
        </w:rPr>
      </w:pPr>
    </w:p>
    <w:p>
      <w:pPr>
        <w:ind w:right="280" w:firstLine="1296"/>
        <w:spacing w:after="0" w:line="261"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Committee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waiver, amendment, alteration, suspension, discontinuance, cancelation or termination that would materially and adversely impair your rights under this Award Agreement shall not to that extent be effective without your consent (it being understood, notwithstanding the foregoing proviso, that this Award Agreement and the Options shall be subject to the provisions of Section 7(c) of the Plan).</w:t>
      </w:r>
    </w:p>
    <w:p>
      <w:pPr>
        <w:spacing w:after="0" w:line="125"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Award Agreement may be signed in counterparts, each of which shall be an original, with the same effect as if the signatures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8" w:right="339" w:bottom="1440" w:gutter="0" w:footer="0" w:header="0"/>
          <w:type w:val="continuous"/>
        </w:sectPr>
      </w:pPr>
    </w:p>
    <w:bookmarkStart w:id="181" w:name="page182"/>
    <w:bookmarkEnd w:id="181"/>
    <w:p>
      <w:pPr>
        <w:ind w:right="340"/>
        <w:spacing w:after="0" w:line="287" w:lineRule="auto"/>
        <w:rPr>
          <w:sz w:val="20"/>
          <w:szCs w:val="20"/>
          <w:color w:val="auto"/>
        </w:rPr>
      </w:pPr>
      <w:r>
        <w:rPr>
          <w:rFonts w:ascii="Arial" w:cs="Arial" w:eastAsia="Arial" w:hAnsi="Arial"/>
          <w:sz w:val="21"/>
          <w:szCs w:val="21"/>
          <w:color w:val="auto"/>
        </w:rPr>
        <w:t>and hereto were upon the same instrument. You and the Company hereby acknowledge and agree that signatures delivered by facsimile or electronic means (including by “pdf”) shall be deemed effective for all purposes.</w:t>
      </w:r>
    </w:p>
    <w:p>
      <w:pPr>
        <w:spacing w:after="0" w:line="97"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Section 280G</w:t>
      </w:r>
      <w:r>
        <w:rPr>
          <w:rFonts w:ascii="Arial" w:cs="Arial" w:eastAsia="Arial" w:hAnsi="Arial"/>
          <w:sz w:val="19"/>
          <w:szCs w:val="19"/>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 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Golden Parachute Tax Solutions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Section 16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Section 16,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Section 16, and the Company shall bear the cost of all fees the Accounting Firm charges in connection with any calculations contemplated by this Section 16. In connection with making determinations under this Section 16,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113" w:lineRule="exact"/>
        <w:rPr>
          <w:sz w:val="20"/>
          <w:szCs w:val="20"/>
          <w:color w:val="auto"/>
        </w:rPr>
      </w:pPr>
    </w:p>
    <w:p>
      <w:pPr>
        <w:ind w:right="40" w:firstLine="1296"/>
        <w:spacing w:after="0" w:line="247"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Lock-Up</w:t>
      </w:r>
      <w:r>
        <w:rPr>
          <w:rFonts w:ascii="Arial" w:cs="Arial" w:eastAsia="Arial" w:hAnsi="Arial"/>
          <w:sz w:val="22"/>
          <w:szCs w:val="22"/>
          <w:color w:val="auto"/>
        </w:rPr>
        <w:t>. Notwithstanding anything to the contrary in your Employment Agreement, the Plan or any Award Agreement under the Plan, any Shares issued to you upon exercise of the Options granted under this Award Agreement shall be subject to a lock-up on sales, offers, pledges, contracts to sell, grants of any option, right or warrant to purchase, or other transfers or dispositions, whether directly or indirectly, from the date hereof until the date that is twelve (12) months after the applicable Vesting Date (or, if earlier, upon your death or a Change of Control) and all laws, rules and regulations applicable to you;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28" w:right="379" w:bottom="1440" w:gutter="0" w:footer="0" w:header="0"/>
        </w:sectPr>
      </w:pPr>
    </w:p>
    <w:bookmarkStart w:id="182" w:name="page183"/>
    <w:bookmarkEnd w:id="182"/>
    <w:p>
      <w:pPr>
        <w:jc w:val="both"/>
        <w:ind w:right="200"/>
        <w:spacing w:after="0" w:line="312" w:lineRule="auto"/>
        <w:rPr>
          <w:sz w:val="20"/>
          <w:szCs w:val="20"/>
          <w:color w:val="auto"/>
        </w:rPr>
      </w:pPr>
      <w:r>
        <w:rPr>
          <w:rFonts w:ascii="Arial" w:cs="Arial" w:eastAsia="Arial" w:hAnsi="Arial"/>
          <w:sz w:val="19"/>
          <w:szCs w:val="19"/>
          <w:color w:val="auto"/>
        </w:rPr>
        <w:t>that such lock-up may be waived in the sole discretion of the Company’s Chief Executive Officer or Chief Human Resources Officer; and provided, further, that if determined by the Board in its sole discretion, the provisions of this Section 18 shall not apply to Shares withheld to satisfy the applicable tax withholding in connection with the exercise of the Options.</w:t>
      </w:r>
    </w:p>
    <w:p>
      <w:pPr>
        <w:spacing w:after="0" w:line="7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Currency Risk.</w:t>
      </w:r>
      <w:r>
        <w:rPr>
          <w:rFonts w:ascii="Arial" w:cs="Arial" w:eastAsia="Arial" w:hAnsi="Arial"/>
          <w:sz w:val="22"/>
          <w:szCs w:val="22"/>
          <w:color w:val="auto"/>
        </w:rPr>
        <w:t xml:space="preserve"> You accept that if the Shares subject to your Award are traded in a currency which is not the currency of your jurisdiction, the value of the Shares may be affected by movements in the exchange rate. No member of the XPO group of companies is liable for any loss due to movements in the exchange rate or any charges imposed in relation to the conversion or transfer or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1428" w:right="519" w:bottom="1440" w:gutter="0" w:footer="0" w:header="0"/>
        </w:sectPr>
      </w:pPr>
    </w:p>
    <w:bookmarkStart w:id="183" w:name="page184"/>
    <w:bookmarkEnd w:id="183"/>
    <w:p>
      <w:pPr>
        <w:ind w:left="180"/>
        <w:spacing w:after="0"/>
        <w:rPr>
          <w:sz w:val="20"/>
          <w:szCs w:val="20"/>
          <w:color w:val="auto"/>
        </w:rPr>
      </w:pPr>
      <w:r>
        <w:rPr>
          <w:rFonts w:ascii="Arial" w:cs="Arial" w:eastAsia="Arial" w:hAnsi="Arial"/>
          <w:sz w:val="19"/>
          <w:szCs w:val="19"/>
          <w:color w:val="auto"/>
        </w:rPr>
        <w:t>IN WITNESS WHEREOF, the parties have duly executed this Award Agreement as of the date first written above.</w:t>
      </w:r>
    </w:p>
    <w:p>
      <w:pPr>
        <w:spacing w:after="0" w:line="25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XPO LOGISTICS, INC.</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170180</wp:posOffset>
            </wp:positionV>
            <wp:extent cx="34118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8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Title:</w:t>
      </w:r>
    </w:p>
    <w:p>
      <w:pPr>
        <w:spacing w:after="0" w:line="382"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332740</wp:posOffset>
            </wp:positionV>
            <wp:extent cx="3411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00"/>
          </w:cols>
          <w:pgMar w:left="1440" w:top="1428" w:right="35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GXO LOGISTICS,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OF THE PLAN</w:t>
      </w:r>
    </w:p>
    <w:p>
      <w:pPr>
        <w:spacing w:after="0" w:line="148" w:lineRule="exact"/>
        <w:rPr>
          <w:sz w:val="20"/>
          <w:szCs w:val="20"/>
          <w:color w:val="auto"/>
        </w:rPr>
      </w:pPr>
    </w:p>
    <w:p>
      <w:pPr>
        <w:jc w:val="both"/>
        <w:ind w:right="220" w:firstLine="648"/>
        <w:spacing w:after="0" w:line="253" w:lineRule="auto"/>
        <w:rPr>
          <w:sz w:val="20"/>
          <w:szCs w:val="20"/>
          <w:color w:val="auto"/>
        </w:rPr>
      </w:pPr>
      <w:r>
        <w:rPr>
          <w:rFonts w:ascii="Arial" w:cs="Arial" w:eastAsia="Arial" w:hAnsi="Arial"/>
          <w:sz w:val="22"/>
          <w:szCs w:val="22"/>
          <w:color w:val="auto"/>
        </w:rPr>
        <w:t>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of GXO Logistics,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desires to provide financial assistance to select executives upon certain terminations of employment in accordance with the terms and conditions of the GXO Logistics, Inc. Severance Plan (this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3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Board also recognizes that the possibility of a Change in Control (as defined in Section 2.6) of the Company, and the uncertainty it could create, may result in the loss or distraction of executives of the Company to the detriment of the Company and its shareholders. The Board considers the avoidance of such loss and distraction to be essential to protecting and enhancing the best interests of the Company and its shareholders. The Board also believes that when a Change in Control is perceived as imminent, or is occurring, the Board should be able to receive and rely on disinterested service from executives regarding the best interests of the Company and its shareholders without concern that employees might be distracted or concerned by the personal uncertainties and risks created by the perception of an imminent or occurring Change in Control.</w:t>
      </w:r>
    </w:p>
    <w:p>
      <w:pPr>
        <w:spacing w:after="0" w:line="97"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Therefore, in order to fulfill the above purposes, the Plan was adopted by the Board and shall become effective on the Effective Date (as defined in Section 2.13).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48" w:lineRule="exact"/>
        <w:rPr>
          <w:sz w:val="20"/>
          <w:szCs w:val="20"/>
          <w:color w:val="auto"/>
        </w:rPr>
      </w:pPr>
    </w:p>
    <w:p>
      <w:pPr>
        <w:ind w:right="80" w:firstLine="648"/>
        <w:spacing w:after="0" w:line="287" w:lineRule="auto"/>
        <w:rPr>
          <w:sz w:val="20"/>
          <w:szCs w:val="20"/>
          <w:color w:val="auto"/>
        </w:rPr>
      </w:pPr>
      <w:r>
        <w:rPr>
          <w:rFonts w:ascii="Arial" w:cs="Arial" w:eastAsia="Arial" w:hAnsi="Arial"/>
          <w:sz w:val="21"/>
          <w:szCs w:val="21"/>
          <w:color w:val="auto"/>
        </w:rPr>
        <w:t>Certain capitalized terms used herein have the definitions given to such terms in the first place in which they are used. As used herein, the following capitalized words and phrases shall have the following respective meanings:</w:t>
      </w:r>
    </w:p>
    <w:p>
      <w:pPr>
        <w:spacing w:after="0" w:line="9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controlled by, controlling or under common control with the Company.</w:t>
      </w:r>
    </w:p>
    <w:p>
      <w:pPr>
        <w:spacing w:after="0" w:line="166" w:lineRule="exact"/>
        <w:rPr>
          <w:sz w:val="20"/>
          <w:szCs w:val="20"/>
          <w:color w:val="auto"/>
        </w:rPr>
      </w:pPr>
    </w:p>
    <w:p>
      <w:pPr>
        <w:ind w:right="480" w:firstLine="648"/>
        <w:spacing w:after="0" w:line="248"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color w:val="000000"/>
        </w:rPr>
        <w:t>“</w:t>
      </w:r>
      <w:r>
        <w:rPr>
          <w:rFonts w:ascii="Arial" w:cs="Arial" w:eastAsia="Arial" w:hAnsi="Arial"/>
          <w:sz w:val="22"/>
          <w:szCs w:val="22"/>
          <w:u w:val="single" w:color="auto"/>
          <w:color w:val="000000"/>
        </w:rPr>
        <w:t>Annual Base Salary</w:t>
      </w:r>
      <w:r>
        <w:rPr>
          <w:rFonts w:ascii="Arial" w:cs="Arial" w:eastAsia="Arial" w:hAnsi="Arial"/>
          <w:sz w:val="22"/>
          <w:szCs w:val="22"/>
          <w:color w:val="000000"/>
        </w:rPr>
        <w:t>” means the annual base salary paid or payable, including any base salary that is subject to</w:t>
      </w:r>
      <w:r>
        <w:rPr>
          <w:rFonts w:ascii="Arial" w:cs="Arial" w:eastAsia="Arial" w:hAnsi="Arial"/>
          <w:sz w:val="22"/>
          <w:szCs w:val="22"/>
          <w:color w:val="010000"/>
        </w:rPr>
        <w:t xml:space="preserve"> </w:t>
      </w:r>
      <w:r>
        <w:rPr>
          <w:rFonts w:ascii="Arial" w:cs="Arial" w:eastAsia="Arial" w:hAnsi="Arial"/>
          <w:sz w:val="22"/>
          <w:szCs w:val="22"/>
          <w:color w:val="000000"/>
        </w:rPr>
        <w:t>deferral, to the Participant by the Company or any of the Affiliates at the rate in effect immediately prior to the Date of Termination or, if the Date of Termination is during a Change in Control Period, the rate in effect (or required to be in effect before any diminution that is a basis of the Participant’s termination for Good Reason) immediately prior to the Change in Control, or, if higher, immediately prior to the Date of Termination.</w:t>
      </w:r>
    </w:p>
    <w:p>
      <w:pPr>
        <w:spacing w:after="0" w:line="138"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color w:val="000000"/>
        </w:rPr>
        <w:t>“</w:t>
      </w:r>
      <w:r>
        <w:rPr>
          <w:rFonts w:ascii="Arial" w:cs="Arial" w:eastAsia="Arial" w:hAnsi="Arial"/>
          <w:sz w:val="22"/>
          <w:szCs w:val="22"/>
          <w:u w:val="single" w:color="auto"/>
          <w:color w:val="000000"/>
        </w:rPr>
        <w:t>Benefit Continuation Period</w:t>
      </w:r>
      <w:r>
        <w:rPr>
          <w:rFonts w:ascii="Arial" w:cs="Arial" w:eastAsia="Arial" w:hAnsi="Arial"/>
          <w:sz w:val="22"/>
          <w:szCs w:val="22"/>
          <w:color w:val="000000"/>
        </w:rPr>
        <w:t>” means (a) with respect to the CEO, a period of eighteen (18) months following the</w:t>
      </w:r>
      <w:r>
        <w:rPr>
          <w:rFonts w:ascii="Arial" w:cs="Arial" w:eastAsia="Arial" w:hAnsi="Arial"/>
          <w:sz w:val="22"/>
          <w:szCs w:val="22"/>
          <w:color w:val="010000"/>
        </w:rPr>
        <w:t xml:space="preserve"> </w:t>
      </w:r>
      <w:r>
        <w:rPr>
          <w:rFonts w:ascii="Arial" w:cs="Arial" w:eastAsia="Arial" w:hAnsi="Arial"/>
          <w:sz w:val="22"/>
          <w:szCs w:val="22"/>
          <w:color w:val="000000"/>
        </w:rPr>
        <w:t>Date of Termination and (b) with respect to all other Participants, a period of twelve (12) months following the Date of Termination.</w:t>
      </w:r>
    </w:p>
    <w:p>
      <w:pPr>
        <w:sectPr>
          <w:pgSz w:w="11900" w:h="16838" w:orient="portrait"/>
          <w:cols w:equalWidth="0" w:num="1">
            <w:col w:w="11240"/>
          </w:cols>
          <w:pgMar w:left="320" w:top="121" w:right="339" w:bottom="1440" w:gutter="0" w:footer="0" w:header="0"/>
        </w:sectPr>
      </w:pPr>
    </w:p>
    <w:bookmarkStart w:id="185" w:name="page186"/>
    <w:bookmarkEnd w:id="185"/>
    <w:p>
      <w:pPr>
        <w:ind w:firstLine="648"/>
        <w:spacing w:after="0" w:line="286" w:lineRule="auto"/>
        <w:rPr>
          <w:sz w:val="20"/>
          <w:szCs w:val="20"/>
          <w:color w:val="auto"/>
        </w:rPr>
      </w:pPr>
      <w:r>
        <w:rPr>
          <w:rFonts w:ascii="Arial" w:cs="Arial" w:eastAsia="Arial" w:hAnsi="Arial"/>
          <w:sz w:val="19"/>
          <w:szCs w:val="19"/>
          <w:color w:val="010000"/>
        </w:rPr>
        <w:t xml:space="preserve">2.4 </w:t>
      </w:r>
      <w:r>
        <w:rPr>
          <w:rFonts w:ascii="Arial" w:cs="Arial" w:eastAsia="Arial" w:hAnsi="Arial"/>
          <w:sz w:val="19"/>
          <w:szCs w:val="19"/>
          <w:color w:val="000000"/>
        </w:rPr>
        <w:t>“</w:t>
      </w:r>
      <w:r>
        <w:rPr>
          <w:rFonts w:ascii="Arial" w:cs="Arial" w:eastAsia="Arial" w:hAnsi="Arial"/>
          <w:sz w:val="19"/>
          <w:szCs w:val="19"/>
          <w:u w:val="single" w:color="auto"/>
          <w:color w:val="000000"/>
        </w:rPr>
        <w:t>Cause</w:t>
      </w:r>
      <w:r>
        <w:rPr>
          <w:rFonts w:ascii="Arial" w:cs="Arial" w:eastAsia="Arial" w:hAnsi="Arial"/>
          <w:sz w:val="19"/>
          <w:szCs w:val="19"/>
          <w:color w:val="000000"/>
        </w:rPr>
        <w:t>” shall means (a) the Participant’s dereliction of duties or gross negligence or failure to perform his duties or</w:t>
      </w:r>
      <w:r>
        <w:rPr>
          <w:rFonts w:ascii="Arial" w:cs="Arial" w:eastAsia="Arial" w:hAnsi="Arial"/>
          <w:sz w:val="19"/>
          <w:szCs w:val="19"/>
          <w:color w:val="010000"/>
        </w:rPr>
        <w:t xml:space="preserve"> </w:t>
      </w:r>
      <w:r>
        <w:rPr>
          <w:rFonts w:ascii="Arial" w:cs="Arial" w:eastAsia="Arial" w:hAnsi="Arial"/>
          <w:sz w:val="19"/>
          <w:szCs w:val="19"/>
          <w:color w:val="000000"/>
        </w:rPr>
        <w:t xml:space="preserve">refusal to follow any lawful directive of the officer to whom he reports; (b) the Participant’s abuse of or dependency on alcohol or drugs (illicit or otherwise) that adversely affects his performance of duties for the Company or an Affiliate; (c) the Participant’s commission of any fraud, embezzlement, theft or dishonesty or any deliberate misappropriation of money or other assets of the Company or an Affiliate; (d) the Participant’s breach of any fiduciary duties of the Company or any Affiliate; (e) any act, or failure to act, by the Participant in bad faith to the detriment of the Company or an Affiliate; (f) the Participant’s failure to cooperate in good faith with a governmental or internal investigation of the Company or an Affiliate or any of its directors, managers, officers or employees, if the Company requests the Participant’s cooperation; (g) the Participant’s failure to follow Company policies, including the Company’s code of conduct and/or ethics policy, as may be in effect from time to time; (h) the Participant’s conviction of, or plea of nolo contendere to, a felony or any serious crime;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in cases where cure is possible, the Participant shall first be provided with a 15-day cure period; or (i) other than during a Change in Control Period, any other matter which the Company or as relevant Affiliate reasonably considers justifies or would justify the Participant's summary dismissal including without limitation in accordance with the Participant's contract of employment or local law.</w:t>
      </w:r>
    </w:p>
    <w:p>
      <w:pPr>
        <w:spacing w:after="0" w:line="11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CEO</w:t>
      </w:r>
      <w:r>
        <w:rPr>
          <w:rFonts w:ascii="Arial" w:cs="Arial" w:eastAsia="Arial" w:hAnsi="Arial"/>
          <w:sz w:val="19"/>
          <w:szCs w:val="19"/>
          <w:color w:val="auto"/>
        </w:rPr>
        <w:t>” means the Chief Executive Officer of the Company.</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any of the following:</w:t>
      </w:r>
    </w:p>
    <w:p>
      <w:pPr>
        <w:spacing w:after="0" w:line="166" w:lineRule="exact"/>
        <w:rPr>
          <w:sz w:val="20"/>
          <w:szCs w:val="20"/>
          <w:color w:val="auto"/>
        </w:rPr>
      </w:pPr>
    </w:p>
    <w:p>
      <w:pPr>
        <w:jc w:val="center"/>
        <w:ind w:left="560"/>
        <w:spacing w:after="0"/>
        <w:tabs>
          <w:tab w:leader="none" w:pos="2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during any period, individuals who were directors of the Company on the first day of such period (the</w:t>
      </w:r>
    </w:p>
    <w:p>
      <w:pPr>
        <w:spacing w:after="0" w:line="21" w:lineRule="exact"/>
        <w:rPr>
          <w:sz w:val="20"/>
          <w:szCs w:val="20"/>
          <w:color w:val="auto"/>
        </w:rPr>
      </w:pPr>
    </w:p>
    <w:p>
      <w:pPr>
        <w:ind w:left="660" w:right="2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cease for any reason to constitute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first day of such period whose election, or nomination by the Board for election by the Company’s stockholders, was approved by a vote of at least a majority of the Incumbent Directors shall be considered as though such individual were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(as defined below) other than the Board (including without limitation any settlement thereof);</w:t>
      </w:r>
    </w:p>
    <w:p>
      <w:pPr>
        <w:spacing w:after="0" w:line="104" w:lineRule="exact"/>
        <w:rPr>
          <w:sz w:val="20"/>
          <w:szCs w:val="20"/>
          <w:color w:val="auto"/>
        </w:rPr>
      </w:pPr>
    </w:p>
    <w:p>
      <w:pPr>
        <w:ind w:left="660" w:right="120" w:firstLine="644"/>
        <w:spacing w:after="0" w:line="290" w:lineRule="auto"/>
        <w:tabs>
          <w:tab w:leader="none" w:pos="178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consummation of a merger, consolidation, statutory share exchange or similar form of corporate transaction (but not, for the avoidance of doubt, a sale of assets) involving the Company (each, a “</w:t>
      </w:r>
      <w:r>
        <w:rPr>
          <w:rFonts w:ascii="Arial" w:cs="Arial" w:eastAsia="Arial" w:hAnsi="Arial"/>
          <w:sz w:val="19"/>
          <w:szCs w:val="19"/>
          <w:u w:val="single" w:color="auto"/>
          <w:color w:val="auto"/>
        </w:rPr>
        <w:t>Reorganization</w:t>
      </w:r>
      <w:r>
        <w:rPr>
          <w:rFonts w:ascii="Arial" w:cs="Arial" w:eastAsia="Arial" w:hAnsi="Arial"/>
          <w:sz w:val="19"/>
          <w:szCs w:val="19"/>
          <w:color w:val="auto"/>
        </w:rPr>
        <w:t>”) if such Reorganization requires the approval of the Company’s stockholders under the law of the Company’s jurisdiction of organization (whether such approval is required for such Reorganization or for the issuance of securities of the Company in such Reorganization), unless, immediately following such Reorganization, (1) individuals and entities who were the “beneficial owners” (as such term is defined in Rule 13d-3 under the Exchange Act (or a successor rule thereto)) of the securities eligible to vote for the election of the Board (“</w:t>
      </w:r>
      <w:r>
        <w:rPr>
          <w:rFonts w:ascii="Arial" w:cs="Arial" w:eastAsia="Arial" w:hAnsi="Arial"/>
          <w:sz w:val="19"/>
          <w:szCs w:val="19"/>
          <w:u w:val="single" w:color="auto"/>
          <w:color w:val="auto"/>
        </w:rPr>
        <w:t>Company Voting Securities</w:t>
      </w:r>
      <w:r>
        <w:rPr>
          <w:rFonts w:ascii="Arial" w:cs="Arial" w:eastAsia="Arial" w:hAnsi="Arial"/>
          <w:sz w:val="19"/>
          <w:szCs w:val="19"/>
          <w:color w:val="auto"/>
        </w:rPr>
        <w:t>”) outstanding immediately prior to the consummation of such Reorganization continue to beneficially own, directly or indirectly, more than 50%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86" w:name="page187"/>
    <w:bookmarkEnd w:id="186"/>
    <w:p>
      <w:pPr>
        <w:ind w:left="4" w:right="100"/>
        <w:spacing w:after="0" w:line="284" w:lineRule="auto"/>
        <w:rPr>
          <w:sz w:val="20"/>
          <w:szCs w:val="20"/>
          <w:color w:val="auto"/>
        </w:rPr>
      </w:pPr>
      <w:r>
        <w:rPr>
          <w:rFonts w:ascii="Arial" w:cs="Arial" w:eastAsia="Arial" w:hAnsi="Arial"/>
          <w:sz w:val="19"/>
          <w:szCs w:val="19"/>
          <w:color w:val="auto"/>
        </w:rPr>
        <w:t>combined voting power of the then outstanding voting securities of the corporation or other entity resulting from such Reorganization (including a corporation that, as a result of such transaction, owns the Company either directly or through one or more Subsidiaries) (the “</w:t>
      </w:r>
      <w:r>
        <w:rPr>
          <w:rFonts w:ascii="Arial" w:cs="Arial" w:eastAsia="Arial" w:hAnsi="Arial"/>
          <w:sz w:val="19"/>
          <w:szCs w:val="19"/>
          <w:u w:val="single" w:color="auto"/>
          <w:color w:val="auto"/>
        </w:rPr>
        <w:t>Continuing Company</w:t>
      </w:r>
      <w:r>
        <w:rPr>
          <w:rFonts w:ascii="Arial" w:cs="Arial" w:eastAsia="Arial" w:hAnsi="Arial"/>
          <w:sz w:val="19"/>
          <w:szCs w:val="19"/>
          <w:color w:val="auto"/>
        </w:rPr>
        <w:t>”) in substantially the same proportion as the voting power of such Company Voting Securities among the holders thereof immediately prior to the Reorganization (excluding, for such purposes, any outstanding voting securities of the Continuing Company that such beneficial owners hold immediately following the consummation of the Reorganization as a result of their ownership prior to such consummation of voting securities of any corporation or other entity involved in or forming part of such Reorganization other than the Company),</w:t>
      </w:r>
    </w:p>
    <w:p>
      <w:pPr>
        <w:spacing w:after="0" w:line="4" w:lineRule="exact"/>
        <w:rPr>
          <w:sz w:val="20"/>
          <w:szCs w:val="20"/>
          <w:color w:val="auto"/>
        </w:rPr>
      </w:pPr>
    </w:p>
    <w:p>
      <w:pPr>
        <w:ind w:left="4" w:right="20" w:hanging="4"/>
        <w:spacing w:after="0" w:line="288" w:lineRule="auto"/>
        <w:tabs>
          <w:tab w:leader="none" w:pos="31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 “person” (as such term is used in Section 13(d) of the Exchange Act) (each, a “</w:t>
      </w:r>
      <w:r>
        <w:rPr>
          <w:rFonts w:ascii="Arial" w:cs="Arial" w:eastAsia="Arial" w:hAnsi="Arial"/>
          <w:sz w:val="19"/>
          <w:szCs w:val="19"/>
          <w:u w:val="single" w:color="auto"/>
          <w:color w:val="auto"/>
        </w:rPr>
        <w:t>Person</w:t>
      </w:r>
      <w:r>
        <w:rPr>
          <w:rFonts w:ascii="Arial" w:cs="Arial" w:eastAsia="Arial" w:hAnsi="Arial"/>
          <w:sz w:val="19"/>
          <w:szCs w:val="19"/>
          <w:color w:val="auto"/>
        </w:rPr>
        <w:t>”) (excluding (x) any employee benefit plan (or related trust) sponsored or maintained by the Continuing Company or any corporation controlled by the Continuing Company and (y) any one or more Specified Stockholders) beneficially owns, directly or indirectly, 30% or more of the combined voting power of the then outstanding voting securities of the Continuing Company and (3) at least 50% of the members of the board of directors of the Continuing Company (or equivalent body) were Incumbent Directors at the time of the execution of the definitive agreement providing for such Reorganization or, in the absence of such an agreement, at the time at which approval of the Board was obtained for such Reorganization;</w:t>
      </w:r>
    </w:p>
    <w:p>
      <w:pPr>
        <w:spacing w:after="0" w:line="104" w:lineRule="exact"/>
        <w:rPr>
          <w:rFonts w:ascii="Arial" w:cs="Arial" w:eastAsia="Arial" w:hAnsi="Arial"/>
          <w:sz w:val="19"/>
          <w:szCs w:val="19"/>
          <w:color w:val="auto"/>
        </w:rPr>
      </w:pPr>
    </w:p>
    <w:p>
      <w:pPr>
        <w:ind w:left="4" w:firstLine="644"/>
        <w:spacing w:after="0" w:line="253" w:lineRule="auto"/>
        <w:tabs>
          <w:tab w:leader="none" w:pos="1192"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stockholders of the Company approve a plan of complete liquidation or dissolution of the Company unless such liquidation or dissolution is part of a transaction or series of transactions described in paragraph (ii) above that does not otherwise constitute a Change of Control; or</w:t>
      </w:r>
    </w:p>
    <w:p>
      <w:pPr>
        <w:spacing w:after="0" w:line="131" w:lineRule="exact"/>
        <w:rPr>
          <w:rFonts w:ascii="Arial" w:cs="Arial" w:eastAsia="Arial" w:hAnsi="Arial"/>
          <w:sz w:val="22"/>
          <w:szCs w:val="22"/>
          <w:color w:val="auto"/>
        </w:rPr>
      </w:pPr>
    </w:p>
    <w:p>
      <w:pPr>
        <w:ind w:left="4" w:right="160" w:firstLine="644"/>
        <w:spacing w:after="0" w:line="286" w:lineRule="auto"/>
        <w:tabs>
          <w:tab w:leader="none" w:pos="11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any Person, corporation or other entity or “group” (as used in Section 14(d)(2) of the Exchange Act) (other than (A) the Company, (B) any trustee or other fiduciary holding securities under an employee benefit plan of the Company or an Affiliate, (C) any company owned, directly or indirectly, by the stockholders of the Company in substantially the same proportions as their ownership of the voting power of the Company Voting Securities or (D) any one or more Specified Stockholders, including any group in which a Specified Stockholder is a member) becomes the beneficial owner, directly or indirectly, of securities of the Company representing 30% or more of the combined voting power of the Company Voting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subparagraph (iv), the following acquisitions shall not constitute a Change of Control: (w) any acquisition directly from the Company, (x) any acquisition by any employee benefit plan (or related trust) sponsored or maintained by the Company or an Affiliate, (y) any acquisition by an underwriter temporarily holding such Company Voting Securities pursuant to an offering of such securities or any acquisition by a pledgee of Company Voting Securities holding such securities as collateral or temporarily holding such securities upon foreclosure of the underlying obligation or (z) any acquisition pursuant to a Reorganization that does not constitute a Change in Control for purposes of subparagraph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87" w:name="page188"/>
    <w:bookmarkEnd w:id="187"/>
    <w:p>
      <w:pPr>
        <w:ind w:right="220" w:firstLine="648"/>
        <w:spacing w:after="0" w:line="263" w:lineRule="auto"/>
        <w:rPr>
          <w:sz w:val="20"/>
          <w:szCs w:val="20"/>
          <w:color w:val="auto"/>
        </w:rPr>
      </w:pPr>
      <w:r>
        <w:rPr>
          <w:rFonts w:ascii="Arial" w:cs="Arial" w:eastAsia="Arial" w:hAnsi="Arial"/>
          <w:sz w:val="22"/>
          <w:szCs w:val="22"/>
          <w:color w:val="010000"/>
        </w:rPr>
        <w:t xml:space="preserve">2.7 </w:t>
      </w:r>
      <w:r>
        <w:rPr>
          <w:rFonts w:ascii="Arial" w:cs="Arial" w:eastAsia="Arial" w:hAnsi="Arial"/>
          <w:sz w:val="22"/>
          <w:szCs w:val="22"/>
          <w:color w:val="000000"/>
        </w:rPr>
        <w:t>“</w:t>
      </w:r>
      <w:r>
        <w:rPr>
          <w:rFonts w:ascii="Arial" w:cs="Arial" w:eastAsia="Arial" w:hAnsi="Arial"/>
          <w:sz w:val="22"/>
          <w:szCs w:val="22"/>
          <w:u w:val="single" w:color="auto"/>
          <w:color w:val="000000"/>
        </w:rPr>
        <w:t>Change in Control Period</w:t>
      </w:r>
      <w:r>
        <w:rPr>
          <w:rFonts w:ascii="Arial" w:cs="Arial" w:eastAsia="Arial" w:hAnsi="Arial"/>
          <w:sz w:val="22"/>
          <w:szCs w:val="22"/>
          <w:color w:val="000000"/>
        </w:rPr>
        <w:t>” means the period commencing on, and including, the date of a Change in Control and</w:t>
      </w:r>
      <w:r>
        <w:rPr>
          <w:rFonts w:ascii="Arial" w:cs="Arial" w:eastAsia="Arial" w:hAnsi="Arial"/>
          <w:sz w:val="22"/>
          <w:szCs w:val="22"/>
          <w:color w:val="010000"/>
        </w:rPr>
        <w:t xml:space="preserve"> </w:t>
      </w:r>
      <w:r>
        <w:rPr>
          <w:rFonts w:ascii="Arial" w:cs="Arial" w:eastAsia="Arial" w:hAnsi="Arial"/>
          <w:sz w:val="22"/>
          <w:szCs w:val="22"/>
          <w:color w:val="000000"/>
        </w:rPr>
        <w:t>ending on, and including, the second anniversary of the date of such Change in Control.</w:t>
      </w:r>
    </w:p>
    <w:p>
      <w:pPr>
        <w:spacing w:after="0" w:line="1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1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w:t>
      </w:r>
    </w:p>
    <w:p>
      <w:pPr>
        <w:spacing w:after="0" w:line="16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010000"/>
        </w:rPr>
        <w:t xml:space="preserve">2.10 </w:t>
      </w:r>
      <w:r>
        <w:rPr>
          <w:rFonts w:ascii="Arial" w:cs="Arial" w:eastAsia="Arial" w:hAnsi="Arial"/>
          <w:sz w:val="22"/>
          <w:szCs w:val="22"/>
          <w:color w:val="000000"/>
        </w:rPr>
        <w:t>“</w:t>
      </w:r>
      <w:r>
        <w:rPr>
          <w:rFonts w:ascii="Arial" w:cs="Arial" w:eastAsia="Arial" w:hAnsi="Arial"/>
          <w:sz w:val="22"/>
          <w:szCs w:val="22"/>
          <w:u w:val="single" w:color="auto"/>
          <w:color w:val="000000"/>
        </w:rPr>
        <w:t>Company</w:t>
      </w:r>
      <w:r>
        <w:rPr>
          <w:rFonts w:ascii="Arial" w:cs="Arial" w:eastAsia="Arial" w:hAnsi="Arial"/>
          <w:sz w:val="22"/>
          <w:szCs w:val="22"/>
          <w:color w:val="000000"/>
        </w:rPr>
        <w:t>” means GXO Logistics, Inc. and any successor(s) thereto or, if applicable, the ultimate parent of any</w:t>
      </w:r>
      <w:r>
        <w:rPr>
          <w:rFonts w:ascii="Arial" w:cs="Arial" w:eastAsia="Arial" w:hAnsi="Arial"/>
          <w:sz w:val="22"/>
          <w:szCs w:val="22"/>
          <w:color w:val="010000"/>
        </w:rPr>
        <w:t xml:space="preserve"> </w:t>
      </w:r>
      <w:r>
        <w:rPr>
          <w:rFonts w:ascii="Arial" w:cs="Arial" w:eastAsia="Arial" w:hAnsi="Arial"/>
          <w:sz w:val="22"/>
          <w:szCs w:val="22"/>
          <w:color w:val="000000"/>
        </w:rPr>
        <w:t>such successor.</w:t>
      </w:r>
    </w:p>
    <w:p>
      <w:pPr>
        <w:spacing w:after="0" w:line="12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color w:val="000000"/>
        </w:rPr>
        <w:t>“</w:t>
      </w:r>
      <w:r>
        <w:rPr>
          <w:rFonts w:ascii="Arial" w:cs="Arial" w:eastAsia="Arial" w:hAnsi="Arial"/>
          <w:sz w:val="19"/>
          <w:szCs w:val="19"/>
          <w:u w:val="single" w:color="auto"/>
          <w:color w:val="000000"/>
        </w:rPr>
        <w:t>Date of Termination</w:t>
      </w:r>
      <w:r>
        <w:rPr>
          <w:rFonts w:ascii="Arial" w:cs="Arial" w:eastAsia="Arial" w:hAnsi="Arial"/>
          <w:sz w:val="19"/>
          <w:szCs w:val="19"/>
          <w:color w:val="000000"/>
        </w:rPr>
        <w:t>” means the date of receipt of a Notice of Termination from the Company or the Participant,</w:t>
      </w:r>
      <w:r>
        <w:rPr>
          <w:rFonts w:ascii="Arial" w:cs="Arial" w:eastAsia="Arial" w:hAnsi="Arial"/>
          <w:sz w:val="19"/>
          <w:szCs w:val="19"/>
          <w:color w:val="010000"/>
        </w:rPr>
        <w:t xml:space="preserve"> </w:t>
      </w:r>
      <w:r>
        <w:rPr>
          <w:rFonts w:ascii="Arial" w:cs="Arial" w:eastAsia="Arial" w:hAnsi="Arial"/>
          <w:sz w:val="19"/>
          <w:szCs w:val="19"/>
          <w:color w:val="000000"/>
        </w:rPr>
        <w:t>as applicable, or any later date specified in the Notice of Termination (subject to the notice and cure periods in the definition of Good Reason). If the Participant’s employment is terminated by reason of death, the Date of Termination shall be the date of death of the Participant. If the Participant’s employment is terminated by reason of Disability, the Date of Termination shall be the date on which the Participant becomes eligible for benefits under the Company’s (or as, relevant, any Affiliate's) long-term disability plan. Notwithstanding the foregoing, in no event shall the Date of Termination of any U.S. Taxpayer Participant occur until such U.S. Taxpayer Participant experiences a “separation from service” within the meaning of Section 409A of the Code, and the date on which such separation from service takes place shall be the “Date of Termination.”</w:t>
      </w:r>
    </w:p>
    <w:p>
      <w:pPr>
        <w:spacing w:after="0" w:line="1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2.12 </w:t>
      </w:r>
      <w:r>
        <w:rPr>
          <w:rFonts w:ascii="Arial" w:cs="Arial" w:eastAsia="Arial" w:hAnsi="Arial"/>
          <w:sz w:val="22"/>
          <w:szCs w:val="22"/>
          <w:color w:val="000000"/>
        </w:rPr>
        <w:t>“</w:t>
      </w:r>
      <w:r>
        <w:rPr>
          <w:rFonts w:ascii="Arial" w:cs="Arial" w:eastAsia="Arial" w:hAnsi="Arial"/>
          <w:sz w:val="22"/>
          <w:szCs w:val="22"/>
          <w:u w:val="single" w:color="auto"/>
          <w:color w:val="000000"/>
        </w:rPr>
        <w:t>Disability</w:t>
      </w:r>
      <w:r>
        <w:rPr>
          <w:rFonts w:ascii="Arial" w:cs="Arial" w:eastAsia="Arial" w:hAnsi="Arial"/>
          <w:sz w:val="22"/>
          <w:szCs w:val="22"/>
          <w:color w:val="000000"/>
        </w:rPr>
        <w:t>” shall have the meaning given to such term in the Company’s (or as, relevant, any Affiliate's)long -term</w:t>
      </w:r>
      <w:r>
        <w:rPr>
          <w:rFonts w:ascii="Arial" w:cs="Arial" w:eastAsia="Arial" w:hAnsi="Arial"/>
          <w:sz w:val="22"/>
          <w:szCs w:val="22"/>
          <w:color w:val="010000"/>
        </w:rPr>
        <w:t xml:space="preserve"> </w:t>
      </w:r>
      <w:r>
        <w:rPr>
          <w:rFonts w:ascii="Arial" w:cs="Arial" w:eastAsia="Arial" w:hAnsi="Arial"/>
          <w:sz w:val="22"/>
          <w:szCs w:val="22"/>
          <w:color w:val="000000"/>
        </w:rPr>
        <w:t>disability plan applicable to the Participant.</w:t>
      </w:r>
    </w:p>
    <w:p>
      <w:pPr>
        <w:spacing w:after="0" w:line="12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date on which the Separation (as defined in Section 2.23) occurs.</w:t>
      </w:r>
    </w:p>
    <w:p>
      <w:pPr>
        <w:spacing w:after="0" w:line="1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010000"/>
        </w:rPr>
        <w:t xml:space="preserve">2.14 </w:t>
      </w:r>
      <w:r>
        <w:rPr>
          <w:rFonts w:ascii="Arial" w:cs="Arial" w:eastAsia="Arial" w:hAnsi="Arial"/>
          <w:sz w:val="22"/>
          <w:szCs w:val="22"/>
          <w:color w:val="000000"/>
        </w:rPr>
        <w:t>“</w:t>
      </w:r>
      <w:r>
        <w:rPr>
          <w:rFonts w:ascii="Arial" w:cs="Arial" w:eastAsia="Arial" w:hAnsi="Arial"/>
          <w:sz w:val="22"/>
          <w:szCs w:val="22"/>
          <w:u w:val="single" w:color="auto"/>
          <w:color w:val="000000"/>
        </w:rPr>
        <w:t>Good Reason</w:t>
      </w:r>
      <w:r>
        <w:rPr>
          <w:rFonts w:ascii="Arial" w:cs="Arial" w:eastAsia="Arial" w:hAnsi="Arial"/>
          <w:sz w:val="22"/>
          <w:szCs w:val="22"/>
          <w:color w:val="000000"/>
        </w:rPr>
        <w:t>” means the occurrence of any of the following events or circumstances during a Change in Control</w:t>
      </w:r>
      <w:r>
        <w:rPr>
          <w:rFonts w:ascii="Arial" w:cs="Arial" w:eastAsia="Arial" w:hAnsi="Arial"/>
          <w:sz w:val="22"/>
          <w:szCs w:val="22"/>
          <w:color w:val="010000"/>
        </w:rPr>
        <w:t xml:space="preserve"> </w:t>
      </w:r>
      <w:r>
        <w:rPr>
          <w:rFonts w:ascii="Arial" w:cs="Arial" w:eastAsia="Arial" w:hAnsi="Arial"/>
          <w:sz w:val="22"/>
          <w:szCs w:val="22"/>
          <w:color w:val="000000"/>
        </w:rPr>
        <w:t>Period and without the Participant’s prior written consent:</w:t>
      </w:r>
    </w:p>
    <w:p>
      <w:pPr>
        <w:spacing w:after="0" w:line="121" w:lineRule="exact"/>
        <w:rPr>
          <w:sz w:val="20"/>
          <w:szCs w:val="20"/>
          <w:color w:val="auto"/>
        </w:rPr>
      </w:pPr>
    </w:p>
    <w:p>
      <w:pPr>
        <w:ind w:left="660" w:right="100" w:firstLine="644"/>
        <w:spacing w:after="0" w:line="250" w:lineRule="auto"/>
        <w:tabs>
          <w:tab w:leader="none" w:pos="1764" w:val="left"/>
        </w:tabs>
        <w:numPr>
          <w:ilvl w:val="0"/>
          <w:numId w:val="145"/>
        </w:numPr>
        <w:rPr>
          <w:rFonts w:ascii="Arial" w:cs="Arial" w:eastAsia="Arial" w:hAnsi="Arial"/>
          <w:sz w:val="22"/>
          <w:szCs w:val="22"/>
          <w:color w:val="010000"/>
        </w:rPr>
      </w:pPr>
      <w:r>
        <w:rPr>
          <w:rFonts w:ascii="Arial" w:cs="Arial" w:eastAsia="Arial" w:hAnsi="Arial"/>
          <w:sz w:val="22"/>
          <w:szCs w:val="22"/>
          <w:color w:val="auto"/>
        </w:rPr>
        <w:t>A material reduction of the Participant’s Annual Base Salary from that in effect immediately prior to the Change in Control (or if higher, that in effect at any time thereafter), other than pursuant to a general reduction in Annual Base Salary that applies on a uniform basis to all similarly situated executives of the Company or, as relevant, the Affiliate which employs the Participant;</w:t>
      </w:r>
    </w:p>
    <w:p>
      <w:pPr>
        <w:spacing w:after="0" w:line="133" w:lineRule="exact"/>
        <w:rPr>
          <w:rFonts w:ascii="Arial" w:cs="Arial" w:eastAsia="Arial" w:hAnsi="Arial"/>
          <w:sz w:val="22"/>
          <w:szCs w:val="22"/>
          <w:color w:val="010000"/>
        </w:rPr>
      </w:pPr>
    </w:p>
    <w:p>
      <w:pPr>
        <w:ind w:left="660" w:firstLine="644"/>
        <w:spacing w:after="0" w:line="263" w:lineRule="auto"/>
        <w:tabs>
          <w:tab w:leader="none" w:pos="1776" w:val="left"/>
        </w:tabs>
        <w:numPr>
          <w:ilvl w:val="0"/>
          <w:numId w:val="145"/>
        </w:numPr>
        <w:rPr>
          <w:rFonts w:ascii="Arial" w:cs="Arial" w:eastAsia="Arial" w:hAnsi="Arial"/>
          <w:sz w:val="22"/>
          <w:szCs w:val="22"/>
          <w:color w:val="010000"/>
        </w:rPr>
      </w:pPr>
      <w:r>
        <w:rPr>
          <w:rFonts w:ascii="Arial" w:cs="Arial" w:eastAsia="Arial" w:hAnsi="Arial"/>
          <w:sz w:val="22"/>
          <w:szCs w:val="22"/>
          <w:color w:val="auto"/>
        </w:rPr>
        <w:t>A material reduction in the Participant’s target annual cash bonus opportunity from that in effect immediately prior to the Change in Control (or, if higher, that in effect at any time thereafter);</w:t>
      </w:r>
    </w:p>
    <w:p>
      <w:pPr>
        <w:spacing w:after="0" w:line="120" w:lineRule="exact"/>
        <w:rPr>
          <w:rFonts w:ascii="Arial" w:cs="Arial" w:eastAsia="Arial" w:hAnsi="Arial"/>
          <w:sz w:val="22"/>
          <w:szCs w:val="22"/>
          <w:color w:val="010000"/>
        </w:rPr>
      </w:pPr>
    </w:p>
    <w:p>
      <w:pPr>
        <w:ind w:left="660" w:right="1280" w:firstLine="644"/>
        <w:spacing w:after="0" w:line="263" w:lineRule="auto"/>
        <w:tabs>
          <w:tab w:leader="none" w:pos="1764" w:val="left"/>
        </w:tabs>
        <w:numPr>
          <w:ilvl w:val="0"/>
          <w:numId w:val="145"/>
        </w:numPr>
        <w:rPr>
          <w:rFonts w:ascii="Arial" w:cs="Arial" w:eastAsia="Arial" w:hAnsi="Arial"/>
          <w:sz w:val="22"/>
          <w:szCs w:val="22"/>
          <w:color w:val="010000"/>
        </w:rPr>
      </w:pPr>
      <w:r>
        <w:rPr>
          <w:rFonts w:ascii="Arial" w:cs="Arial" w:eastAsia="Arial" w:hAnsi="Arial"/>
          <w:sz w:val="22"/>
          <w:szCs w:val="22"/>
          <w:color w:val="auto"/>
        </w:rPr>
        <w:t>A material, adverse change in the Participant’s title, reporting relationship, authority, duties, or responsibilities from those in effect immediately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188" w:name="page189"/>
    <w:bookmarkEnd w:id="188"/>
    <w:p>
      <w:pPr>
        <w:ind w:left="660" w:right="300" w:firstLine="644"/>
        <w:spacing w:after="0" w:line="263" w:lineRule="auto"/>
        <w:tabs>
          <w:tab w:leader="none" w:pos="177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Company’s requirement that the Participant be based at a location that is more than 50 miles from the location of the Participant’s employment immediately prior to the Change of Control; or</w:t>
      </w:r>
    </w:p>
    <w:p>
      <w:pPr>
        <w:spacing w:after="0" w:line="120" w:lineRule="exact"/>
        <w:rPr>
          <w:rFonts w:ascii="Arial" w:cs="Arial" w:eastAsia="Arial" w:hAnsi="Arial"/>
          <w:sz w:val="22"/>
          <w:szCs w:val="22"/>
          <w:color w:val="auto"/>
        </w:rPr>
      </w:pPr>
    </w:p>
    <w:p>
      <w:pPr>
        <w:ind w:left="660" w:right="80" w:firstLine="644"/>
        <w:spacing w:after="0" w:line="263" w:lineRule="auto"/>
        <w:tabs>
          <w:tab w:leader="none" w:pos="1764" w:val="left"/>
        </w:tabs>
        <w:numPr>
          <w:ilvl w:val="0"/>
          <w:numId w:val="146"/>
        </w:numPr>
        <w:rPr>
          <w:rFonts w:ascii="Arial" w:cs="Arial" w:eastAsia="Arial" w:hAnsi="Arial"/>
          <w:sz w:val="22"/>
          <w:szCs w:val="22"/>
          <w:color w:val="010000"/>
        </w:rPr>
      </w:pPr>
      <w:r>
        <w:rPr>
          <w:rFonts w:ascii="Arial" w:cs="Arial" w:eastAsia="Arial" w:hAnsi="Arial"/>
          <w:sz w:val="22"/>
          <w:szCs w:val="22"/>
          <w:color w:val="auto"/>
        </w:rPr>
        <w:t>The failure of the Company to obtain an agreement from any successor to the Company to assume and agree to perform the obligations under this Plan with respect to the Participant.</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In order to invoke a termination for Good Reason, the Participant shall provide written notice to the Company of the existence of one or more of the conditions described in clauses (a) through (e) within 90 days of the initial existence of such condition, describing in reasonable detail such condition, and the Company shall have 30 days following receipt of such written notice (the “</w:t>
      </w:r>
      <w:r>
        <w:rPr>
          <w:rFonts w:ascii="Arial" w:cs="Arial" w:eastAsia="Arial" w:hAnsi="Arial"/>
          <w:sz w:val="21"/>
          <w:szCs w:val="21"/>
          <w:u w:val="single" w:color="auto"/>
          <w:color w:val="auto"/>
        </w:rPr>
        <w:t>Cure Period</w:t>
      </w:r>
      <w:r>
        <w:rPr>
          <w:rFonts w:ascii="Arial" w:cs="Arial" w:eastAsia="Arial" w:hAnsi="Arial"/>
          <w:sz w:val="21"/>
          <w:szCs w:val="21"/>
          <w:color w:val="auto"/>
        </w:rPr>
        <w:t>”) during which it may remedy the condition. In the event that the Company fails to remedy the condition constituting Good Reason during the applicable Cure Period, the “separation from service” (within the meaning of Section 409A of the Code) of any U.S. Taxpayer Participant, or, for any Non-U.S. Participant, their termination of employment, must occur, if at all, within 30 days following the earlier of (i) the end of the Cure Period, or (ii) the date the Company provides written notice to the Participant that it does not intend to cure such condition. The Participant’s mental or physical incapacity following the occurrence of an event described above in clauses (a) through (e) shall not affect the Participant’s ability to terminate employment for Good Reason and the Participant’s death following delivery of a Notice of Termination for Good Reason shall not affect the Participant’s estate’s entitlement to the severance payments and benefits provided hereunder upon a termination of employment for Good Reason.</w:t>
      </w:r>
    </w:p>
    <w:p>
      <w:pPr>
        <w:spacing w:after="0" w:line="13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Multiple</w:t>
      </w:r>
      <w:r>
        <w:rPr>
          <w:rFonts w:ascii="Arial" w:cs="Arial" w:eastAsia="Arial" w:hAnsi="Arial"/>
          <w:sz w:val="19"/>
          <w:szCs w:val="19"/>
          <w:color w:val="auto"/>
        </w:rPr>
        <w:t>” means (a) for the CEO, two and one-half (2.5) and (b) for all other Participants, two (2).</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2.16</w:t>
      </w:r>
      <w:r>
        <w:rPr>
          <w:sz w:val="20"/>
          <w:szCs w:val="20"/>
          <w:color w:val="auto"/>
        </w:rPr>
        <w:tab/>
      </w:r>
      <w:r>
        <w:rPr>
          <w:rFonts w:ascii="Arial" w:cs="Arial" w:eastAsia="Arial" w:hAnsi="Arial"/>
          <w:sz w:val="19"/>
          <w:szCs w:val="19"/>
          <w:u w:val="single" w:color="auto"/>
          <w:color w:val="auto"/>
        </w:rPr>
        <w:t xml:space="preserve">"Non-U.S. Participant" </w:t>
      </w:r>
      <w:r>
        <w:rPr>
          <w:rFonts w:ascii="Arial" w:cs="Arial" w:eastAsia="Arial" w:hAnsi="Arial"/>
          <w:sz w:val="19"/>
          <w:szCs w:val="19"/>
          <w:color w:val="auto"/>
        </w:rPr>
        <w:t>means any Participant other than a U.S. Taxpayer Participant.</w:t>
      </w:r>
    </w:p>
    <w:p>
      <w:pPr>
        <w:spacing w:after="0" w:line="166" w:lineRule="exact"/>
        <w:rPr>
          <w:sz w:val="20"/>
          <w:szCs w:val="20"/>
          <w:color w:val="auto"/>
        </w:rPr>
      </w:pPr>
    </w:p>
    <w:p>
      <w:pPr>
        <w:ind w:right="260" w:firstLine="648"/>
        <w:spacing w:after="0" w:line="288" w:lineRule="auto"/>
        <w:rPr>
          <w:sz w:val="20"/>
          <w:szCs w:val="20"/>
          <w:color w:val="auto"/>
        </w:rPr>
      </w:pPr>
      <w:r>
        <w:rPr>
          <w:rFonts w:ascii="Arial" w:cs="Arial" w:eastAsia="Arial" w:hAnsi="Arial"/>
          <w:sz w:val="19"/>
          <w:szCs w:val="19"/>
          <w:color w:val="010000"/>
        </w:rPr>
        <w:t xml:space="preserve">2.17 </w:t>
      </w:r>
      <w:r>
        <w:rPr>
          <w:rFonts w:ascii="Arial" w:cs="Arial" w:eastAsia="Arial" w:hAnsi="Arial"/>
          <w:sz w:val="19"/>
          <w:szCs w:val="19"/>
          <w:color w:val="000000"/>
        </w:rPr>
        <w:t>“</w:t>
      </w:r>
      <w:r>
        <w:rPr>
          <w:rFonts w:ascii="Arial" w:cs="Arial" w:eastAsia="Arial" w:hAnsi="Arial"/>
          <w:sz w:val="19"/>
          <w:szCs w:val="19"/>
          <w:u w:val="single" w:color="auto"/>
          <w:color w:val="000000"/>
        </w:rPr>
        <w:t>Notice of Termination</w:t>
      </w:r>
      <w:r>
        <w:rPr>
          <w:rFonts w:ascii="Arial" w:cs="Arial" w:eastAsia="Arial" w:hAnsi="Arial"/>
          <w:sz w:val="19"/>
          <w:szCs w:val="19"/>
          <w:color w:val="000000"/>
        </w:rPr>
        <w:t>” means a written notice delivered to the other party that (a) indicates the specific</w:t>
      </w:r>
      <w:r>
        <w:rPr>
          <w:rFonts w:ascii="Arial" w:cs="Arial" w:eastAsia="Arial" w:hAnsi="Arial"/>
          <w:sz w:val="19"/>
          <w:szCs w:val="19"/>
          <w:color w:val="010000"/>
        </w:rPr>
        <w:t xml:space="preserve"> </w:t>
      </w:r>
      <w:r>
        <w:rPr>
          <w:rFonts w:ascii="Arial" w:cs="Arial" w:eastAsia="Arial" w:hAnsi="Arial"/>
          <w:sz w:val="19"/>
          <w:szCs w:val="19"/>
          <w:color w:val="000000"/>
        </w:rPr>
        <w:t>termination provision in this Plan relied upon, (b) to the extent applicable, sets forth in reasonable detail the facts and circumstances claimed to provide a basis for termination of the Participant’s employment under the provision so indicated, and</w:t>
      </w:r>
    </w:p>
    <w:p>
      <w:pPr>
        <w:spacing w:after="0" w:line="1" w:lineRule="exact"/>
        <w:rPr>
          <w:sz w:val="20"/>
          <w:szCs w:val="20"/>
          <w:color w:val="auto"/>
        </w:rPr>
      </w:pPr>
    </w:p>
    <w:p>
      <w:pPr>
        <w:ind w:firstLine="8"/>
        <w:spacing w:after="0" w:line="256" w:lineRule="auto"/>
        <w:tabs>
          <w:tab w:leader="none" w:pos="29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if the Date of Termination is other than the date of receipt of such notice, specifies the Date of Termination (which Date of Termination shall be: (i) for any U.S. Taxpayer Participant, not more than 30 days after the giving of such notice or 90 days in the case of a termination for Good Reason); or (ii) for any Non-U.S. Participant, no later than the expiry of their contractual notice period. Any termination by the Company for Cause or by the Participant for Good Reason shall be communicated by a Notice of Termination to the other party hereto given in accordance with Section 10.7 of this Plan. The failure by the Participant or the Company to set forth in the Notice of Termination any fact or circumstance that contributes to a showing of Good Reason or Cause shall not waive any right of the Participant or the Company, respectively, hereunder or preclude the Participant or the Company, respectively, from asserting such fact or circumstance in enforcing the Participant’s or ]the Company’s respective rights hereunder. For the avoidance of doubt, any notice served under the Plan will not affect the Company's or any Affiliate's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28" w:right="3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exercise any of its rights in relation to termination or notice under the relevant Participant's contract of employment.</w:t>
      </w:r>
    </w:p>
    <w:p>
      <w:pPr>
        <w:spacing w:after="0" w:line="166"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22"/>
          <w:szCs w:val="22"/>
          <w:color w:val="010000"/>
        </w:rPr>
        <w:t xml:space="preserve">2.18 </w:t>
      </w:r>
      <w:r>
        <w:rPr>
          <w:rFonts w:ascii="Arial" w:cs="Arial" w:eastAsia="Arial" w:hAnsi="Arial"/>
          <w:sz w:val="22"/>
          <w:szCs w:val="22"/>
          <w:color w:val="000000"/>
        </w:rPr>
        <w:t>“</w:t>
      </w:r>
      <w:r>
        <w:rPr>
          <w:rFonts w:ascii="Arial" w:cs="Arial" w:eastAsia="Arial" w:hAnsi="Arial"/>
          <w:sz w:val="22"/>
          <w:szCs w:val="22"/>
          <w:u w:val="single" w:color="auto"/>
          <w:color w:val="000000"/>
        </w:rPr>
        <w:t>Participant</w:t>
      </w:r>
      <w:r>
        <w:rPr>
          <w:rFonts w:ascii="Arial" w:cs="Arial" w:eastAsia="Arial" w:hAnsi="Arial"/>
          <w:sz w:val="22"/>
          <w:szCs w:val="22"/>
          <w:color w:val="000000"/>
        </w:rPr>
        <w:t>” means (a) the CEO, (b) each other executive officer of the Company, and (c) any other executive</w:t>
      </w:r>
      <w:r>
        <w:rPr>
          <w:rFonts w:ascii="Arial" w:cs="Arial" w:eastAsia="Arial" w:hAnsi="Arial"/>
          <w:sz w:val="22"/>
          <w:szCs w:val="22"/>
          <w:color w:val="010000"/>
        </w:rPr>
        <w:t xml:space="preserve"> </w:t>
      </w:r>
      <w:r>
        <w:rPr>
          <w:rFonts w:ascii="Arial" w:cs="Arial" w:eastAsia="Arial" w:hAnsi="Arial"/>
          <w:sz w:val="22"/>
          <w:szCs w:val="22"/>
          <w:color w:val="000000"/>
        </w:rPr>
        <w:t>employed by the Company or any Affiliate who is selected by the Committee for participation in the Plan and notified of the same in writing.</w:t>
      </w:r>
    </w:p>
    <w:p>
      <w:pPr>
        <w:spacing w:after="0" w:line="13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010000"/>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GXO Logistics, Inc. Severance Plan.</w:t>
      </w:r>
    </w:p>
    <w:p>
      <w:pPr>
        <w:spacing w:after="0" w:line="166"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010000"/>
        </w:rPr>
        <w:t xml:space="preserve">2.20 </w:t>
      </w:r>
      <w:r>
        <w:rPr>
          <w:rFonts w:ascii="Arial" w:cs="Arial" w:eastAsia="Arial" w:hAnsi="Arial"/>
          <w:sz w:val="22"/>
          <w:szCs w:val="22"/>
          <w:color w:val="000000"/>
        </w:rPr>
        <w:t>“</w:t>
      </w:r>
      <w:r>
        <w:rPr>
          <w:rFonts w:ascii="Arial" w:cs="Arial" w:eastAsia="Arial" w:hAnsi="Arial"/>
          <w:sz w:val="22"/>
          <w:szCs w:val="22"/>
          <w:u w:val="single" w:color="auto"/>
          <w:color w:val="000000"/>
        </w:rPr>
        <w:t>Qualifying CIC Termination</w:t>
      </w:r>
      <w:r>
        <w:rPr>
          <w:rFonts w:ascii="Arial" w:cs="Arial" w:eastAsia="Arial" w:hAnsi="Arial"/>
          <w:sz w:val="22"/>
          <w:szCs w:val="22"/>
          <w:color w:val="000000"/>
        </w:rPr>
        <w:t>” means any termination of a Participant’s employment, during a Change in Control</w:t>
      </w:r>
      <w:r>
        <w:rPr>
          <w:rFonts w:ascii="Arial" w:cs="Arial" w:eastAsia="Arial" w:hAnsi="Arial"/>
          <w:sz w:val="22"/>
          <w:szCs w:val="22"/>
          <w:color w:val="010000"/>
        </w:rPr>
        <w:t xml:space="preserve"> </w:t>
      </w:r>
      <w:r>
        <w:rPr>
          <w:rFonts w:ascii="Arial" w:cs="Arial" w:eastAsia="Arial" w:hAnsi="Arial"/>
          <w:sz w:val="22"/>
          <w:szCs w:val="22"/>
          <w:color w:val="000000"/>
        </w:rPr>
        <w:t>Period (a) by the Participant for Good Reason or (b) by the Company or as relevant any Affiliate other than for Cause, death or Disability.</w:t>
      </w:r>
    </w:p>
    <w:p>
      <w:pPr>
        <w:spacing w:after="0" w:line="131" w:lineRule="exact"/>
        <w:rPr>
          <w:sz w:val="20"/>
          <w:szCs w:val="20"/>
          <w:color w:val="auto"/>
        </w:rPr>
      </w:pPr>
    </w:p>
    <w:p>
      <w:pPr>
        <w:jc w:val="both"/>
        <w:ind w:right="160" w:firstLine="648"/>
        <w:spacing w:after="0" w:line="343" w:lineRule="auto"/>
        <w:rPr>
          <w:sz w:val="20"/>
          <w:szCs w:val="20"/>
          <w:color w:val="auto"/>
        </w:rPr>
      </w:pPr>
      <w:r>
        <w:rPr>
          <w:rFonts w:ascii="Arial" w:cs="Arial" w:eastAsia="Arial" w:hAnsi="Arial"/>
          <w:sz w:val="19"/>
          <w:szCs w:val="19"/>
          <w:color w:val="010000"/>
        </w:rPr>
        <w:t xml:space="preserve">2.21 </w:t>
      </w:r>
      <w:r>
        <w:rPr>
          <w:rFonts w:ascii="Arial" w:cs="Arial" w:eastAsia="Arial" w:hAnsi="Arial"/>
          <w:sz w:val="19"/>
          <w:szCs w:val="19"/>
          <w:color w:val="000000"/>
        </w:rPr>
        <w:t>“</w:t>
      </w:r>
      <w:r>
        <w:rPr>
          <w:rFonts w:ascii="Arial" w:cs="Arial" w:eastAsia="Arial" w:hAnsi="Arial"/>
          <w:sz w:val="19"/>
          <w:szCs w:val="19"/>
          <w:u w:val="single" w:color="auto"/>
          <w:color w:val="000000"/>
        </w:rPr>
        <w:t>Qualifying Non-CIC Termination</w:t>
      </w:r>
      <w:r>
        <w:rPr>
          <w:rFonts w:ascii="Arial" w:cs="Arial" w:eastAsia="Arial" w:hAnsi="Arial"/>
          <w:sz w:val="19"/>
          <w:szCs w:val="19"/>
          <w:color w:val="000000"/>
        </w:rPr>
        <w:t>” means any termination of a Participant’s employment (a) by the Company or</w:t>
      </w:r>
      <w:r>
        <w:rPr>
          <w:rFonts w:ascii="Arial" w:cs="Arial" w:eastAsia="Arial" w:hAnsi="Arial"/>
          <w:sz w:val="19"/>
          <w:szCs w:val="19"/>
          <w:color w:val="010000"/>
        </w:rPr>
        <w:t xml:space="preserve"> </w:t>
      </w:r>
      <w:r>
        <w:rPr>
          <w:rFonts w:ascii="Arial" w:cs="Arial" w:eastAsia="Arial" w:hAnsi="Arial"/>
          <w:sz w:val="19"/>
          <w:szCs w:val="19"/>
          <w:color w:val="000000"/>
        </w:rPr>
        <w:t>as relevant any Affiliate other than for Cause, death or Disability and (b) that is not a Qualifying CIC Termination.</w:t>
      </w:r>
    </w:p>
    <w:p>
      <w:pPr>
        <w:spacing w:after="0" w:line="50"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010000"/>
        </w:rPr>
        <w:t xml:space="preserve">2.22 </w:t>
      </w:r>
      <w:r>
        <w:rPr>
          <w:rFonts w:ascii="Arial" w:cs="Arial" w:eastAsia="Arial" w:hAnsi="Arial"/>
          <w:sz w:val="22"/>
          <w:szCs w:val="22"/>
          <w:color w:val="000000"/>
        </w:rPr>
        <w:t>“</w:t>
      </w:r>
      <w:r>
        <w:rPr>
          <w:rFonts w:ascii="Arial" w:cs="Arial" w:eastAsia="Arial" w:hAnsi="Arial"/>
          <w:sz w:val="22"/>
          <w:szCs w:val="22"/>
          <w:u w:val="single" w:color="auto"/>
          <w:color w:val="000000"/>
        </w:rPr>
        <w:t>Salary Continuation Period</w:t>
      </w:r>
      <w:r>
        <w:rPr>
          <w:rFonts w:ascii="Arial" w:cs="Arial" w:eastAsia="Arial" w:hAnsi="Arial"/>
          <w:sz w:val="22"/>
          <w:szCs w:val="22"/>
          <w:color w:val="000000"/>
        </w:rPr>
        <w:t>” means (a) with respect to the CEO, the period of eighteen (18) months immediately</w:t>
      </w:r>
      <w:r>
        <w:rPr>
          <w:rFonts w:ascii="Arial" w:cs="Arial" w:eastAsia="Arial" w:hAnsi="Arial"/>
          <w:sz w:val="22"/>
          <w:szCs w:val="22"/>
          <w:color w:val="010000"/>
        </w:rPr>
        <w:t xml:space="preserve"> </w:t>
      </w:r>
      <w:r>
        <w:rPr>
          <w:rFonts w:ascii="Arial" w:cs="Arial" w:eastAsia="Arial" w:hAnsi="Arial"/>
          <w:sz w:val="22"/>
          <w:szCs w:val="22"/>
          <w:color w:val="000000"/>
        </w:rPr>
        <w:t>following the Date of Termination and (b) with respect to all other Participants, the period of twelve (12) months immediately following the Date of Termination.</w:t>
      </w:r>
    </w:p>
    <w:p>
      <w:pPr>
        <w:spacing w:after="0" w:line="131"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010000"/>
        </w:rPr>
        <w:t xml:space="preserve">2.23 </w:t>
      </w:r>
      <w:r>
        <w:rPr>
          <w:rFonts w:ascii="Arial" w:cs="Arial" w:eastAsia="Arial" w:hAnsi="Arial"/>
          <w:sz w:val="21"/>
          <w:szCs w:val="21"/>
          <w:color w:val="000000"/>
        </w:rPr>
        <w:t>“</w:t>
      </w:r>
      <w:r>
        <w:rPr>
          <w:rFonts w:ascii="Arial" w:cs="Arial" w:eastAsia="Arial" w:hAnsi="Arial"/>
          <w:sz w:val="21"/>
          <w:szCs w:val="21"/>
          <w:u w:val="single" w:color="auto"/>
          <w:color w:val="000000"/>
        </w:rPr>
        <w:t>Target Annual Bonus</w:t>
      </w:r>
      <w:r>
        <w:rPr>
          <w:rFonts w:ascii="Arial" w:cs="Arial" w:eastAsia="Arial" w:hAnsi="Arial"/>
          <w:sz w:val="21"/>
          <w:szCs w:val="21"/>
          <w:color w:val="000000"/>
        </w:rPr>
        <w:t>” means the Participant’s target annual cash bonus in effect immediately prior to the Date of</w:t>
      </w:r>
      <w:r>
        <w:rPr>
          <w:rFonts w:ascii="Arial" w:cs="Arial" w:eastAsia="Arial" w:hAnsi="Arial"/>
          <w:sz w:val="21"/>
          <w:szCs w:val="21"/>
          <w:color w:val="010000"/>
        </w:rPr>
        <w:t xml:space="preserve"> </w:t>
      </w:r>
      <w:r>
        <w:rPr>
          <w:rFonts w:ascii="Arial" w:cs="Arial" w:eastAsia="Arial" w:hAnsi="Arial"/>
          <w:sz w:val="21"/>
          <w:szCs w:val="21"/>
          <w:color w:val="000000"/>
        </w:rPr>
        <w:t>Termination or if the Date of Termination is during a Change in Control Period, the Participant’s target annual cash bonus in effect (or required to be in effect before any diminution that is a basis of the Participant’s termination for Good Reason) immediately prior to the Change in Control, or, if higher, immediately prior to the Date of Termination.</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010000"/>
        </w:rPr>
        <w:t xml:space="preserve">2.24 </w:t>
      </w:r>
      <w:r>
        <w:rPr>
          <w:rFonts w:ascii="Arial" w:cs="Arial" w:eastAsia="Arial" w:hAnsi="Arial"/>
          <w:sz w:val="22"/>
          <w:szCs w:val="22"/>
          <w:color w:val="000000"/>
        </w:rPr>
        <w:t>“</w:t>
      </w:r>
      <w:r>
        <w:rPr>
          <w:rFonts w:ascii="Arial" w:cs="Arial" w:eastAsia="Arial" w:hAnsi="Arial"/>
          <w:sz w:val="22"/>
          <w:szCs w:val="22"/>
          <w:u w:val="single" w:color="auto"/>
          <w:color w:val="000000"/>
        </w:rPr>
        <w:t>Separation</w:t>
      </w:r>
      <w:r>
        <w:rPr>
          <w:rFonts w:ascii="Arial" w:cs="Arial" w:eastAsia="Arial" w:hAnsi="Arial"/>
          <w:sz w:val="22"/>
          <w:szCs w:val="22"/>
          <w:color w:val="000000"/>
        </w:rPr>
        <w:t>” means the separation of the Company from XPO Logistics, Inc. pursuant to which the Company</w:t>
      </w:r>
      <w:r>
        <w:rPr>
          <w:rFonts w:ascii="Arial" w:cs="Arial" w:eastAsia="Arial" w:hAnsi="Arial"/>
          <w:sz w:val="22"/>
          <w:szCs w:val="22"/>
          <w:color w:val="010000"/>
        </w:rPr>
        <w:t xml:space="preserve"> </w:t>
      </w:r>
      <w:r>
        <w:rPr>
          <w:rFonts w:ascii="Arial" w:cs="Arial" w:eastAsia="Arial" w:hAnsi="Arial"/>
          <w:sz w:val="22"/>
          <w:szCs w:val="22"/>
          <w:color w:val="000000"/>
        </w:rPr>
        <w:t>becomes a separate publicly traded company.</w:t>
      </w:r>
    </w:p>
    <w:p>
      <w:pPr>
        <w:spacing w:after="0" w:line="121"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010000"/>
        </w:rPr>
        <w:t xml:space="preserve">2.25 </w:t>
      </w:r>
      <w:r>
        <w:rPr>
          <w:rFonts w:ascii="Arial" w:cs="Arial" w:eastAsia="Arial" w:hAnsi="Arial"/>
          <w:sz w:val="22"/>
          <w:szCs w:val="22"/>
          <w:color w:val="000000"/>
        </w:rPr>
        <w:t>“</w:t>
      </w:r>
      <w:r>
        <w:rPr>
          <w:rFonts w:ascii="Arial" w:cs="Arial" w:eastAsia="Arial" w:hAnsi="Arial"/>
          <w:sz w:val="22"/>
          <w:szCs w:val="22"/>
          <w:u w:val="single" w:color="auto"/>
          <w:color w:val="000000"/>
        </w:rPr>
        <w:t>Specified Stockholder</w:t>
      </w:r>
      <w:r>
        <w:rPr>
          <w:rFonts w:ascii="Arial" w:cs="Arial" w:eastAsia="Arial" w:hAnsi="Arial"/>
          <w:sz w:val="22"/>
          <w:szCs w:val="22"/>
          <w:color w:val="000000"/>
        </w:rPr>
        <w:t>” means Brad Jacobs, Jacobs Private Equity LLC and its Affiliates, or any other entity or</w:t>
      </w:r>
      <w:r>
        <w:rPr>
          <w:rFonts w:ascii="Arial" w:cs="Arial" w:eastAsia="Arial" w:hAnsi="Arial"/>
          <w:sz w:val="22"/>
          <w:szCs w:val="22"/>
          <w:color w:val="010000"/>
        </w:rPr>
        <w:t xml:space="preserve"> </w:t>
      </w:r>
      <w:r>
        <w:rPr>
          <w:rFonts w:ascii="Arial" w:cs="Arial" w:eastAsia="Arial" w:hAnsi="Arial"/>
          <w:sz w:val="22"/>
          <w:szCs w:val="22"/>
          <w:color w:val="000000"/>
        </w:rPr>
        <w:t>organization controlled, directly or indirectly, by Brad Jacobs.</w:t>
      </w:r>
    </w:p>
    <w:p>
      <w:pPr>
        <w:spacing w:after="0" w:line="121"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010000"/>
        </w:rPr>
        <w:t xml:space="preserve">2.26 </w:t>
      </w:r>
      <w:r>
        <w:rPr>
          <w:rFonts w:ascii="Arial" w:cs="Arial" w:eastAsia="Arial" w:hAnsi="Arial"/>
          <w:sz w:val="22"/>
          <w:szCs w:val="22"/>
          <w:u w:val="single" w:color="auto"/>
          <w:color w:val="000000"/>
        </w:rPr>
        <w:t>“Subsidiary”</w:t>
      </w:r>
      <w:r>
        <w:rPr>
          <w:rFonts w:ascii="Arial" w:cs="Arial" w:eastAsia="Arial" w:hAnsi="Arial"/>
          <w:sz w:val="22"/>
          <w:szCs w:val="22"/>
          <w:color w:val="010000"/>
        </w:rPr>
        <w:t xml:space="preserve"> </w:t>
      </w:r>
      <w:r>
        <w:rPr>
          <w:rFonts w:ascii="Arial" w:cs="Arial" w:eastAsia="Arial" w:hAnsi="Arial"/>
          <w:sz w:val="22"/>
          <w:szCs w:val="22"/>
          <w:color w:val="000000"/>
        </w:rPr>
        <w:t>means any entity in which the Company, directly or indirectly, possesses 50% or more of the total</w:t>
      </w:r>
      <w:r>
        <w:rPr>
          <w:rFonts w:ascii="Arial" w:cs="Arial" w:eastAsia="Arial" w:hAnsi="Arial"/>
          <w:sz w:val="22"/>
          <w:szCs w:val="22"/>
          <w:color w:val="010000"/>
        </w:rPr>
        <w:t xml:space="preserve"> </w:t>
      </w:r>
      <w:r>
        <w:rPr>
          <w:rFonts w:ascii="Arial" w:cs="Arial" w:eastAsia="Arial" w:hAnsi="Arial"/>
          <w:sz w:val="22"/>
          <w:szCs w:val="22"/>
          <w:color w:val="000000"/>
        </w:rPr>
        <w:t>combined voting power of all classes of its voting securities.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"U.S. Taxpayer Participant"</w:t>
      </w:r>
      <w:r>
        <w:rPr>
          <w:rFonts w:ascii="Arial" w:cs="Arial" w:eastAsia="Arial" w:hAnsi="Arial"/>
          <w:sz w:val="22"/>
          <w:szCs w:val="22"/>
          <w:color w:val="auto"/>
        </w:rPr>
        <w:t xml:space="preserve"> means any Participant whose compensation income is subject to taxation in the United States of America.</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SECTION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SEPARATION BENEFITS</w:t>
      </w:r>
    </w:p>
    <w:p>
      <w:pPr>
        <w:spacing w:after="0" w:line="1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Qualifying Non-CIC Termination</w:t>
      </w:r>
      <w:r>
        <w:rPr>
          <w:rFonts w:ascii="Arial" w:cs="Arial" w:eastAsia="Arial" w:hAnsi="Arial"/>
          <w:sz w:val="19"/>
          <w:szCs w:val="19"/>
          <w:color w:val="000000"/>
        </w:rPr>
        <w:t>. If a Participant experiences a Qualifying Non-CIC Termination, the Company</w:t>
      </w:r>
      <w:r>
        <w:rPr>
          <w:rFonts w:ascii="Arial" w:cs="Arial" w:eastAsia="Arial" w:hAnsi="Arial"/>
          <w:sz w:val="19"/>
          <w:szCs w:val="19"/>
          <w:color w:val="010000"/>
        </w:rPr>
        <w:t xml:space="preserve"> </w:t>
      </w:r>
      <w:r>
        <w:rPr>
          <w:rFonts w:ascii="Arial" w:cs="Arial" w:eastAsia="Arial" w:hAnsi="Arial"/>
          <w:sz w:val="19"/>
          <w:szCs w:val="19"/>
          <w:color w:val="000000"/>
        </w:rPr>
        <w:t>shall pay or provide to the Participant the following payments and benefits at the time or times set forth below, subject to Section 9 and subject to (other than in the case of the Accrued Obligations and Other Benefits) the Participant’s execution of a general release of claims and settlement agreement in the form delivered to the Participant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190" w:name="page191"/>
    <w:bookmarkEnd w:id="190"/>
    <w:p>
      <w:pPr>
        <w:ind w:right="40"/>
        <w:spacing w:after="0" w:line="231" w:lineRule="auto"/>
        <w:rPr>
          <w:sz w:val="20"/>
          <w:szCs w:val="20"/>
          <w:color w:val="auto"/>
        </w:rPr>
      </w:pPr>
      <w:r>
        <w:rPr>
          <w:rFonts w:ascii="Arial" w:cs="Arial" w:eastAsia="Arial" w:hAnsi="Arial"/>
          <w:sz w:val="22"/>
          <w:szCs w:val="22"/>
          <w:color w:val="auto"/>
        </w:rPr>
        <w:t>Company or as relevant Affiliate on or within 5 days after the Date of Termination (the “</w:t>
      </w:r>
      <w:r>
        <w:rPr>
          <w:rFonts w:ascii="Arial" w:cs="Arial" w:eastAsia="Arial" w:hAnsi="Arial"/>
          <w:sz w:val="22"/>
          <w:szCs w:val="22"/>
          <w:u w:val="single" w:color="auto"/>
          <w:color w:val="auto"/>
        </w:rPr>
        <w:t>Release Agreement</w:t>
      </w:r>
      <w:r>
        <w:rPr>
          <w:rFonts w:ascii="Arial" w:cs="Arial" w:eastAsia="Arial" w:hAnsi="Arial"/>
          <w:sz w:val="22"/>
          <w:szCs w:val="22"/>
          <w:color w:val="auto"/>
        </w:rPr>
        <w:t>”) and return of all property of the Company and its Affiliates including any laptops or other electronic devices (with the data intact) and such Release Agreement becoming effective and irrevocable in accordance with its terms no later than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of Termination:</w:t>
      </w:r>
    </w:p>
    <w:p>
      <w:pPr>
        <w:spacing w:after="0" w:line="148" w:lineRule="exact"/>
        <w:rPr>
          <w:sz w:val="20"/>
          <w:szCs w:val="20"/>
          <w:color w:val="auto"/>
        </w:rPr>
      </w:pPr>
    </w:p>
    <w:p>
      <w:pPr>
        <w:ind w:left="1760" w:hanging="456"/>
        <w:spacing w:after="0"/>
        <w:tabs>
          <w:tab w:leader="none" w:pos="1760"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a lump sum payment in cash payable within 30 days following the Date of Termination, equal to the sum of</w:t>
      </w:r>
    </w:p>
    <w:p>
      <w:pPr>
        <w:spacing w:after="0" w:line="55" w:lineRule="exact"/>
        <w:rPr>
          <w:rFonts w:ascii="Arial" w:cs="Arial" w:eastAsia="Arial" w:hAnsi="Arial"/>
          <w:sz w:val="19"/>
          <w:szCs w:val="19"/>
          <w:color w:val="010000"/>
        </w:rPr>
      </w:pPr>
    </w:p>
    <w:p>
      <w:pPr>
        <w:ind w:left="660" w:right="20" w:hanging="4"/>
        <w:spacing w:after="0" w:line="285" w:lineRule="auto"/>
        <w:tabs>
          <w:tab w:leader="none" w:pos="101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Participant’s accrued but unpaid Annual Base Salary through the Date of Termination, (B) any annual incentive payment earned by the Participant for a performance period that was completed prior to the Date of Termination where such payment remains due and outstanding, (C) any accrued and unused vacation pay or other paid time off, and (D) subject to any expenses policy in force from time to time, any business expenses incurred by the Participant that are unreimbursed as of the Date of Termination, in each case, to the extent not theretofore paid (the sum of the amounts described in clauses (A), (B), (C) and (D) shall be hereinafter referred to as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any U.S. Taxpayer Participant, notwithstanding the foregoing, in the case of clauses (A) and (B), if such U.S. Taxpayer Participant has made an irrevocable election under any deferred compensation arrangement subject to Section 409A of the Code to defer any portion of the Annual Base Salary or annual incentive payment described in clause (A) or (B) above, then for all purposes of this Section 3 (including, without limitation, Section 3.1(a) and 3.2(a)), such deferral election, and the terms of the applicable arrangement, shall apply to the same portion of the amount described in such clauses (A) or (B), and such portion shall not be considered as part of the “Accrued Obligations” but shall instead be an “Other Benefit” (as defined below);</w:t>
      </w:r>
    </w:p>
    <w:p>
      <w:pPr>
        <w:spacing w:after="0" w:line="365" w:lineRule="exact"/>
        <w:rPr>
          <w:rFonts w:ascii="Arial" w:cs="Arial" w:eastAsia="Arial" w:hAnsi="Arial"/>
          <w:sz w:val="19"/>
          <w:szCs w:val="19"/>
          <w:color w:val="auto"/>
        </w:rPr>
      </w:pPr>
    </w:p>
    <w:p>
      <w:pPr>
        <w:ind w:left="660" w:firstLine="644"/>
        <w:spacing w:after="0" w:line="294" w:lineRule="auto"/>
        <w:tabs>
          <w:tab w:leader="none" w:pos="1776" w:val="left"/>
        </w:tabs>
        <w:numPr>
          <w:ilvl w:val="1"/>
          <w:numId w:val="149"/>
        </w:numPr>
        <w:rPr>
          <w:rFonts w:ascii="Arial" w:cs="Arial" w:eastAsia="Arial" w:hAnsi="Arial"/>
          <w:sz w:val="19"/>
          <w:szCs w:val="19"/>
          <w:color w:val="010000"/>
        </w:rPr>
      </w:pPr>
      <w:r>
        <w:rPr>
          <w:rFonts w:ascii="Arial" w:cs="Arial" w:eastAsia="Arial" w:hAnsi="Arial"/>
          <w:sz w:val="19"/>
          <w:szCs w:val="19"/>
          <w:color w:val="auto"/>
        </w:rPr>
        <w:t>a lump sum payment payable in cash no later than 70 days following the Date of Termination equal to the product of (A) the Target Annual Bonus and (B) a fraction, the numerator of which is the number of days in the fiscal year in which the Date of Termination occurs from the first day of such fiscal year to and including the Date of Termination, and the denominator of which is the total number of days in such fiscal year, reduced by any annual bonus payment to which the Participant has been paid or is otherwise entitled, in each case, for the same period of service, and subject to any applicable deferral election on the same basis as set forth in the proviso to Section 3.1(a) (the “</w:t>
      </w:r>
      <w:r>
        <w:rPr>
          <w:rFonts w:ascii="Arial" w:cs="Arial" w:eastAsia="Arial" w:hAnsi="Arial"/>
          <w:sz w:val="19"/>
          <w:szCs w:val="19"/>
          <w:u w:val="single" w:color="auto"/>
          <w:color w:val="auto"/>
        </w:rPr>
        <w:t>Prorated Bonus</w:t>
      </w:r>
      <w:r>
        <w:rPr>
          <w:rFonts w:ascii="Arial" w:cs="Arial" w:eastAsia="Arial" w:hAnsi="Arial"/>
          <w:sz w:val="19"/>
          <w:szCs w:val="19"/>
          <w:color w:val="auto"/>
        </w:rPr>
        <w:t>”);</w:t>
      </w:r>
    </w:p>
    <w:p>
      <w:pPr>
        <w:spacing w:after="0" w:line="95" w:lineRule="exact"/>
        <w:rPr>
          <w:rFonts w:ascii="Arial" w:cs="Arial" w:eastAsia="Arial" w:hAnsi="Arial"/>
          <w:sz w:val="19"/>
          <w:szCs w:val="19"/>
          <w:color w:val="010000"/>
        </w:rPr>
      </w:pPr>
    </w:p>
    <w:p>
      <w:pPr>
        <w:ind w:left="660" w:firstLine="644"/>
        <w:spacing w:after="0" w:line="284" w:lineRule="auto"/>
        <w:tabs>
          <w:tab w:leader="none" w:pos="1764" w:val="left"/>
        </w:tabs>
        <w:numPr>
          <w:ilvl w:val="1"/>
          <w:numId w:val="149"/>
        </w:numPr>
        <w:rPr>
          <w:rFonts w:ascii="Arial" w:cs="Arial" w:eastAsia="Arial" w:hAnsi="Arial"/>
          <w:sz w:val="20"/>
          <w:szCs w:val="20"/>
          <w:color w:val="010000"/>
        </w:rPr>
      </w:pPr>
      <w:r>
        <w:rPr>
          <w:rFonts w:ascii="Arial" w:cs="Arial" w:eastAsia="Arial" w:hAnsi="Arial"/>
          <w:sz w:val="20"/>
          <w:szCs w:val="20"/>
          <w:color w:val="auto"/>
        </w:rPr>
        <w:t>continuation of Annual Base Salary for the Salary Continuation Period paid to the Participant ratably over the Salary Continuation Period in accordance with the Company’s (or as relevant Affiliate's) regularly scheduled payroll dates; provided that any payments due within 70 days following the Date of Termination shall be paid on the first payroll date coincident with or immediately following the 70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immediately following the Date of Termination;</w:t>
      </w:r>
    </w:p>
    <w:p>
      <w:pPr>
        <w:spacing w:after="0" w:line="17" w:lineRule="exact"/>
        <w:rPr>
          <w:rFonts w:ascii="Arial" w:cs="Arial" w:eastAsia="Arial" w:hAnsi="Arial"/>
          <w:sz w:val="20"/>
          <w:szCs w:val="20"/>
          <w:color w:val="010000"/>
        </w:rPr>
      </w:pPr>
    </w:p>
    <w:p>
      <w:pPr>
        <w:ind w:left="660" w:right="240" w:firstLine="644"/>
        <w:spacing w:after="0" w:line="253" w:lineRule="auto"/>
        <w:tabs>
          <w:tab w:leader="none" w:pos="1776" w:val="left"/>
        </w:tabs>
        <w:numPr>
          <w:ilvl w:val="1"/>
          <w:numId w:val="149"/>
        </w:numPr>
        <w:rPr>
          <w:rFonts w:ascii="Arial" w:cs="Arial" w:eastAsia="Arial" w:hAnsi="Arial"/>
          <w:sz w:val="22"/>
          <w:szCs w:val="22"/>
          <w:color w:val="010000"/>
        </w:rPr>
      </w:pPr>
      <w:r>
        <w:rPr>
          <w:rFonts w:ascii="Arial" w:cs="Arial" w:eastAsia="Arial" w:hAnsi="Arial"/>
          <w:sz w:val="22"/>
          <w:szCs w:val="22"/>
          <w:color w:val="auto"/>
        </w:rPr>
        <w:t>at the option of the Company, either (1) for the Benefit Continuation Period, healthcare benefit coverage to the Participant (and the Participant’s dependents who were covered by healthcare benefit coverage (including medical, prescription, dental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91" w:name="page192"/>
    <w:bookmarkEnd w:id="191"/>
    <w:p>
      <w:pPr>
        <w:ind w:left="660" w:right="20"/>
        <w:spacing w:after="0" w:line="287" w:lineRule="auto"/>
        <w:rPr>
          <w:sz w:val="20"/>
          <w:szCs w:val="20"/>
          <w:color w:val="auto"/>
        </w:rPr>
      </w:pPr>
      <w:r>
        <w:rPr>
          <w:rFonts w:ascii="Arial" w:cs="Arial" w:eastAsia="Arial" w:hAnsi="Arial"/>
          <w:sz w:val="19"/>
          <w:szCs w:val="19"/>
          <w:color w:val="auto"/>
        </w:rPr>
        <w:t>and vision) pursuant to a plan sponsored by the Company or an Affiliate as of immediately prior to the Date of Termination, if any (the “eligible dependents”)), with the requirement for the Participant (or the eligible dependents) to pay a monthly premium at the active employee rate for such healthcare benefit coverage as if the Participant had continued employment with the Company during the Benefit Continuation Period; provided that, for any U.S. Taxpayer Participant, the receipt of such heath care benefit shall be conditioned upon the Participant making a timely election to receive COBRA coverage provided to former employees under Section 4980B of the Code and continuing such coverage during the Benefit Continuation Period so long as it is available or (2) a cash lump sum payment equal to the amount of the employer contribution, based on the rates and coverage elections in effect at the Date of Termination, that would be been provided towards healthcare benefit coverage for the Participant and the Participant’s eligible dependents during the Benefit Continuation Period had the Participant remained employed with the Company or as relevant Affiliate during such period (the “Healthcare Benefit”); and</w:t>
      </w:r>
    </w:p>
    <w:p>
      <w:pPr>
        <w:spacing w:after="0" w:line="109" w:lineRule="exact"/>
        <w:rPr>
          <w:sz w:val="20"/>
          <w:szCs w:val="20"/>
          <w:color w:val="auto"/>
        </w:rPr>
      </w:pPr>
    </w:p>
    <w:p>
      <w:pPr>
        <w:ind w:left="660" w:right="100" w:firstLine="644"/>
        <w:spacing w:after="0" w:line="263" w:lineRule="auto"/>
        <w:tabs>
          <w:tab w:leader="none" w:pos="1764" w:val="left"/>
        </w:tabs>
        <w:numPr>
          <w:ilvl w:val="0"/>
          <w:numId w:val="150"/>
        </w:numPr>
        <w:rPr>
          <w:rFonts w:ascii="Arial" w:cs="Arial" w:eastAsia="Arial" w:hAnsi="Arial"/>
          <w:sz w:val="21"/>
          <w:szCs w:val="21"/>
          <w:color w:val="010000"/>
        </w:rPr>
      </w:pPr>
      <w:r>
        <w:rPr>
          <w:rFonts w:ascii="Arial" w:cs="Arial" w:eastAsia="Arial" w:hAnsi="Arial"/>
          <w:sz w:val="21"/>
          <w:szCs w:val="21"/>
          <w:color w:val="auto"/>
        </w:rPr>
        <w:t>to the extent not theretofore paid or provided, any other amounts or benefits required to be paid or provided or which the Participant is eligible to receive under any plan, program, policy or practice or contract or agreement of the Company and the Affiliated Entities, including amounts credited to the Participant’s account under any deferred compensation plan, payable pursuant to the terms of such plan, program, policy or practice (such other amounts and benefits shall be hereinafter referred to as the “</w:t>
      </w:r>
      <w:r>
        <w:rPr>
          <w:rFonts w:ascii="Arial" w:cs="Arial" w:eastAsia="Arial" w:hAnsi="Arial"/>
          <w:sz w:val="21"/>
          <w:szCs w:val="21"/>
          <w:u w:val="single" w:color="auto"/>
          <w:color w:val="auto"/>
        </w:rPr>
        <w:t>Other Benefits</w:t>
      </w:r>
      <w:r>
        <w:rPr>
          <w:rFonts w:ascii="Arial" w:cs="Arial" w:eastAsia="Arial" w:hAnsi="Arial"/>
          <w:sz w:val="21"/>
          <w:szCs w:val="21"/>
          <w:color w:val="auto"/>
        </w:rPr>
        <w:t>”).</w:t>
      </w:r>
    </w:p>
    <w:p>
      <w:pPr>
        <w:spacing w:after="0" w:line="121"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Qualifying CIC Termination</w:t>
      </w:r>
      <w:r>
        <w:rPr>
          <w:rFonts w:ascii="Arial" w:cs="Arial" w:eastAsia="Arial" w:hAnsi="Arial"/>
          <w:sz w:val="22"/>
          <w:szCs w:val="22"/>
          <w:color w:val="000000"/>
        </w:rPr>
        <w:t>. If a Participant experiences a Qualifying CIC Termination, the Company shall pay or</w:t>
      </w:r>
      <w:r>
        <w:rPr>
          <w:rFonts w:ascii="Arial" w:cs="Arial" w:eastAsia="Arial" w:hAnsi="Arial"/>
          <w:sz w:val="22"/>
          <w:szCs w:val="22"/>
          <w:color w:val="010000"/>
        </w:rPr>
        <w:t xml:space="preserve"> </w:t>
      </w:r>
      <w:r>
        <w:rPr>
          <w:rFonts w:ascii="Arial" w:cs="Arial" w:eastAsia="Arial" w:hAnsi="Arial"/>
          <w:sz w:val="22"/>
          <w:szCs w:val="22"/>
          <w:color w:val="000000"/>
        </w:rPr>
        <w:t>provide to the Participant the following payments and benefits at the time or times set forth below, subject to Section 9 and subject to (other than in the case of the Accrued Obligations and Other Benefits) the Participant’s execution of a Release Agreement (provided that such Release Agreement shall not contain any new or additional restrictive covenants), and return of all property of the Company and its Affiliates including any laptops or other electronic devices (with the data intact) and such Release Agreement becoming effective and irrevocable in accordance with its terms no later than the seventieth (70</w:t>
      </w:r>
      <w:r>
        <w:rPr>
          <w:rFonts w:ascii="Arial" w:cs="Arial" w:eastAsia="Arial" w:hAnsi="Arial"/>
          <w:sz w:val="28"/>
          <w:szCs w:val="28"/>
          <w:color w:val="000000"/>
          <w:vertAlign w:val="superscript"/>
        </w:rPr>
        <w:t>th</w:t>
      </w:r>
      <w:r>
        <w:rPr>
          <w:rFonts w:ascii="Arial" w:cs="Arial" w:eastAsia="Arial" w:hAnsi="Arial"/>
          <w:sz w:val="22"/>
          <w:szCs w:val="22"/>
          <w:color w:val="000000"/>
        </w:rPr>
        <w:t>) day following the Date of Termination:</w:t>
      </w:r>
    </w:p>
    <w:p>
      <w:pPr>
        <w:spacing w:after="0" w:line="148" w:lineRule="exact"/>
        <w:rPr>
          <w:sz w:val="20"/>
          <w:szCs w:val="20"/>
          <w:color w:val="auto"/>
        </w:rPr>
      </w:pPr>
    </w:p>
    <w:p>
      <w:pPr>
        <w:ind w:left="1760" w:hanging="456"/>
        <w:spacing w:after="0"/>
        <w:tabs>
          <w:tab w:leader="none" w:pos="1760"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a lump sum payment in cash payable within 30 days following the Date of Termination equal to the Accrued</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auto"/>
        </w:rPr>
        <w:t>Obligations;</w:t>
      </w:r>
    </w:p>
    <w:p>
      <w:pPr>
        <w:spacing w:after="0" w:line="147" w:lineRule="exact"/>
        <w:rPr>
          <w:rFonts w:ascii="Arial" w:cs="Arial" w:eastAsia="Arial" w:hAnsi="Arial"/>
          <w:sz w:val="19"/>
          <w:szCs w:val="19"/>
          <w:color w:val="010000"/>
        </w:rPr>
      </w:pPr>
    </w:p>
    <w:p>
      <w:pPr>
        <w:ind w:left="1780" w:hanging="476"/>
        <w:spacing w:after="0"/>
        <w:tabs>
          <w:tab w:leader="none" w:pos="1780"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a lump sum payment in cash payable within 70 days of the Date of Termination equal to the Prorated Bonus;</w:t>
      </w:r>
    </w:p>
    <w:p>
      <w:pPr>
        <w:spacing w:after="0" w:line="200" w:lineRule="exact"/>
        <w:rPr>
          <w:rFonts w:ascii="Arial" w:cs="Arial" w:eastAsia="Arial" w:hAnsi="Arial"/>
          <w:sz w:val="19"/>
          <w:szCs w:val="19"/>
          <w:color w:val="010000"/>
        </w:rPr>
      </w:pPr>
    </w:p>
    <w:p>
      <w:pPr>
        <w:ind w:left="660" w:right="220" w:firstLine="644"/>
        <w:spacing w:after="0" w:line="343" w:lineRule="auto"/>
        <w:tabs>
          <w:tab w:leader="none" w:pos="1764" w:val="left"/>
        </w:tabs>
        <w:numPr>
          <w:ilvl w:val="0"/>
          <w:numId w:val="151"/>
        </w:numPr>
        <w:rPr>
          <w:rFonts w:ascii="Arial" w:cs="Arial" w:eastAsia="Arial" w:hAnsi="Arial"/>
          <w:sz w:val="19"/>
          <w:szCs w:val="19"/>
          <w:color w:val="010000"/>
        </w:rPr>
      </w:pPr>
      <w:r>
        <w:rPr>
          <w:rFonts w:ascii="Arial" w:cs="Arial" w:eastAsia="Arial" w:hAnsi="Arial"/>
          <w:sz w:val="19"/>
          <w:szCs w:val="19"/>
          <w:color w:val="auto"/>
        </w:rPr>
        <w:t>a lump sum payment in cash payable within 70 days of the Date of Termination equal to the product of (1) the Multiple and (2) the sum of (A) the Participant’s Annual Base Salary and (B) the Target Annual Bonus;</w:t>
      </w:r>
    </w:p>
    <w:p>
      <w:pPr>
        <w:spacing w:after="0" w:line="50" w:lineRule="exact"/>
        <w:rPr>
          <w:rFonts w:ascii="Arial" w:cs="Arial" w:eastAsia="Arial" w:hAnsi="Arial"/>
          <w:sz w:val="19"/>
          <w:szCs w:val="19"/>
          <w:color w:val="010000"/>
        </w:rPr>
      </w:pPr>
    </w:p>
    <w:p>
      <w:pPr>
        <w:ind w:left="1780" w:hanging="476"/>
        <w:spacing w:after="0"/>
        <w:tabs>
          <w:tab w:leader="none" w:pos="1780" w:val="left"/>
        </w:tabs>
        <w:numPr>
          <w:ilvl w:val="0"/>
          <w:numId w:val="151"/>
        </w:numPr>
        <w:rPr>
          <w:rFonts w:ascii="Arial" w:cs="Arial" w:eastAsia="Arial" w:hAnsi="Arial"/>
          <w:sz w:val="22"/>
          <w:szCs w:val="22"/>
          <w:color w:val="010000"/>
        </w:rPr>
      </w:pPr>
      <w:r>
        <w:rPr>
          <w:rFonts w:ascii="Arial" w:cs="Arial" w:eastAsia="Arial" w:hAnsi="Arial"/>
          <w:sz w:val="22"/>
          <w:szCs w:val="22"/>
          <w:color w:val="auto"/>
        </w:rPr>
        <w:t>the Healthcare Benefits;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320" w:top="1428" w:right="419" w:bottom="1440" w:gutter="0" w:footer="0" w:header="0"/>
        </w:sectPr>
      </w:pPr>
    </w:p>
    <w:bookmarkStart w:id="192" w:name="page193"/>
    <w:bookmarkEnd w:id="192"/>
    <w:p>
      <w:pPr>
        <w:ind w:left="1760" w:hanging="456"/>
        <w:spacing w:after="0"/>
        <w:tabs>
          <w:tab w:leader="none" w:pos="1760" w:val="left"/>
        </w:tabs>
        <w:numPr>
          <w:ilvl w:val="0"/>
          <w:numId w:val="152"/>
        </w:numPr>
        <w:rPr>
          <w:rFonts w:ascii="Arial" w:cs="Arial" w:eastAsia="Arial" w:hAnsi="Arial"/>
          <w:sz w:val="21"/>
          <w:szCs w:val="21"/>
          <w:color w:val="010000"/>
        </w:rPr>
      </w:pPr>
      <w:r>
        <w:rPr>
          <w:rFonts w:ascii="Arial" w:cs="Arial" w:eastAsia="Arial" w:hAnsi="Arial"/>
          <w:sz w:val="21"/>
          <w:szCs w:val="21"/>
          <w:color w:val="auto"/>
        </w:rPr>
        <w:t>Other Benefits payable pursuant to the terms of such plan, program, policy or practice or contract or</w:t>
      </w:r>
    </w:p>
    <w:p>
      <w:pPr>
        <w:spacing w:after="0" w:line="32"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agreement.</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For U.S. Taxpayer Participant, then notwithstanding the foregoing, with respect to any payment or benefit that constitutes nonqualified deferred compensation within the meaning of Section 409A of the Code, if the Change in Control does not constitute an event described in Section 409A(a)(2)(v) of the Code and the regulations thereunder, then solely to the extent necessary to avoid the application of additional taxes and penalties on such payment or benefit under Section 409A of the Code, such payment or benefit shall be paid or provided on the same schedule that would have applied to such payment or benefit in connection with a Qualifying Non-CIC Termination.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SECTION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GOLDEN PARACHUTE EXCISE TAX</w:t>
      </w:r>
    </w:p>
    <w:p>
      <w:pPr>
        <w:spacing w:after="0" w:line="14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color w:val="auto"/>
        </w:rPr>
        <w:t>The provisions of this Section 4 shall apply to U.S. Taxpayer Participants only.</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color w:val="000000"/>
        </w:rPr>
        <w:t>If a Participant has a Qualifying CIC Termination, anything in this Plan to the contrary notwithstanding, in the event</w:t>
      </w:r>
      <w:r>
        <w:rPr>
          <w:rFonts w:ascii="Arial" w:cs="Arial" w:eastAsia="Arial" w:hAnsi="Arial"/>
          <w:sz w:val="19"/>
          <w:szCs w:val="19"/>
          <w:color w:val="010000"/>
        </w:rPr>
        <w:t xml:space="preserve"> </w:t>
      </w:r>
      <w:r>
        <w:rPr>
          <w:rFonts w:ascii="Arial" w:cs="Arial" w:eastAsia="Arial" w:hAnsi="Arial"/>
          <w:sz w:val="19"/>
          <w:szCs w:val="19"/>
          <w:color w:val="000000"/>
        </w:rPr>
        <w:t>the Accounting Firm (as defined below) shall determine that receipt of all Payments (as defined below) would subject the Participant to the excise tax under Section 4999 of the Code, the Accounting Firm shall determine whether to reduce any of the Payments paid or payable pursuant to this Plan (the “</w:t>
      </w:r>
      <w:r>
        <w:rPr>
          <w:rFonts w:ascii="Arial" w:cs="Arial" w:eastAsia="Arial" w:hAnsi="Arial"/>
          <w:sz w:val="19"/>
          <w:szCs w:val="19"/>
          <w:u w:val="single" w:color="auto"/>
          <w:color w:val="000000"/>
        </w:rPr>
        <w:t>Plan Payments</w:t>
      </w:r>
      <w:r>
        <w:rPr>
          <w:rFonts w:ascii="Arial" w:cs="Arial" w:eastAsia="Arial" w:hAnsi="Arial"/>
          <w:sz w:val="19"/>
          <w:szCs w:val="19"/>
          <w:color w:val="000000"/>
        </w:rPr>
        <w:t>”) so that the Parachute Value (as defined below) of all Payments, in the aggregate, equals the Safe Harbor Amount (as defined below). The Plan Payments shall be so reduced only if the Accounting Firm determines that the Participant would have a greater Net After-Tax Receipt (as defined below) of aggregate Payments if the Plan Payments were so reduced. If the Accounting Firm determines that the Participant would not have a greater Net After-Tax Receipt of aggregate Payments if the Plan Payments were so reduced, the Participant shall receive all Plan Payments to which the Participant is entitled hereunder.</w:t>
      </w:r>
    </w:p>
    <w:p>
      <w:pPr>
        <w:spacing w:after="0" w:line="10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color w:val="000000"/>
        </w:rPr>
        <w:t>If the Accounting Firm determines that aggregate Plan Payments should be reduced so that the Parachute Value of</w:t>
      </w:r>
      <w:r>
        <w:rPr>
          <w:rFonts w:ascii="Arial" w:cs="Arial" w:eastAsia="Arial" w:hAnsi="Arial"/>
          <w:sz w:val="19"/>
          <w:szCs w:val="19"/>
          <w:color w:val="010000"/>
        </w:rPr>
        <w:t xml:space="preserve"> </w:t>
      </w:r>
      <w:r>
        <w:rPr>
          <w:rFonts w:ascii="Arial" w:cs="Arial" w:eastAsia="Arial" w:hAnsi="Arial"/>
          <w:sz w:val="19"/>
          <w:szCs w:val="19"/>
          <w:color w:val="000000"/>
        </w:rPr>
        <w:t>all Payments, in the aggregate, equals the Safe Harbor Amount, the Company shall promptly give the Participant notice to that effect and a copy of the detailed calculation thereof. All determinations made by the Accounting Firm under this Section 4 shall be binding upon the Company and the Participant and shall be made as soon as reasonably practicable and in no event later than 15 days following the Date of Termination. For purposes of reducing the Plan Payments so that the Parachute Value of all Payments, in the aggregate, equals the Safe Harbor Amount, only amounts payable under this Plan (and no other Payments) shall be reduced. The reduction of the amounts payable hereunder, if applicable, shall be made by reducing the Plan Payments and benefits that have a Parachute Value in the following order: Section 3.2(b), Section 3.2(c), Section 3.2(e) and Section 3.2(d) in each case, beginning with payments or benefits that do not constitute non-qualified deferred compensation and reducing payments or benefits in reverse chronological order beginning with those that are to be paid or provided the farthest in time from the Date of Termination, based on the Accounting Firm’s determination. All reasonable fees and expenses of the Accounting Firm shall be borne solely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193" w:name="page194"/>
    <w:bookmarkEnd w:id="193"/>
    <w:p>
      <w:pPr>
        <w:ind w:firstLine="648"/>
        <w:spacing w:after="0" w:line="245"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color w:val="000000"/>
        </w:rPr>
        <w:t>To the extent requested by the Participant, the Company shall cooperate with the Participant in good faith in valuing,</w:t>
      </w:r>
      <w:r>
        <w:rPr>
          <w:rFonts w:ascii="Arial" w:cs="Arial" w:eastAsia="Arial" w:hAnsi="Arial"/>
          <w:sz w:val="22"/>
          <w:szCs w:val="22"/>
          <w:color w:val="010000"/>
        </w:rPr>
        <w:t xml:space="preserve"> </w:t>
      </w:r>
      <w:r>
        <w:rPr>
          <w:rFonts w:ascii="Arial" w:cs="Arial" w:eastAsia="Arial" w:hAnsi="Arial"/>
          <w:sz w:val="22"/>
          <w:szCs w:val="22"/>
          <w:color w:val="000000"/>
        </w:rPr>
        <w:t>and the Accounting Firm shall take into account the value of, services provided or to be provided by the Participant (including, without limitation, the Participant’s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14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4.5</w:t>
      </w:r>
      <w:r>
        <w:rPr>
          <w:sz w:val="20"/>
          <w:szCs w:val="20"/>
          <w:color w:val="auto"/>
        </w:rPr>
        <w:tab/>
      </w:r>
      <w:r>
        <w:rPr>
          <w:rFonts w:ascii="Arial" w:cs="Arial" w:eastAsia="Arial" w:hAnsi="Arial"/>
          <w:sz w:val="19"/>
          <w:szCs w:val="19"/>
          <w:color w:val="auto"/>
        </w:rPr>
        <w:t>The following terms shall have the following meanings for purposes of this Section 5:</w:t>
      </w:r>
    </w:p>
    <w:p>
      <w:pPr>
        <w:spacing w:after="0" w:line="166" w:lineRule="exact"/>
        <w:rPr>
          <w:sz w:val="20"/>
          <w:szCs w:val="20"/>
          <w:color w:val="auto"/>
        </w:rPr>
      </w:pPr>
    </w:p>
    <w:p>
      <w:pPr>
        <w:ind w:left="660" w:right="40" w:firstLine="644"/>
        <w:spacing w:after="0" w:line="297" w:lineRule="auto"/>
        <w:tabs>
          <w:tab w:leader="none" w:pos="1764"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Accounting Firm</w:t>
      </w:r>
      <w:r>
        <w:rPr>
          <w:rFonts w:ascii="Arial" w:cs="Arial" w:eastAsia="Arial" w:hAnsi="Arial"/>
          <w:sz w:val="19"/>
          <w:szCs w:val="19"/>
          <w:color w:val="auto"/>
        </w:rPr>
        <w:t>” shall mean a nationally recognized certified public accounting firm or other professional organization that is a certified public accounting firm recognized as an expert in determinations and calculations for purposes of Section 280G of the Code that is selected by the Company prior to a Change in Control for purposes of making the applicable determinations hereunder, which firm shall not, without the Participant’s consent, be a firm serving as accountant or auditor for the individual, entity or group effecting the Change in Control.</w:t>
      </w:r>
    </w:p>
    <w:p>
      <w:pPr>
        <w:spacing w:after="0" w:line="92" w:lineRule="exact"/>
        <w:rPr>
          <w:rFonts w:ascii="Arial" w:cs="Arial" w:eastAsia="Arial" w:hAnsi="Arial"/>
          <w:sz w:val="19"/>
          <w:szCs w:val="19"/>
          <w:color w:val="010000"/>
        </w:rPr>
      </w:pPr>
    </w:p>
    <w:p>
      <w:pPr>
        <w:ind w:left="660" w:firstLine="644"/>
        <w:spacing w:after="0" w:line="261" w:lineRule="auto"/>
        <w:tabs>
          <w:tab w:leader="none" w:pos="1776" w:val="left"/>
        </w:tabs>
        <w:numPr>
          <w:ilvl w:val="0"/>
          <w:numId w:val="153"/>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Net After-Tax Receipt</w:t>
      </w:r>
      <w:r>
        <w:rPr>
          <w:rFonts w:ascii="Arial" w:cs="Arial" w:eastAsia="Arial" w:hAnsi="Arial"/>
          <w:sz w:val="21"/>
          <w:szCs w:val="21"/>
          <w:color w:val="auto"/>
        </w:rPr>
        <w:t>” shall mean the present value (as determined in accordance with Sections 280G(b)(2) (A)(ii) and 280G(d)(4) of the Code)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Accounting Firm determines to be likely to apply to the Participant in the relevant tax year(s).</w:t>
      </w:r>
    </w:p>
    <w:p>
      <w:pPr>
        <w:spacing w:after="0" w:line="125" w:lineRule="exact"/>
        <w:rPr>
          <w:rFonts w:ascii="Arial" w:cs="Arial" w:eastAsia="Arial" w:hAnsi="Arial"/>
          <w:sz w:val="21"/>
          <w:szCs w:val="21"/>
          <w:color w:val="010000"/>
        </w:rPr>
      </w:pPr>
    </w:p>
    <w:p>
      <w:pPr>
        <w:ind w:left="660" w:right="100" w:firstLine="644"/>
        <w:spacing w:after="0" w:line="302" w:lineRule="auto"/>
        <w:tabs>
          <w:tab w:leader="none" w:pos="1764" w:val="left"/>
        </w:tabs>
        <w:numPr>
          <w:ilvl w:val="0"/>
          <w:numId w:val="15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u w:val="single" w:color="auto"/>
          <w:color w:val="auto"/>
        </w:rPr>
        <w:t>Parachute Value</w:t>
      </w:r>
      <w:r>
        <w:rPr>
          <w:rFonts w:ascii="Arial" w:cs="Arial" w:eastAsia="Arial" w:hAnsi="Arial"/>
          <w:sz w:val="19"/>
          <w:szCs w:val="19"/>
          <w:color w:val="auto"/>
        </w:rPr>
        <w:t>” of a Payment shall mean the present value as of the date of the Change in Control 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88" w:lineRule="exact"/>
        <w:rPr>
          <w:rFonts w:ascii="Arial" w:cs="Arial" w:eastAsia="Arial" w:hAnsi="Arial"/>
          <w:sz w:val="19"/>
          <w:szCs w:val="19"/>
          <w:color w:val="010000"/>
        </w:rPr>
      </w:pPr>
    </w:p>
    <w:p>
      <w:pPr>
        <w:ind w:left="660" w:right="380" w:firstLine="644"/>
        <w:spacing w:after="0" w:line="253" w:lineRule="auto"/>
        <w:tabs>
          <w:tab w:leader="none" w:pos="1776"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shall mean any payment, benefit or distribution in the nature of compensation (within the meaning of Section 280G(b)(2) of the Code) to or for the benefit of the Participant, whether paid, payable or provided pursuant to this Plan or otherwise.</w:t>
      </w:r>
    </w:p>
    <w:p>
      <w:pPr>
        <w:spacing w:after="0" w:line="131" w:lineRule="exact"/>
        <w:rPr>
          <w:rFonts w:ascii="Arial" w:cs="Arial" w:eastAsia="Arial" w:hAnsi="Arial"/>
          <w:sz w:val="22"/>
          <w:szCs w:val="22"/>
          <w:color w:val="010000"/>
        </w:rPr>
      </w:pPr>
    </w:p>
    <w:p>
      <w:pPr>
        <w:ind w:left="660" w:right="340" w:firstLine="644"/>
        <w:spacing w:after="0" w:line="263" w:lineRule="auto"/>
        <w:tabs>
          <w:tab w:leader="none" w:pos="1764" w:val="left"/>
        </w:tabs>
        <w:numPr>
          <w:ilvl w:val="0"/>
          <w:numId w:val="15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u w:val="single" w:color="auto"/>
          <w:color w:val="auto"/>
        </w:rPr>
        <w:t>Safe Harbor Amount</w:t>
      </w:r>
      <w:r>
        <w:rPr>
          <w:rFonts w:ascii="Arial" w:cs="Arial" w:eastAsia="Arial" w:hAnsi="Arial"/>
          <w:sz w:val="22"/>
          <w:szCs w:val="22"/>
          <w:color w:val="auto"/>
        </w:rPr>
        <w:t>” shall mean the maximum Parachute Value of all Payments that the Participant can receive without any Payments being subject to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194" w:name="page195"/>
    <w:bookmarkEnd w:id="194"/>
    <w:p>
      <w:pPr>
        <w:ind w:left="660"/>
        <w:spacing w:after="0"/>
        <w:tabs>
          <w:tab w:leader="none" w:pos="1120" w:val="left"/>
        </w:tabs>
        <w:rPr>
          <w:sz w:val="20"/>
          <w:szCs w:val="20"/>
          <w:color w:val="auto"/>
        </w:rPr>
      </w:pPr>
      <w:r>
        <w:rPr>
          <w:rFonts w:ascii="Arial" w:cs="Arial" w:eastAsia="Arial" w:hAnsi="Arial"/>
          <w:sz w:val="22"/>
          <w:szCs w:val="22"/>
          <w:color w:val="010000"/>
        </w:rPr>
        <w:t>4.6</w:t>
      </w:r>
      <w:r>
        <w:rPr>
          <w:sz w:val="20"/>
          <w:szCs w:val="20"/>
          <w:color w:val="auto"/>
        </w:rPr>
        <w:tab/>
      </w:r>
      <w:r>
        <w:rPr>
          <w:rFonts w:ascii="Arial" w:cs="Arial" w:eastAsia="Arial" w:hAnsi="Arial"/>
          <w:sz w:val="19"/>
          <w:szCs w:val="19"/>
          <w:color w:val="auto"/>
        </w:rPr>
        <w:t>The provisions of this Section 4 shall survive the expiration of this Plan.</w:t>
      </w:r>
    </w:p>
    <w:p>
      <w:pPr>
        <w:spacing w:after="0" w:line="16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10000"/>
        </w:rPr>
        <w:t>SECTION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NONDUPLICATION; LEGAL FEES; NON-EXCLUSIVITY OF RIGHTS</w:t>
      </w:r>
    </w:p>
    <w:p>
      <w:pPr>
        <w:spacing w:after="0" w:line="14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010000"/>
        </w:rPr>
        <w:t xml:space="preserve">5.1 </w:t>
      </w:r>
      <w:r>
        <w:rPr>
          <w:rFonts w:ascii="Arial" w:cs="Arial" w:eastAsia="Arial" w:hAnsi="Arial"/>
          <w:sz w:val="19"/>
          <w:szCs w:val="19"/>
          <w:u w:val="single" w:color="auto"/>
          <w:color w:val="000000"/>
        </w:rPr>
        <w:t>Offset for Other Employment or Work</w:t>
      </w:r>
      <w:r>
        <w:rPr>
          <w:rFonts w:ascii="Arial" w:cs="Arial" w:eastAsia="Arial" w:hAnsi="Arial"/>
          <w:sz w:val="19"/>
          <w:szCs w:val="19"/>
          <w:color w:val="000000"/>
        </w:rPr>
        <w:t>. Any compensation earned by a Participant from any other work, whether as</w:t>
      </w:r>
      <w:r>
        <w:rPr>
          <w:rFonts w:ascii="Arial" w:cs="Arial" w:eastAsia="Arial" w:hAnsi="Arial"/>
          <w:sz w:val="19"/>
          <w:szCs w:val="19"/>
          <w:color w:val="010000"/>
        </w:rPr>
        <w:t xml:space="preserve"> </w:t>
      </w:r>
      <w:r>
        <w:rPr>
          <w:rFonts w:ascii="Arial" w:cs="Arial" w:eastAsia="Arial" w:hAnsi="Arial"/>
          <w:sz w:val="19"/>
          <w:szCs w:val="19"/>
          <w:color w:val="000000"/>
        </w:rPr>
        <w:t>an employee or an independent contractor, during the Salary Continuation Period or in the case of a Qualifying CIC Termination, during the period of time represented by the severance multiple (i.e., two and one half (2.5) equates to 30 months from the Date of Termination and two (2) equates to twenty four-months from the Date of Termination) (the “</w:t>
      </w:r>
      <w:r>
        <w:rPr>
          <w:rFonts w:ascii="Arial" w:cs="Arial" w:eastAsia="Arial" w:hAnsi="Arial"/>
          <w:sz w:val="19"/>
          <w:szCs w:val="19"/>
          <w:u w:val="single" w:color="auto"/>
          <w:color w:val="000000"/>
        </w:rPr>
        <w:t>Severance Period</w:t>
      </w:r>
      <w:r>
        <w:rPr>
          <w:rFonts w:ascii="Arial" w:cs="Arial" w:eastAsia="Arial" w:hAnsi="Arial"/>
          <w:sz w:val="19"/>
          <w:szCs w:val="19"/>
          <w:color w:val="000000"/>
        </w:rPr>
        <w:t>”) shall reduce on a dollar for dollar (or as relevant the local country currency) basis, the amount paid by the Company under Section 3.1 or 3.2, as applicable. To the extent that compensation under Section 3.1 or 3.2 is already received by the Participant from the Company in a lump sum payment or otherwise and there is no further compensation that may be reduced, the Participant shall immediately on demand repay the Company on an after-tax basis the amount that should have been reduced as determined in writing by the Company. The Participant shall notify the Company in writing within 7 days if such Participants earns any compensation during the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-219075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5"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Nonduplication</w:t>
      </w:r>
      <w:r>
        <w:rPr>
          <w:rFonts w:ascii="Arial" w:cs="Arial" w:eastAsia="Arial" w:hAnsi="Arial"/>
          <w:sz w:val="19"/>
          <w:szCs w:val="19"/>
          <w:color w:val="000000"/>
        </w:rPr>
        <w:t>. The amount of any payment under Section 3.1(c) and 3.2(c) of this Plan will be offset and reduced</w:t>
      </w:r>
      <w:r>
        <w:rPr>
          <w:rFonts w:ascii="Arial" w:cs="Arial" w:eastAsia="Arial" w:hAnsi="Arial"/>
          <w:sz w:val="19"/>
          <w:szCs w:val="19"/>
          <w:color w:val="010000"/>
        </w:rPr>
        <w:t xml:space="preserve"> </w:t>
      </w:r>
      <w:r>
        <w:rPr>
          <w:rFonts w:ascii="Arial" w:cs="Arial" w:eastAsia="Arial" w:hAnsi="Arial"/>
          <w:sz w:val="19"/>
          <w:szCs w:val="19"/>
          <w:color w:val="000000"/>
        </w:rPr>
        <w:t>(but not below zero) by the full amount and/or value of any severance benefits, compensation and benefits provided during any notice period, pay in lieu of notice, mandated termination indemnities, or similar benefits that the Participant may separately be entitled to receive from the Company or any Affiliate based on any employment agreement, confidential information protection agreement or other contractual obligation (whether individual or union/works council) or statutory scheme. If a U.S. Taxpayer Participant’s employment is terminated because of a plant shut-down or mass layoff or other event to which the Worker Adjustment and Retraining Notification Act of 1988 or similar state law (collectively, “WARN”) applies, then the amount of the severance payment under Section 3.1(c) and 3.2(c) of this Plan to which the Participant is entitled shall be reduced, dollar for dollar, by the amount of any pay provided to the Participant in lieu of the notice required by WARN, and the Benefits Continuation Period shall be reduced for any period of benefits continuation or pay in lieu thereof provided to Participant due to the application of WARN.</w:t>
      </w:r>
    </w:p>
    <w:p>
      <w:pPr>
        <w:spacing w:after="0" w:line="36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Legal Fees</w:t>
      </w:r>
      <w:r>
        <w:rPr>
          <w:rFonts w:ascii="Arial" w:cs="Arial" w:eastAsia="Arial" w:hAnsi="Arial"/>
          <w:sz w:val="19"/>
          <w:szCs w:val="19"/>
          <w:color w:val="000000"/>
        </w:rPr>
        <w:t>. Solely during the Change in Control Period, the Company agrees to pay as incurred (within 10 business</w:t>
      </w:r>
      <w:r>
        <w:rPr>
          <w:rFonts w:ascii="Arial" w:cs="Arial" w:eastAsia="Arial" w:hAnsi="Arial"/>
          <w:sz w:val="19"/>
          <w:szCs w:val="19"/>
          <w:color w:val="010000"/>
        </w:rPr>
        <w:t xml:space="preserve"> </w:t>
      </w:r>
      <w:r>
        <w:rPr>
          <w:rFonts w:ascii="Arial" w:cs="Arial" w:eastAsia="Arial" w:hAnsi="Arial"/>
          <w:sz w:val="19"/>
          <w:szCs w:val="19"/>
          <w:color w:val="000000"/>
        </w:rPr>
        <w:t>days following the Company’s receipt of an invoice from the Participant), to the full extent permitted by law, all legal fees and expenses that the Participant may reasonably incur as a result of any contest by the Company, the Participant or others of the validity or enforceability of, or liability under, any provision of this Plan or any guarantee of performance thereof (including as a result of any contest (regardless of the outcome) by the Participant about the amount of any payment pursuant to this Plan) (each, a “</w:t>
      </w:r>
      <w:r>
        <w:rPr>
          <w:rFonts w:ascii="Arial" w:cs="Arial" w:eastAsia="Arial" w:hAnsi="Arial"/>
          <w:sz w:val="19"/>
          <w:szCs w:val="19"/>
          <w:u w:val="single" w:color="auto"/>
          <w:color w:val="000000"/>
        </w:rPr>
        <w:t>Contest</w:t>
      </w:r>
      <w:r>
        <w:rPr>
          <w:rFonts w:ascii="Arial" w:cs="Arial" w:eastAsia="Arial" w:hAnsi="Arial"/>
          <w:sz w:val="19"/>
          <w:szCs w:val="19"/>
          <w:color w:val="000000"/>
        </w:rPr>
        <w:t>”), plus, in each case, interest on any delayed payment to which the Participant is ultimately determined to be entitled at the applicable federal rate provided for in Section 7872(f)(2)(A) of the Code (“</w:t>
      </w:r>
      <w:r>
        <w:rPr>
          <w:rFonts w:ascii="Arial" w:cs="Arial" w:eastAsia="Arial" w:hAnsi="Arial"/>
          <w:sz w:val="19"/>
          <w:szCs w:val="19"/>
          <w:u w:val="single" w:color="auto"/>
          <w:color w:val="000000"/>
        </w:rPr>
        <w:t>Interest</w:t>
      </w:r>
      <w:r>
        <w:rPr>
          <w:rFonts w:ascii="Arial" w:cs="Arial" w:eastAsia="Arial" w:hAnsi="Arial"/>
          <w:sz w:val="19"/>
          <w:szCs w:val="19"/>
          <w:color w:val="000000"/>
        </w:rPr>
        <w:t>”) based on the rate in effect for the month in which such legal fees and expenses were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80"/>
          </w:cols>
          <w:pgMar w:left="320" w:top="1428" w:right="39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010000"/>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148"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 xml:space="preserve">The Plan may be terminated or amended in any respect by resolution adopted by the Committee;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connection with or in anticipation of a Change in Control, this Plan may not be terminated or amended in any manner that would adversely affect the rights of Participants in connection with a Qualifying CIC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following a Change in Control, this Plan shall continue in full force and effect and shall not terminate, expire or be amended until after all Participants who become entitled to any payments or benefits hereunder in connection with a Qualifying CIC Termination shall have received such payments and benefits in full pursuant to Section 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u w:val="single" w:color="auto"/>
          <w:color w:val="000000"/>
        </w:rPr>
        <w:t>General</w:t>
      </w:r>
      <w:r>
        <w:rPr>
          <w:rFonts w:ascii="Arial" w:cs="Arial" w:eastAsia="Arial" w:hAnsi="Arial"/>
          <w:sz w:val="21"/>
          <w:szCs w:val="21"/>
          <w:color w:val="000000"/>
        </w:rPr>
        <w:t>. The Committee is responsible for the general administration and management of this Plan (the committee</w:t>
      </w:r>
      <w:r>
        <w:rPr>
          <w:rFonts w:ascii="Arial" w:cs="Arial" w:eastAsia="Arial" w:hAnsi="Arial"/>
          <w:sz w:val="21"/>
          <w:szCs w:val="21"/>
          <w:color w:val="010000"/>
        </w:rPr>
        <w:t xml:space="preserve"> </w:t>
      </w:r>
      <w:r>
        <w:rPr>
          <w:rFonts w:ascii="Arial" w:cs="Arial" w:eastAsia="Arial" w:hAnsi="Arial"/>
          <w:sz w:val="21"/>
          <w:szCs w:val="21"/>
          <w:color w:val="000000"/>
        </w:rPr>
        <w:t>acting in such capacity, the “</w:t>
      </w:r>
      <w:r>
        <w:rPr>
          <w:rFonts w:ascii="Arial" w:cs="Arial" w:eastAsia="Arial" w:hAnsi="Arial"/>
          <w:sz w:val="21"/>
          <w:szCs w:val="21"/>
          <w:u w:val="single" w:color="auto"/>
          <w:color w:val="000000"/>
        </w:rPr>
        <w:t>Plan Administrator</w:t>
      </w:r>
      <w:r>
        <w:rPr>
          <w:rFonts w:ascii="Arial" w:cs="Arial" w:eastAsia="Arial" w:hAnsi="Arial"/>
          <w:sz w:val="21"/>
          <w:szCs w:val="21"/>
          <w:color w:val="000000"/>
        </w:rPr>
        <w:t xml:space="preserve">”) and shall have all powers and duties necessary to fulfill its responsibilities, including, but not limited to, the discretion to interpret and apply the provisions of this Plan and to determine all questions relating to eligibility for benefits under this Plan, to interpret or construe ambiguous, unclear, or implied (but omitted) terms in any fashion it deems to be appropriate, and to make any findings of fact needed in the administration of this Plan. Following a Change in Control, the validity of any such interpretation, construction, decision, or finding of fact shall be given </w:t>
      </w:r>
      <w:r>
        <w:rPr>
          <w:rFonts w:ascii="Arial" w:cs="Arial" w:eastAsia="Arial" w:hAnsi="Arial"/>
          <w:sz w:val="21"/>
          <w:szCs w:val="21"/>
          <w:i w:val="1"/>
          <w:iCs w:val="1"/>
          <w:color w:val="000000"/>
        </w:rPr>
        <w:t>de novo</w:t>
      </w:r>
      <w:r>
        <w:rPr>
          <w:rFonts w:ascii="Arial" w:cs="Arial" w:eastAsia="Arial" w:hAnsi="Arial"/>
          <w:sz w:val="21"/>
          <w:szCs w:val="21"/>
          <w:color w:val="000000"/>
        </w:rPr>
        <w:t xml:space="preserve"> review if challenged in court, by arbitration, or in any other forum, and such </w:t>
      </w:r>
      <w:r>
        <w:rPr>
          <w:rFonts w:ascii="Arial" w:cs="Arial" w:eastAsia="Arial" w:hAnsi="Arial"/>
          <w:sz w:val="21"/>
          <w:szCs w:val="21"/>
          <w:i w:val="1"/>
          <w:iCs w:val="1"/>
          <w:color w:val="000000"/>
        </w:rPr>
        <w:t>de novo</w:t>
      </w:r>
      <w:r>
        <w:rPr>
          <w:rFonts w:ascii="Arial" w:cs="Arial" w:eastAsia="Arial" w:hAnsi="Arial"/>
          <w:sz w:val="21"/>
          <w:szCs w:val="21"/>
          <w:color w:val="000000"/>
        </w:rPr>
        <w:t xml:space="preserve"> standard shall apply notwithstanding the grant of full discretion hereunder to the Plan Administrator or characterization of any such decision by the Plan Administrator as final or binding on any party.</w:t>
      </w:r>
    </w:p>
    <w:p>
      <w:pPr>
        <w:spacing w:after="0" w:line="12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010000"/>
        </w:rPr>
        <w:t xml:space="preserve">7.2 </w:t>
      </w:r>
      <w:r>
        <w:rPr>
          <w:rFonts w:ascii="Arial" w:cs="Arial" w:eastAsia="Arial" w:hAnsi="Arial"/>
          <w:sz w:val="22"/>
          <w:szCs w:val="22"/>
          <w:u w:val="single" w:color="auto"/>
          <w:color w:val="000000"/>
        </w:rPr>
        <w:t>Not Subject to ERISA</w:t>
      </w:r>
      <w:r>
        <w:rPr>
          <w:rFonts w:ascii="Arial" w:cs="Arial" w:eastAsia="Arial" w:hAnsi="Arial"/>
          <w:sz w:val="22"/>
          <w:szCs w:val="22"/>
          <w:color w:val="000000"/>
        </w:rPr>
        <w:t>. This Plan does not require an ongoing administrative scheme and, therefore, is intended to be</w:t>
      </w:r>
      <w:r>
        <w:rPr>
          <w:rFonts w:ascii="Arial" w:cs="Arial" w:eastAsia="Arial" w:hAnsi="Arial"/>
          <w:sz w:val="22"/>
          <w:szCs w:val="22"/>
          <w:color w:val="010000"/>
        </w:rPr>
        <w:t xml:space="preserve"> </w:t>
      </w:r>
      <w:r>
        <w:rPr>
          <w:rFonts w:ascii="Arial" w:cs="Arial" w:eastAsia="Arial" w:hAnsi="Arial"/>
          <w:sz w:val="22"/>
          <w:szCs w:val="22"/>
          <w:color w:val="000000"/>
        </w:rPr>
        <w:t>a payroll practice which is not subject to the Employee Retirement Income Security Act of 1974, as amended (“</w:t>
      </w:r>
      <w:r>
        <w:rPr>
          <w:rFonts w:ascii="Arial" w:cs="Arial" w:eastAsia="Arial" w:hAnsi="Arial"/>
          <w:sz w:val="22"/>
          <w:szCs w:val="22"/>
          <w:u w:val="single" w:color="auto"/>
          <w:color w:val="000000"/>
        </w:rPr>
        <w:t>ERISA</w:t>
      </w:r>
      <w:r>
        <w:rPr>
          <w:rFonts w:ascii="Arial" w:cs="Arial" w:eastAsia="Arial" w:hAnsi="Arial"/>
          <w:sz w:val="22"/>
          <w:szCs w:val="22"/>
          <w:color w:val="000000"/>
        </w:rPr>
        <w:t>”). However, if it is determined that this Plan is subject to ERISA, (i) it shall be considered to be an unfunded plan maintained by the Company primarily for the purpose of providing deferred compensation for a select group of management or highly compensated employees (a “</w:t>
      </w:r>
      <w:r>
        <w:rPr>
          <w:rFonts w:ascii="Arial" w:cs="Arial" w:eastAsia="Arial" w:hAnsi="Arial"/>
          <w:sz w:val="22"/>
          <w:szCs w:val="22"/>
          <w:u w:val="single" w:color="auto"/>
          <w:color w:val="000000"/>
        </w:rPr>
        <w:t>top-hat plan</w:t>
      </w:r>
      <w:r>
        <w:rPr>
          <w:rFonts w:ascii="Arial" w:cs="Arial" w:eastAsia="Arial" w:hAnsi="Arial"/>
          <w:sz w:val="22"/>
          <w:szCs w:val="22"/>
          <w:color w:val="000000"/>
        </w:rPr>
        <w:t>”), and (ii) it shall be administered in a manner which complies with the provisions of ERISA that are applicable to top-hat plans.</w:t>
      </w:r>
    </w:p>
    <w:p>
      <w:pPr>
        <w:spacing w:after="0" w:line="13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010000"/>
        </w:rPr>
        <w:t xml:space="preserve">7.3 </w:t>
      </w:r>
      <w:r>
        <w:rPr>
          <w:rFonts w:ascii="Arial" w:cs="Arial" w:eastAsia="Arial" w:hAnsi="Arial"/>
          <w:sz w:val="19"/>
          <w:szCs w:val="19"/>
          <w:u w:val="single" w:color="auto"/>
          <w:color w:val="000000"/>
        </w:rPr>
        <w:t>Indemnification</w:t>
      </w:r>
      <w:r>
        <w:rPr>
          <w:rFonts w:ascii="Arial" w:cs="Arial" w:eastAsia="Arial" w:hAnsi="Arial"/>
          <w:sz w:val="19"/>
          <w:szCs w:val="19"/>
          <w:color w:val="000000"/>
        </w:rPr>
        <w:t>. To the extent permitted by law, the Company shall indemnify the Plan Administrator, whether the</w:t>
      </w:r>
      <w:r>
        <w:rPr>
          <w:rFonts w:ascii="Arial" w:cs="Arial" w:eastAsia="Arial" w:hAnsi="Arial"/>
          <w:sz w:val="19"/>
          <w:szCs w:val="19"/>
          <w:color w:val="010000"/>
        </w:rPr>
        <w:t xml:space="preserve"> </w:t>
      </w:r>
      <w:r>
        <w:rPr>
          <w:rFonts w:ascii="Arial" w:cs="Arial" w:eastAsia="Arial" w:hAnsi="Arial"/>
          <w:sz w:val="19"/>
          <w:szCs w:val="19"/>
          <w:color w:val="000000"/>
        </w:rPr>
        <w:t>Committee or the Independent Committee, from all claims for liability, loss, or damage (including the payment of expenses in connection with defense against such claims) arising from any act or failure to act in connection with this Plan.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 ASSIGNMENT</w:t>
      </w:r>
    </w:p>
    <w:p>
      <w:pPr>
        <w:spacing w:after="0" w:line="148"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010000"/>
        </w:rPr>
        <w:t xml:space="preserve">8.1 </w:t>
      </w:r>
      <w:r>
        <w:rPr>
          <w:rFonts w:ascii="Arial" w:cs="Arial" w:eastAsia="Arial" w:hAnsi="Arial"/>
          <w:sz w:val="22"/>
          <w:szCs w:val="22"/>
          <w:u w:val="single" w:color="auto"/>
          <w:color w:val="000000"/>
        </w:rPr>
        <w:t>Successors</w:t>
      </w:r>
      <w:r>
        <w:rPr>
          <w:rFonts w:ascii="Arial" w:cs="Arial" w:eastAsia="Arial" w:hAnsi="Arial"/>
          <w:sz w:val="22"/>
          <w:szCs w:val="22"/>
          <w:color w:val="000000"/>
        </w:rPr>
        <w:t>. The Company shall require any corporation, entity, individual or other person who is the successor</w:t>
      </w:r>
      <w:r>
        <w:rPr>
          <w:rFonts w:ascii="Arial" w:cs="Arial" w:eastAsia="Arial" w:hAnsi="Arial"/>
          <w:sz w:val="22"/>
          <w:szCs w:val="22"/>
          <w:color w:val="010000"/>
        </w:rPr>
        <w:t xml:space="preserve"> </w:t>
      </w:r>
      <w:r>
        <w:rPr>
          <w:rFonts w:ascii="Arial" w:cs="Arial" w:eastAsia="Arial" w:hAnsi="Arial"/>
          <w:sz w:val="22"/>
          <w:szCs w:val="22"/>
          <w:color w:val="000000"/>
        </w:rPr>
        <w:t>(whether direct or indirect by purchase, merger, consolidation, reorganization or otherwise) to all or substantially all the business and/or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196" w:name="page197"/>
    <w:bookmarkEnd w:id="196"/>
    <w:p>
      <w:pPr>
        <w:spacing w:after="0" w:line="250" w:lineRule="auto"/>
        <w:rPr>
          <w:sz w:val="20"/>
          <w:szCs w:val="20"/>
          <w:color w:val="auto"/>
        </w:rPr>
      </w:pPr>
      <w:r>
        <w:rPr>
          <w:rFonts w:ascii="Arial" w:cs="Arial" w:eastAsia="Arial" w:hAnsi="Arial"/>
          <w:sz w:val="22"/>
          <w:szCs w:val="22"/>
          <w:color w:val="auto"/>
        </w:rPr>
        <w:t>to expressly assume and agree to perform, by a written agreement in form and in substance satisfactory to the Company, all of the obligations of the Company under this Plan. As used in this Plan, the term “Company” shall mean the Company as hereinbefore defined and any successor to its business and/or assets as aforesaid which assumes and agrees to perform this Plan by operation of law, written agreement or otherwise.</w:t>
      </w:r>
    </w:p>
    <w:p>
      <w:pPr>
        <w:spacing w:after="0" w:line="134" w:lineRule="exact"/>
        <w:rPr>
          <w:sz w:val="20"/>
          <w:szCs w:val="20"/>
          <w:color w:val="auto"/>
        </w:rPr>
      </w:pPr>
    </w:p>
    <w:p>
      <w:pPr>
        <w:ind w:right="260" w:firstLine="648"/>
        <w:spacing w:after="0" w:line="248"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Assignment of Rights</w:t>
      </w:r>
      <w:r>
        <w:rPr>
          <w:rFonts w:ascii="Arial" w:cs="Arial" w:eastAsia="Arial" w:hAnsi="Arial"/>
          <w:sz w:val="22"/>
          <w:szCs w:val="22"/>
          <w:color w:val="000000"/>
        </w:rPr>
        <w:t>. It is a condition of this Plan, and all rights of each person eligible to receive benefits under</w:t>
      </w:r>
      <w:r>
        <w:rPr>
          <w:rFonts w:ascii="Arial" w:cs="Arial" w:eastAsia="Arial" w:hAnsi="Arial"/>
          <w:sz w:val="22"/>
          <w:szCs w:val="22"/>
          <w:color w:val="010000"/>
        </w:rPr>
        <w:t xml:space="preserve"> </w:t>
      </w:r>
      <w:r>
        <w:rPr>
          <w:rFonts w:ascii="Arial" w:cs="Arial" w:eastAsia="Arial" w:hAnsi="Arial"/>
          <w:sz w:val="22"/>
          <w:szCs w:val="22"/>
          <w:color w:val="000000"/>
        </w:rPr>
        <w:t>this Plan shall be subject hereto, that no right or interest of any such person in this Plan shall be assignable or transferable in whole or in part, except by will or the laws of descent and distribution or other operation of law, including, but not by way of limitation, lawful execution, levy, garnishment, attachment, pledge, bankruptcy, alimony, child support or qualified domestic relations order.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SECTION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SECTION 409A OF THE CODE</w:t>
      </w:r>
    </w:p>
    <w:p>
      <w:pPr>
        <w:spacing w:after="0" w:line="14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9.1</w:t>
      </w:r>
      <w:r>
        <w:rPr>
          <w:sz w:val="20"/>
          <w:szCs w:val="20"/>
          <w:color w:val="auto"/>
        </w:rPr>
        <w:tab/>
      </w:r>
      <w:r>
        <w:rPr>
          <w:rFonts w:ascii="Arial" w:cs="Arial" w:eastAsia="Arial" w:hAnsi="Arial"/>
          <w:sz w:val="19"/>
          <w:szCs w:val="19"/>
          <w:color w:val="auto"/>
        </w:rPr>
        <w:t>The provisions of this Section 9 shall apply to U.S. Taxpayer Participants only.</w:t>
      </w:r>
    </w:p>
    <w:p>
      <w:pPr>
        <w:spacing w:after="0" w:line="166"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010000"/>
        </w:rPr>
        <w:t xml:space="preserve">9.2 </w:t>
      </w:r>
      <w:r>
        <w:rPr>
          <w:rFonts w:ascii="Arial" w:cs="Arial" w:eastAsia="Arial" w:hAnsi="Arial"/>
          <w:sz w:val="19"/>
          <w:szCs w:val="19"/>
          <w:u w:val="single" w:color="auto"/>
          <w:color w:val="000000"/>
        </w:rPr>
        <w:t>General</w:t>
      </w:r>
      <w:r>
        <w:rPr>
          <w:rFonts w:ascii="Arial" w:cs="Arial" w:eastAsia="Arial" w:hAnsi="Arial"/>
          <w:sz w:val="19"/>
          <w:szCs w:val="19"/>
          <w:color w:val="000000"/>
        </w:rPr>
        <w:t>. The obligations under this Plan are intended to comply with the requirements of Section 409A of the Code</w:t>
      </w:r>
      <w:r>
        <w:rPr>
          <w:rFonts w:ascii="Arial" w:cs="Arial" w:eastAsia="Arial" w:hAnsi="Arial"/>
          <w:sz w:val="19"/>
          <w:szCs w:val="19"/>
          <w:color w:val="010000"/>
        </w:rPr>
        <w:t xml:space="preserve"> </w:t>
      </w:r>
      <w:r>
        <w:rPr>
          <w:rFonts w:ascii="Arial" w:cs="Arial" w:eastAsia="Arial" w:hAnsi="Arial"/>
          <w:sz w:val="19"/>
          <w:szCs w:val="19"/>
          <w:color w:val="000000"/>
        </w:rPr>
        <w:t>or an exemption or exclusion therefrom and shall in all respects be administered in accordance with Section 409A of the Code. Any payments that qualify for the “short-term deferral” exception, the separation pay exception or another exception under Section 409A of the Code shall be paid under the applicable exception to the maximum extent possible. For purposes of nonqualified deferred compensation under Section 409A of the Code, each payment of compensation under this Plan shall be treated as a separate payment of compensation. All payments to be made upon a termination of employment under this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this Plan.</w:t>
      </w:r>
    </w:p>
    <w:p>
      <w:pPr>
        <w:spacing w:after="0" w:line="103"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010000"/>
        </w:rPr>
        <w:t xml:space="preserve">9.3 </w:t>
      </w:r>
      <w:r>
        <w:rPr>
          <w:rFonts w:ascii="Arial" w:cs="Arial" w:eastAsia="Arial" w:hAnsi="Arial"/>
          <w:sz w:val="19"/>
          <w:szCs w:val="19"/>
          <w:u w:val="single" w:color="auto"/>
          <w:color w:val="000000"/>
        </w:rPr>
        <w:t>Reimbursements and In-Kind Benefits</w:t>
      </w:r>
      <w:r>
        <w:rPr>
          <w:rFonts w:ascii="Arial" w:cs="Arial" w:eastAsia="Arial" w:hAnsi="Arial"/>
          <w:sz w:val="19"/>
          <w:szCs w:val="19"/>
          <w:color w:val="000000"/>
        </w:rPr>
        <w:t>. Notwithstanding anything to the contrary in this Plan, all reimbursements</w:t>
      </w:r>
      <w:r>
        <w:rPr>
          <w:rFonts w:ascii="Arial" w:cs="Arial" w:eastAsia="Arial" w:hAnsi="Arial"/>
          <w:sz w:val="19"/>
          <w:szCs w:val="19"/>
          <w:color w:val="010000"/>
        </w:rPr>
        <w:t xml:space="preserve"> </w:t>
      </w:r>
      <w:r>
        <w:rPr>
          <w:rFonts w:ascii="Arial" w:cs="Arial" w:eastAsia="Arial" w:hAnsi="Arial"/>
          <w:sz w:val="19"/>
          <w:szCs w:val="19"/>
          <w:color w:val="000000"/>
        </w:rPr>
        <w:t xml:space="preserve">and in-kind benefits provided under this Plan that are subject to Section 409A of the Code shall be made in accordance with the requirements of Section 409A of the Code, including without limitation, where applicable, the requirement that (i) in no event shall the Company’s obligations to make such reimbursements or to provide such in-kind benefits apply later than the Participant’s remaining lifetime (or if longer, through the 20th anniversary of the Effective Date; (ii) the amount of expenses eligible for reimbursement, or in-kind benefits provided, during a calendar year may not affect the expenses eligible for reimbursement, or in-kind benefits to be provided, in any other calendar year; (iii) the reimbursement of an eligible fees and expenses shall be made no later than the last day of the calendar year following the year in which the applicable fees and expenses were incurred;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the Participant shall have submitted an invoice for such fees and expenses at least 10 days before the end of the calendar year next following the calendar year in which such fees and expenses were incurred; and (iv) the right to reimbursement or in-kind benefits is not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197" w:name="page198"/>
    <w:bookmarkEnd w:id="197"/>
    <w:p>
      <w:pPr>
        <w:ind w:right="60" w:firstLine="648"/>
        <w:spacing w:after="0" w:line="287"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u w:val="single" w:color="auto"/>
          <w:color w:val="000000"/>
        </w:rPr>
        <w:t>Delay of Payments</w:t>
      </w:r>
      <w:r>
        <w:rPr>
          <w:rFonts w:ascii="Arial" w:cs="Arial" w:eastAsia="Arial" w:hAnsi="Arial"/>
          <w:sz w:val="19"/>
          <w:szCs w:val="19"/>
          <w:color w:val="000000"/>
        </w:rPr>
        <w:t>. Notwithstanding any other provision of this Plan to the contrary, if a Participant is considered a</w:t>
      </w:r>
      <w:r>
        <w:rPr>
          <w:rFonts w:ascii="Arial" w:cs="Arial" w:eastAsia="Arial" w:hAnsi="Arial"/>
          <w:sz w:val="19"/>
          <w:szCs w:val="19"/>
          <w:color w:val="010000"/>
        </w:rPr>
        <w:t xml:space="preserve"> </w:t>
      </w:r>
      <w:r>
        <w:rPr>
          <w:rFonts w:ascii="Arial" w:cs="Arial" w:eastAsia="Arial" w:hAnsi="Arial"/>
          <w:sz w:val="19"/>
          <w:szCs w:val="19"/>
          <w:color w:val="000000"/>
        </w:rPr>
        <w:t>“specified employee” for purposes of Section 409A of the Code (as determined in accordance with the methodology established by the Company as in effect on the Date of Termination), any payment or benefit that constitutes nonqualified deferred compensation within the meaning of Section 409A of the Code that is otherwise due to be paid to such Participant under this Agreement during the six-month period immediately following such Participant’s separation from service (as determined in accordance with Section 409A of the Code) on account of such Participant’s separation from service shall be accumulated and paid to such Participant with Interest (based on the rate in effect for the month in which the Participant’s separation from service occurs) on the first business day of the seventh month following the Participant’s separation from service (the “</w:t>
      </w:r>
      <w:r>
        <w:rPr>
          <w:rFonts w:ascii="Arial" w:cs="Arial" w:eastAsia="Arial" w:hAnsi="Arial"/>
          <w:sz w:val="19"/>
          <w:szCs w:val="19"/>
          <w:u w:val="single" w:color="auto"/>
          <w:color w:val="000000"/>
        </w:rPr>
        <w:t>Delayed Payment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Date</w:t>
      </w:r>
      <w:r>
        <w:rPr>
          <w:rFonts w:ascii="Arial" w:cs="Arial" w:eastAsia="Arial" w:hAnsi="Arial"/>
          <w:sz w:val="19"/>
          <w:szCs w:val="19"/>
          <w:color w:val="000000"/>
        </w:rPr>
        <w:t>”),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or her estate on the first to occur of the Delayed Payment Date or 30 calendar days after the date of such Participant’s death.</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SECTION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48"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010000"/>
        </w:rPr>
        <w:t xml:space="preserve">10.1 </w:t>
      </w:r>
      <w:r>
        <w:rPr>
          <w:rFonts w:ascii="Arial" w:cs="Arial" w:eastAsia="Arial" w:hAnsi="Arial"/>
          <w:sz w:val="22"/>
          <w:szCs w:val="22"/>
          <w:u w:val="single" w:color="auto"/>
          <w:color w:val="000000"/>
        </w:rPr>
        <w:t>Controlling Law</w:t>
      </w:r>
      <w:r>
        <w:rPr>
          <w:rFonts w:ascii="Arial" w:cs="Arial" w:eastAsia="Arial" w:hAnsi="Arial"/>
          <w:sz w:val="22"/>
          <w:szCs w:val="22"/>
          <w:color w:val="000000"/>
        </w:rPr>
        <w:t>. This Agreement shall be governed by and construed in accordance with the laws of the State of</w:t>
      </w:r>
      <w:r>
        <w:rPr>
          <w:rFonts w:ascii="Arial" w:cs="Arial" w:eastAsia="Arial" w:hAnsi="Arial"/>
          <w:sz w:val="22"/>
          <w:szCs w:val="22"/>
          <w:color w:val="010000"/>
        </w:rPr>
        <w:t xml:space="preserve"> </w:t>
      </w:r>
      <w:r>
        <w:rPr>
          <w:rFonts w:ascii="Arial" w:cs="Arial" w:eastAsia="Arial" w:hAnsi="Arial"/>
          <w:sz w:val="22"/>
          <w:szCs w:val="22"/>
          <w:color w:val="000000"/>
        </w:rPr>
        <w:t>Delaware, without giving effect to any choice of law or conflicting provision or rule (whether of the State of Delaware or any other jurisdiction) that would cause the laws of any jurisdiction other than the State of Delaware to be applied. In furtherance of the foregoing, the internal laws of the State of Delaware will control the interpretation and construction of this Agreement, even if under such jurisdiction’s choice of law or conflict of law analysis, the substantive law of some other jurisdiction would ordinarily apply.</w:t>
      </w:r>
    </w:p>
    <w:p>
      <w:pPr>
        <w:spacing w:after="0" w:line="139" w:lineRule="exact"/>
        <w:rPr>
          <w:sz w:val="20"/>
          <w:szCs w:val="20"/>
          <w:color w:val="auto"/>
        </w:rPr>
      </w:pPr>
    </w:p>
    <w:p>
      <w:pPr>
        <w:ind w:right="520" w:firstLine="648"/>
        <w:spacing w:after="0" w:line="253" w:lineRule="auto"/>
        <w:rPr>
          <w:sz w:val="20"/>
          <w:szCs w:val="20"/>
          <w:color w:val="auto"/>
        </w:rPr>
      </w:pPr>
      <w:r>
        <w:rPr>
          <w:rFonts w:ascii="Arial" w:cs="Arial" w:eastAsia="Arial" w:hAnsi="Arial"/>
          <w:sz w:val="22"/>
          <w:szCs w:val="22"/>
          <w:color w:val="010000"/>
        </w:rPr>
        <w:t xml:space="preserve">10.2 </w:t>
      </w:r>
      <w:r>
        <w:rPr>
          <w:rFonts w:ascii="Arial" w:cs="Arial" w:eastAsia="Arial" w:hAnsi="Arial"/>
          <w:sz w:val="22"/>
          <w:szCs w:val="22"/>
          <w:u w:val="single" w:color="auto"/>
          <w:color w:val="000000"/>
        </w:rPr>
        <w:t>Withholding</w:t>
      </w:r>
      <w:r>
        <w:rPr>
          <w:rFonts w:ascii="Arial" w:cs="Arial" w:eastAsia="Arial" w:hAnsi="Arial"/>
          <w:sz w:val="22"/>
          <w:szCs w:val="22"/>
          <w:color w:val="000000"/>
        </w:rPr>
        <w:t>. The Company may withhold from any amount payable or benefit provided under this Plan such</w:t>
      </w:r>
      <w:r>
        <w:rPr>
          <w:rFonts w:ascii="Arial" w:cs="Arial" w:eastAsia="Arial" w:hAnsi="Arial"/>
          <w:sz w:val="22"/>
          <w:szCs w:val="22"/>
          <w:color w:val="010000"/>
        </w:rPr>
        <w:t xml:space="preserve"> </w:t>
      </w:r>
      <w:r>
        <w:rPr>
          <w:rFonts w:ascii="Arial" w:cs="Arial" w:eastAsia="Arial" w:hAnsi="Arial"/>
          <w:sz w:val="22"/>
          <w:szCs w:val="22"/>
          <w:color w:val="000000"/>
        </w:rPr>
        <w:t>federal, state, local, foreign and other taxes and/ or social security payments as are required to be withheld pursuant to any applicable law or regulation.</w:t>
      </w:r>
    </w:p>
    <w:p>
      <w:pPr>
        <w:spacing w:after="0" w:line="131"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010000"/>
        </w:rPr>
        <w:t xml:space="preserve">10.3 </w:t>
      </w:r>
      <w:r>
        <w:rPr>
          <w:rFonts w:ascii="Arial" w:cs="Arial" w:eastAsia="Arial" w:hAnsi="Arial"/>
          <w:sz w:val="22"/>
          <w:szCs w:val="22"/>
          <w:u w:val="single" w:color="auto"/>
          <w:color w:val="000000"/>
        </w:rPr>
        <w:t>Gender and Plurals</w:t>
      </w:r>
      <w:r>
        <w:rPr>
          <w:rFonts w:ascii="Arial" w:cs="Arial" w:eastAsia="Arial" w:hAnsi="Arial"/>
          <w:sz w:val="22"/>
          <w:szCs w:val="22"/>
          <w:color w:val="000000"/>
        </w:rPr>
        <w:t>. Wherever used in this Plan document, words in the masculine gender shall include masculine</w:t>
      </w:r>
      <w:r>
        <w:rPr>
          <w:rFonts w:ascii="Arial" w:cs="Arial" w:eastAsia="Arial" w:hAnsi="Arial"/>
          <w:sz w:val="22"/>
          <w:szCs w:val="22"/>
          <w:color w:val="010000"/>
        </w:rPr>
        <w:t xml:space="preserve"> </w:t>
      </w:r>
      <w:r>
        <w:rPr>
          <w:rFonts w:ascii="Arial" w:cs="Arial" w:eastAsia="Arial" w:hAnsi="Arial"/>
          <w:sz w:val="22"/>
          <w:szCs w:val="22"/>
          <w:color w:val="000000"/>
        </w:rPr>
        <w:t>or feminine gender, and, unless the context otherwise requires, words in the singular shall include the plural, and words in the plural shall include the singular.</w:t>
      </w:r>
    </w:p>
    <w:p>
      <w:pPr>
        <w:spacing w:after="0" w:line="131"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010000"/>
        </w:rPr>
        <w:t xml:space="preserve">10.4 </w:t>
      </w:r>
      <w:r>
        <w:rPr>
          <w:rFonts w:ascii="Arial" w:cs="Arial" w:eastAsia="Arial" w:hAnsi="Arial"/>
          <w:sz w:val="22"/>
          <w:szCs w:val="22"/>
          <w:u w:val="single" w:color="auto"/>
          <w:color w:val="000000"/>
        </w:rPr>
        <w:t>Plan Controls</w:t>
      </w:r>
      <w:r>
        <w:rPr>
          <w:rFonts w:ascii="Arial" w:cs="Arial" w:eastAsia="Arial" w:hAnsi="Arial"/>
          <w:sz w:val="22"/>
          <w:szCs w:val="22"/>
          <w:color w:val="000000"/>
        </w:rPr>
        <w:t>. In the event of any inconsistency between this Plan document, the Service Agreement and any other</w:t>
      </w:r>
      <w:r>
        <w:rPr>
          <w:rFonts w:ascii="Arial" w:cs="Arial" w:eastAsia="Arial" w:hAnsi="Arial"/>
          <w:sz w:val="22"/>
          <w:szCs w:val="22"/>
          <w:color w:val="010000"/>
        </w:rPr>
        <w:t xml:space="preserve"> </w:t>
      </w:r>
      <w:r>
        <w:rPr>
          <w:rFonts w:ascii="Arial" w:cs="Arial" w:eastAsia="Arial" w:hAnsi="Arial"/>
          <w:sz w:val="22"/>
          <w:szCs w:val="22"/>
          <w:color w:val="000000"/>
        </w:rPr>
        <w:t>communication regarding this Plan, this Plan document controls. The captions in this Plan are not part of the provisions hereof and shall have no force or effect.</w:t>
      </w:r>
    </w:p>
    <w:p>
      <w:pPr>
        <w:spacing w:after="0" w:line="1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10.5 </w:t>
      </w:r>
      <w:r>
        <w:rPr>
          <w:rFonts w:ascii="Arial" w:cs="Arial" w:eastAsia="Arial" w:hAnsi="Arial"/>
          <w:sz w:val="22"/>
          <w:szCs w:val="22"/>
          <w:u w:val="single" w:color="auto"/>
          <w:color w:val="000000"/>
        </w:rPr>
        <w:t>Not an Employment Contract</w:t>
      </w:r>
      <w:r>
        <w:rPr>
          <w:rFonts w:ascii="Arial" w:cs="Arial" w:eastAsia="Arial" w:hAnsi="Arial"/>
          <w:sz w:val="22"/>
          <w:szCs w:val="22"/>
          <w:color w:val="000000"/>
        </w:rPr>
        <w:t>. Neither this Plan nor any action taken with respect to it shall confer upon any person</w:t>
      </w:r>
      <w:r>
        <w:rPr>
          <w:rFonts w:ascii="Arial" w:cs="Arial" w:eastAsia="Arial" w:hAnsi="Arial"/>
          <w:sz w:val="22"/>
          <w:szCs w:val="22"/>
          <w:color w:val="010000"/>
        </w:rPr>
        <w:t xml:space="preserve"> </w:t>
      </w:r>
      <w:r>
        <w:rPr>
          <w:rFonts w:ascii="Arial" w:cs="Arial" w:eastAsia="Arial" w:hAnsi="Arial"/>
          <w:sz w:val="22"/>
          <w:szCs w:val="22"/>
          <w:color w:val="000000"/>
        </w:rPr>
        <w:t>the right to continued employment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28" w:right="359" w:bottom="1440" w:gutter="0" w:footer="0" w:header="0"/>
        </w:sectPr>
      </w:pPr>
    </w:p>
    <w:bookmarkStart w:id="198" w:name="page199"/>
    <w:bookmarkEnd w:id="198"/>
    <w:p>
      <w:pPr>
        <w:ind w:left="660"/>
        <w:spacing w:after="0"/>
        <w:tabs>
          <w:tab w:leader="none" w:pos="1240" w:val="left"/>
        </w:tabs>
        <w:rPr>
          <w:sz w:val="20"/>
          <w:szCs w:val="20"/>
          <w:color w:val="auto"/>
        </w:rPr>
      </w:pPr>
      <w:r>
        <w:rPr>
          <w:rFonts w:ascii="Arial" w:cs="Arial" w:eastAsia="Arial" w:hAnsi="Arial"/>
          <w:sz w:val="22"/>
          <w:szCs w:val="22"/>
          <w:color w:val="010000"/>
        </w:rPr>
        <w:t>10.6</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66" w:lineRule="exact"/>
        <w:rPr>
          <w:sz w:val="20"/>
          <w:szCs w:val="20"/>
          <w:color w:val="auto"/>
        </w:rPr>
      </w:pPr>
    </w:p>
    <w:p>
      <w:pPr>
        <w:jc w:val="both"/>
        <w:ind w:left="660" w:firstLine="644"/>
        <w:spacing w:after="0" w:line="253" w:lineRule="auto"/>
        <w:tabs>
          <w:tab w:leader="none" w:pos="1764"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Any notice required to be delivered to the Company by a Participant hereunder shall be properly delivered to the Company when personally delivered to, or actually received through the U.S. mail or electronic mail (e-mail) (so long as confirmation of receipt of e-mail is requested or received) by:</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GXO Logistics, Inc.</w:t>
      </w:r>
    </w:p>
    <w:p>
      <w:pPr>
        <w:spacing w:after="0" w:line="1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t>
      </w:r>
    </w:p>
    <w:p>
      <w:pPr>
        <w:spacing w:after="0" w:line="7" w:lineRule="exact"/>
        <w:rPr>
          <w:sz w:val="20"/>
          <w:szCs w:val="20"/>
          <w:color w:val="auto"/>
        </w:rPr>
      </w:pPr>
    </w:p>
    <w:p>
      <w:pPr>
        <w:ind w:left="2600"/>
        <w:spacing w:after="0"/>
        <w:tabs>
          <w:tab w:leader="none" w:pos="36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spacing w:after="0" w:line="1" w:lineRule="exact"/>
        <w:rPr>
          <w:sz w:val="20"/>
          <w:szCs w:val="20"/>
          <w:color w:val="auto"/>
        </w:rPr>
      </w:pPr>
    </w:p>
    <w:p>
      <w:pPr>
        <w:ind w:left="2600"/>
        <w:spacing w:after="0"/>
        <w:tabs>
          <w:tab w:leader="none" w:pos="3500" w:val="left"/>
        </w:tabs>
        <w:rPr>
          <w:sz w:val="20"/>
          <w:szCs w:val="20"/>
          <w:color w:val="auto"/>
        </w:rPr>
      </w:pPr>
      <w:r>
        <w:rPr>
          <w:rFonts w:ascii="Arial" w:cs="Arial" w:eastAsia="Arial" w:hAnsi="Arial"/>
          <w:sz w:val="22"/>
          <w:szCs w:val="22"/>
          <w:color w:val="auto"/>
        </w:rPr>
        <w:t>E-mail:</w:t>
        <w:tab/>
        <w:t>[•]</w:t>
      </w:r>
    </w:p>
    <w:p>
      <w:pPr>
        <w:spacing w:after="0" w:line="151" w:lineRule="exact"/>
        <w:rPr>
          <w:sz w:val="20"/>
          <w:szCs w:val="20"/>
          <w:color w:val="auto"/>
        </w:rPr>
      </w:pPr>
    </w:p>
    <w:p>
      <w:pPr>
        <w:ind w:left="660" w:right="40" w:firstLine="644"/>
        <w:spacing w:after="0" w:line="302" w:lineRule="auto"/>
        <w:tabs>
          <w:tab w:leader="none" w:pos="1776"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Any notice required to be delivered to the Participant by the Company hereunder shall be properly delivered to the Participant when the Company delivers such notice by e-mail (so long as confirmation of receipt of e-mail is requested or received), personally or by placing said notice in the U.S. mail registered or certified mail, return receipt requested, postage prepaid to that person’s last known address as reflected on the books and records of the Company.</w:t>
      </w:r>
    </w:p>
    <w:p>
      <w:pPr>
        <w:spacing w:after="0" w:line="88"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010000"/>
        </w:rPr>
        <w:t xml:space="preserve">10.7 </w:t>
      </w:r>
      <w:r>
        <w:rPr>
          <w:rFonts w:ascii="Arial" w:cs="Arial" w:eastAsia="Arial" w:hAnsi="Arial"/>
          <w:sz w:val="22"/>
          <w:szCs w:val="22"/>
          <w:u w:val="single" w:color="auto"/>
          <w:color w:val="000000"/>
        </w:rPr>
        <w:t>Severability</w:t>
      </w:r>
      <w:r>
        <w:rPr>
          <w:rFonts w:ascii="Arial" w:cs="Arial" w:eastAsia="Arial" w:hAnsi="Arial"/>
          <w:sz w:val="22"/>
          <w:szCs w:val="22"/>
          <w:color w:val="000000"/>
        </w:rPr>
        <w:t>. If any provision of this Plan is held invalid or unenforceable, its invalidity or unenforceability shall</w:t>
      </w:r>
      <w:r>
        <w:rPr>
          <w:rFonts w:ascii="Arial" w:cs="Arial" w:eastAsia="Arial" w:hAnsi="Arial"/>
          <w:sz w:val="22"/>
          <w:szCs w:val="22"/>
          <w:color w:val="010000"/>
        </w:rPr>
        <w:t xml:space="preserve"> </w:t>
      </w:r>
      <w:r>
        <w:rPr>
          <w:rFonts w:ascii="Arial" w:cs="Arial" w:eastAsia="Arial" w:hAnsi="Arial"/>
          <w:sz w:val="22"/>
          <w:szCs w:val="22"/>
          <w:color w:val="000000"/>
        </w:rPr>
        <w:t>not affect any other provisions of this Plan, and this Plan shall be construed and enforced as if such provision had not been included in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180"/>
          </w:cols>
          <w:pgMar w:left="320" w:top="1428" w:right="39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46558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655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14 May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&amp; 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Pension Top 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Dear Maryclaire,</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Welcome to the XPO family! For your reference, the company offers a pension arrangement in the UK, which is managed by Scottish Widows.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maximum company contribution payable into the pension scheme is 7% of your basic annual salary.</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However, in recognition of both your seniority within the business and market norm for senior executives, the company will provide a top up to your individual pension account of 4% of your basic annual salary.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qualify to receive the full 11% from the company, your individual contribution must be a minimum of 8% of your basic salary.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additional contribution will be processed as an individual supplement through payroll, and will be grossed up to offset/mitigate any tax impact which, in turn, needs to be paid into your pension plan in addition to your minimum contribution of 8%. Please see the example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260" w:type="dxa"/>
            <w:vAlign w:val="bottom"/>
            <w:tcBorders>
              <w:left w:val="single" w:sz="8" w:color="BFBFBF"/>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8"/>
                <w:szCs w:val="18"/>
                <w:b w:val="1"/>
                <w:bCs w:val="1"/>
                <w:color w:val="FFFFFF"/>
              </w:rPr>
              <w:t>EE Contribution</w:t>
            </w:r>
          </w:p>
        </w:tc>
        <w:tc>
          <w:tcPr>
            <w:tcW w:w="22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8"/>
                <w:szCs w:val="18"/>
                <w:b w:val="1"/>
                <w:bCs w:val="1"/>
                <w:color w:val="FFFFFF"/>
                <w:w w:val="99"/>
              </w:rPr>
              <w:t>ER Top Up</w:t>
            </w:r>
          </w:p>
        </w:tc>
        <w:tc>
          <w:tcPr>
            <w:tcW w:w="22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8"/>
                <w:szCs w:val="18"/>
                <w:b w:val="1"/>
                <w:bCs w:val="1"/>
                <w:color w:val="FFFFFF"/>
                <w:w w:val="99"/>
              </w:rPr>
              <w:t>Total EE Contribution</w:t>
            </w:r>
          </w:p>
        </w:tc>
        <w:tc>
          <w:tcPr>
            <w:tcW w:w="22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8"/>
                <w:szCs w:val="18"/>
                <w:b w:val="1"/>
                <w:bCs w:val="1"/>
                <w:color w:val="FFFFFF"/>
                <w:w w:val="99"/>
              </w:rPr>
              <w:t>ER Contribution</w:t>
            </w:r>
          </w:p>
        </w:tc>
        <w:tc>
          <w:tcPr>
            <w:tcW w:w="2240" w:type="dxa"/>
            <w:vAlign w:val="bottom"/>
            <w:tcBorders>
              <w:bottom w:val="single" w:sz="8" w:color="404040"/>
              <w:right w:val="single" w:sz="8" w:color="BFBFBF"/>
            </w:tcBorders>
            <w:shd w:val="clear" w:color="auto" w:fill="404040"/>
          </w:tcPr>
          <w:p>
            <w:pPr>
              <w:ind w:left="900"/>
              <w:spacing w:after="0"/>
              <w:rPr>
                <w:sz w:val="20"/>
                <w:szCs w:val="20"/>
                <w:color w:val="auto"/>
              </w:rPr>
            </w:pPr>
            <w:r>
              <w:rPr>
                <w:rFonts w:ascii="Arial" w:cs="Arial" w:eastAsia="Arial" w:hAnsi="Arial"/>
                <w:sz w:val="18"/>
                <w:szCs w:val="18"/>
                <w:b w:val="1"/>
                <w:bCs w:val="1"/>
                <w:color w:val="FFFFFF"/>
              </w:rPr>
              <w:t>Total</w:t>
            </w:r>
          </w:p>
        </w:tc>
      </w:tr>
      <w:tr>
        <w:trPr>
          <w:trHeight w:val="263"/>
        </w:trPr>
        <w:tc>
          <w:tcPr>
            <w:tcW w:w="2260" w:type="dxa"/>
            <w:vAlign w:val="bottom"/>
            <w:tcBorders>
              <w:left w:val="single" w:sz="8" w:color="BFBFBF"/>
              <w:bottom w:val="single" w:sz="8" w:color="F2F2F2"/>
              <w:right w:val="single" w:sz="8" w:color="BFBFBF"/>
            </w:tcBorders>
            <w:shd w:val="clear" w:color="auto" w:fill="F2F2F2"/>
          </w:tcPr>
          <w:p>
            <w:pPr>
              <w:jc w:val="right"/>
              <w:ind w:right="910"/>
              <w:spacing w:after="0"/>
              <w:rPr>
                <w:sz w:val="20"/>
                <w:szCs w:val="20"/>
                <w:color w:val="auto"/>
              </w:rPr>
            </w:pPr>
            <w:r>
              <w:rPr>
                <w:rFonts w:ascii="Arial" w:cs="Arial" w:eastAsia="Arial" w:hAnsi="Arial"/>
                <w:sz w:val="18"/>
                <w:szCs w:val="18"/>
                <w:color w:val="auto"/>
              </w:rPr>
              <w:t>8%</w:t>
            </w:r>
          </w:p>
        </w:tc>
        <w:tc>
          <w:tcPr>
            <w:tcW w:w="2240" w:type="dxa"/>
            <w:vAlign w:val="bottom"/>
            <w:tcBorders>
              <w:bottom w:val="single" w:sz="8" w:color="F2F2F2"/>
              <w:right w:val="single" w:sz="8" w:color="BFBFBF"/>
            </w:tcBorders>
            <w:shd w:val="clear" w:color="auto" w:fill="F2F2F2"/>
          </w:tcPr>
          <w:p>
            <w:pPr>
              <w:jc w:val="right"/>
              <w:ind w:right="910"/>
              <w:spacing w:after="0"/>
              <w:rPr>
                <w:sz w:val="20"/>
                <w:szCs w:val="20"/>
                <w:color w:val="auto"/>
              </w:rPr>
            </w:pPr>
            <w:r>
              <w:rPr>
                <w:rFonts w:ascii="Arial" w:cs="Arial" w:eastAsia="Arial" w:hAnsi="Arial"/>
                <w:sz w:val="18"/>
                <w:szCs w:val="18"/>
                <w:color w:val="auto"/>
              </w:rPr>
              <w:t>4%</w:t>
            </w:r>
          </w:p>
        </w:tc>
        <w:tc>
          <w:tcPr>
            <w:tcW w:w="2240" w:type="dxa"/>
            <w:vAlign w:val="bottom"/>
            <w:tcBorders>
              <w:bottom w:val="single" w:sz="8" w:color="F2F2F2"/>
              <w:right w:val="single" w:sz="8" w:color="BFBFBF"/>
            </w:tcBorders>
            <w:shd w:val="clear" w:color="auto" w:fill="F2F2F2"/>
          </w:tcPr>
          <w:p>
            <w:pPr>
              <w:jc w:val="right"/>
              <w:ind w:right="870"/>
              <w:spacing w:after="0"/>
              <w:rPr>
                <w:sz w:val="20"/>
                <w:szCs w:val="20"/>
                <w:color w:val="auto"/>
              </w:rPr>
            </w:pPr>
            <w:r>
              <w:rPr>
                <w:rFonts w:ascii="Arial" w:cs="Arial" w:eastAsia="Arial" w:hAnsi="Arial"/>
                <w:sz w:val="18"/>
                <w:szCs w:val="18"/>
                <w:color w:val="auto"/>
              </w:rPr>
              <w:t>12%</w:t>
            </w:r>
          </w:p>
        </w:tc>
        <w:tc>
          <w:tcPr>
            <w:tcW w:w="2240" w:type="dxa"/>
            <w:vAlign w:val="bottom"/>
            <w:tcBorders>
              <w:bottom w:val="single" w:sz="8" w:color="F2F2F2"/>
              <w:right w:val="single" w:sz="8" w:color="BFBFBF"/>
            </w:tcBorders>
            <w:shd w:val="clear" w:color="auto" w:fill="F2F2F2"/>
          </w:tcPr>
          <w:p>
            <w:pPr>
              <w:jc w:val="right"/>
              <w:ind w:right="910"/>
              <w:spacing w:after="0"/>
              <w:rPr>
                <w:sz w:val="20"/>
                <w:szCs w:val="20"/>
                <w:color w:val="auto"/>
              </w:rPr>
            </w:pPr>
            <w:r>
              <w:rPr>
                <w:rFonts w:ascii="Arial" w:cs="Arial" w:eastAsia="Arial" w:hAnsi="Arial"/>
                <w:sz w:val="18"/>
                <w:szCs w:val="18"/>
                <w:color w:val="auto"/>
              </w:rPr>
              <w:t>7%</w:t>
            </w:r>
          </w:p>
        </w:tc>
        <w:tc>
          <w:tcPr>
            <w:tcW w:w="2240" w:type="dxa"/>
            <w:vAlign w:val="bottom"/>
            <w:tcBorders>
              <w:bottom w:val="single" w:sz="8" w:color="F2F2F2"/>
              <w:right w:val="single" w:sz="8" w:color="BFBFBF"/>
            </w:tcBorders>
            <w:shd w:val="clear" w:color="auto" w:fill="F2F2F2"/>
          </w:tcPr>
          <w:p>
            <w:pPr>
              <w:ind w:left="920"/>
              <w:spacing w:after="0"/>
              <w:rPr>
                <w:sz w:val="20"/>
                <w:szCs w:val="20"/>
                <w:color w:val="auto"/>
              </w:rPr>
            </w:pPr>
            <w:r>
              <w:rPr>
                <w:rFonts w:ascii="Arial" w:cs="Arial" w:eastAsia="Arial" w:hAnsi="Arial"/>
                <w:sz w:val="18"/>
                <w:szCs w:val="18"/>
                <w:color w:val="auto"/>
              </w:rPr>
              <w:t>19%</w:t>
            </w:r>
          </w:p>
        </w:tc>
      </w:tr>
      <w:tr>
        <w:trPr>
          <w:trHeight w:val="20"/>
        </w:trPr>
        <w:tc>
          <w:tcPr>
            <w:tcW w:w="2260" w:type="dxa"/>
            <w:vAlign w:val="bottom"/>
            <w:tcBorders>
              <w:left w:val="single" w:sz="8" w:color="BFBFBF"/>
              <w:right w:val="single" w:sz="8" w:color="BFBFBF"/>
            </w:tcBorders>
            <w:shd w:val="clear" w:color="auto" w:fill="BFBFBF"/>
          </w:tcPr>
          <w:p>
            <w:pPr>
              <w:spacing w:after="0" w:line="20" w:lineRule="exact"/>
              <w:rPr>
                <w:sz w:val="1"/>
                <w:szCs w:val="1"/>
                <w:color w:val="auto"/>
              </w:rPr>
            </w:pPr>
          </w:p>
        </w:tc>
        <w:tc>
          <w:tcPr>
            <w:tcW w:w="2240" w:type="dxa"/>
            <w:vAlign w:val="bottom"/>
            <w:tcBorders>
              <w:right w:val="single" w:sz="8" w:color="BFBFBF"/>
            </w:tcBorders>
            <w:shd w:val="clear" w:color="auto" w:fill="BFBFBF"/>
          </w:tcPr>
          <w:p>
            <w:pPr>
              <w:spacing w:after="0" w:line="20" w:lineRule="exact"/>
              <w:rPr>
                <w:sz w:val="1"/>
                <w:szCs w:val="1"/>
                <w:color w:val="auto"/>
              </w:rPr>
            </w:pPr>
          </w:p>
        </w:tc>
        <w:tc>
          <w:tcPr>
            <w:tcW w:w="2240" w:type="dxa"/>
            <w:vAlign w:val="bottom"/>
            <w:tcBorders>
              <w:right w:val="single" w:sz="8" w:color="BFBFBF"/>
            </w:tcBorders>
            <w:shd w:val="clear" w:color="auto" w:fill="BFBFBF"/>
          </w:tcPr>
          <w:p>
            <w:pPr>
              <w:spacing w:after="0" w:line="20" w:lineRule="exact"/>
              <w:rPr>
                <w:sz w:val="1"/>
                <w:szCs w:val="1"/>
                <w:color w:val="auto"/>
              </w:rPr>
            </w:pPr>
          </w:p>
        </w:tc>
        <w:tc>
          <w:tcPr>
            <w:tcW w:w="2240" w:type="dxa"/>
            <w:vAlign w:val="bottom"/>
            <w:tcBorders>
              <w:right w:val="single" w:sz="8" w:color="BFBFBF"/>
            </w:tcBorders>
            <w:shd w:val="clear" w:color="auto" w:fill="BFBFBF"/>
          </w:tcPr>
          <w:p>
            <w:pPr>
              <w:spacing w:after="0" w:line="20" w:lineRule="exact"/>
              <w:rPr>
                <w:sz w:val="1"/>
                <w:szCs w:val="1"/>
                <w:color w:val="auto"/>
              </w:rPr>
            </w:pPr>
          </w:p>
        </w:tc>
        <w:tc>
          <w:tcPr>
            <w:tcW w:w="2240" w:type="dxa"/>
            <w:vAlign w:val="bottom"/>
            <w:tcBorders>
              <w:right w:val="single" w:sz="8" w:color="BFBFBF"/>
            </w:tcBorders>
            <w:shd w:val="clear" w:color="auto" w:fill="BFBFB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additional payment will be treated as a revision to your contractual entitlements.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acknowledge acceptance of this enhancement, please sign and return one copy of this letter to the XPO House address noted below (to my attention).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queries in relation to this, please do not hesitate to contact 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Adam Parker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 UK &amp;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Adam.Parker@xpo.com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1000" w:val="left"/>
          <w:tab w:leader="none" w:pos="6160" w:val="left"/>
          <w:tab w:leader="none" w:pos="704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/s/ Adam Parker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23495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23495</wp:posOffset>
            </wp:positionV>
            <wp:extent cx="8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23495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23495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23495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23495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23495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23495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23495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23495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23495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23495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23495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23495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23495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23495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23495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23495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23495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23495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23495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23495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23495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23495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23495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23495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23495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23495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23495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23495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23495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23495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23495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23495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23495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23495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23495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23495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23495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23495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23495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23495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23495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23495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23495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23495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23495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23495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23495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23495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23495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23495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23495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23495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23495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23495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23495</wp:posOffset>
            </wp:positionV>
            <wp:extent cx="8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23495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23495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23495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23495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23495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23495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23495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23495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23495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23495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23495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23495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23495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23495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23495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23495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23495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23495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23495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23495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23495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23495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23495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23495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23495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23495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23495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23495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23495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23495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23495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23495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23495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23495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23495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23495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23495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23495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23495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23495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23495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23495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23495</wp:posOffset>
            </wp:positionV>
            <wp:extent cx="8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23495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23495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23495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23495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23495</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23495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23495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23495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23495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23495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23495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23495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23495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23495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23495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23495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23495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23495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23495</wp:posOffset>
            </wp:positionV>
            <wp:extent cx="8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23495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23495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23495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23495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23495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23495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23495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23495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23495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23495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23495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23495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23495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23495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23495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23495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23495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23495</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23495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23495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23495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23495</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23495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23495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23495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23495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23495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23495</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23495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23495</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23495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23495</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23495</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23495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23495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23495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23495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23495</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23495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23495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23495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23495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23495</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23495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23495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23495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23495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23495</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23495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23495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23495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23495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23495</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23495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23495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23495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23495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23495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23495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23495</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23495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23495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23495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23495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23495</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23495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23495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23495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23495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23495</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23495</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23495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23495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23495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23495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23495</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23495</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23495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23495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23495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23495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23495</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23495</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23495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23495</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23495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1487805</wp:posOffset>
            </wp:positionH>
            <wp:positionV relativeFrom="paragraph">
              <wp:posOffset>23495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23495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23495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23495</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23495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23495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23495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23495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23495</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23495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23495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23495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23495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23495</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23495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23495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23495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23495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23495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23495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23495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23495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23495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23495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23495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23495</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23495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23495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23495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23495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23495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23495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23495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23495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23495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23495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23495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23495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23495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23495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23495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23495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23495</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23495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23495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23495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23495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23495</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23495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23495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23495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23495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23495</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23495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23495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23495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23495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23495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23495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23495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23495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23495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23495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23495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23495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23495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23495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23495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23495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23495</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23495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23495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23495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23495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23495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23495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23495</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23495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23495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23495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23495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23495</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23495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23495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23495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23495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23495</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23495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23495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23495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23495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23495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23495</wp:posOffset>
            </wp:positionV>
            <wp:extent cx="82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23495</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23495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23495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23495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23495</wp:posOffset>
            </wp:positionV>
            <wp:extent cx="82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23495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23495</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23495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23495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23495</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23495</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23495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717550</wp:posOffset>
            </wp:positionV>
            <wp:extent cx="5151755" cy="11398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5151755" cy="11398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10.13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7"/>
          <w:szCs w:val="17"/>
          <w:color w:val="auto"/>
        </w:rPr>
        <w:t>XECUTION</w:t>
      </w:r>
      <w:r>
        <w:rPr>
          <w:rFonts w:ascii="Arial" w:cs="Arial" w:eastAsia="Arial" w:hAnsi="Arial"/>
          <w:sz w:val="22"/>
          <w:szCs w:val="22"/>
          <w:color w:val="auto"/>
        </w:rPr>
        <w:t xml:space="preserve"> V</w:t>
      </w:r>
      <w:r>
        <w:rPr>
          <w:rFonts w:ascii="Arial" w:cs="Arial" w:eastAsia="Arial" w:hAnsi="Arial"/>
          <w:sz w:val="17"/>
          <w:szCs w:val="17"/>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585470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542290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CREDIT AGREEMENT</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JUNE 23, 2021</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GXO LOGISTICS,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the Borrower,</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THE LENDERS FROM TIME TO TIME PARTIES HERETO,</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Administrative Agent and an Issuing Lender</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BARCLAYS BANK PLC,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CRÉDIT AGRICOLE CORPORATE AND INVESTMENT BANK,</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Joint Lead Arrangers and Joint Bookrunners</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BARCLAYS BANK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CRÉDIT AGRICOLE CORPORATE AND INVESTMENT BANK,</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381635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100"/>
              <w:spacing w:after="0"/>
              <w:rPr>
                <w:sz w:val="20"/>
                <w:szCs w:val="20"/>
                <w:color w:val="auto"/>
              </w:rPr>
            </w:pPr>
            <w:r>
              <w:rPr>
                <w:rFonts w:ascii="Arial" w:cs="Arial" w:eastAsia="Arial" w:hAnsi="Arial"/>
                <w:sz w:val="22"/>
                <w:szCs w:val="22"/>
                <w:b w:val="1"/>
                <w:bCs w:val="1"/>
                <w:color w:val="auto"/>
                <w:w w:val="97"/>
              </w:rPr>
              <w:t>TABLE OF CONTENTS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5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3080" w:type="dxa"/>
            <w:vAlign w:val="bottom"/>
          </w:tcPr>
          <w:p>
            <w:pPr>
              <w:spacing w:after="0"/>
              <w:rPr>
                <w:sz w:val="6"/>
                <w:szCs w:val="6"/>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22"/>
                <w:szCs w:val="22"/>
                <w:color w:val="auto"/>
              </w:rPr>
              <w:t>P</w:t>
            </w:r>
            <w:r>
              <w:rPr>
                <w:rFonts w:ascii="Arial" w:cs="Arial" w:eastAsia="Arial" w:hAnsi="Arial"/>
                <w:sz w:val="17"/>
                <w:szCs w:val="17"/>
                <w:color w:val="auto"/>
              </w:rPr>
              <w:t>AGE</w:t>
            </w:r>
          </w:p>
        </w:tc>
        <w:tc>
          <w:tcPr>
            <w:tcW w:w="0" w:type="dxa"/>
            <w:vAlign w:val="bottom"/>
          </w:tcPr>
          <w:p>
            <w:pPr>
              <w:spacing w:after="0"/>
              <w:rPr>
                <w:sz w:val="1"/>
                <w:szCs w:val="1"/>
                <w:color w:val="auto"/>
              </w:rPr>
            </w:pPr>
          </w:p>
        </w:tc>
      </w:tr>
      <w:tr>
        <w:trPr>
          <w:trHeight w:val="669"/>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080"/>
              <w:spacing w:after="0"/>
              <w:rPr>
                <w:sz w:val="20"/>
                <w:szCs w:val="20"/>
                <w:color w:val="auto"/>
              </w:rPr>
            </w:pPr>
            <w:r>
              <w:rPr>
                <w:rFonts w:ascii="Arial" w:cs="Arial" w:eastAsia="Arial" w:hAnsi="Arial"/>
                <w:sz w:val="22"/>
                <w:szCs w:val="22"/>
                <w:color w:val="auto"/>
                <w:w w:val="95"/>
              </w:rPr>
              <w:t>ARTICLE 1</w:t>
            </w: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080"/>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1.01</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Certain Defined Terms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1.02</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Reserved</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1.03</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Letter of Credit Amounts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1.04</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Exchange Rates, Basket Calculations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1.05</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Additional Foreign Currencies.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1.06</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Change of Currency.</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080"/>
              <w:spacing w:after="0"/>
              <w:rPr>
                <w:sz w:val="20"/>
                <w:szCs w:val="20"/>
                <w:color w:val="auto"/>
              </w:rPr>
            </w:pPr>
            <w:r>
              <w:rPr>
                <w:rFonts w:ascii="Arial" w:cs="Arial" w:eastAsia="Arial" w:hAnsi="Arial"/>
                <w:sz w:val="22"/>
                <w:szCs w:val="22"/>
                <w:color w:val="auto"/>
                <w:w w:val="95"/>
              </w:rPr>
              <w:t>ARTICLE 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100"/>
              <w:spacing w:after="0"/>
              <w:rPr>
                <w:sz w:val="20"/>
                <w:szCs w:val="20"/>
                <w:color w:val="auto"/>
              </w:rPr>
            </w:pPr>
            <w:r>
              <w:rPr>
                <w:rFonts w:ascii="Arial" w:cs="Arial" w:eastAsia="Arial" w:hAnsi="Arial"/>
                <w:sz w:val="22"/>
                <w:szCs w:val="22"/>
                <w:color w:val="auto"/>
                <w:w w:val="98"/>
              </w:rPr>
              <w:t>T</w:t>
            </w:r>
            <w:r>
              <w:rPr>
                <w:rFonts w:ascii="Arial" w:cs="Arial" w:eastAsia="Arial" w:hAnsi="Arial"/>
                <w:sz w:val="17"/>
                <w:szCs w:val="17"/>
                <w:color w:val="auto"/>
                <w:w w:val="98"/>
              </w:rPr>
              <w:t>HE</w:t>
            </w:r>
            <w:r>
              <w:rPr>
                <w:rFonts w:ascii="Arial" w:cs="Arial" w:eastAsia="Arial" w:hAnsi="Arial"/>
                <w:sz w:val="22"/>
                <w:szCs w:val="22"/>
                <w:color w:val="auto"/>
                <w:w w:val="98"/>
              </w:rPr>
              <w:t xml:space="preserve"> C</w:t>
            </w:r>
            <w:r>
              <w:rPr>
                <w:rFonts w:ascii="Arial" w:cs="Arial" w:eastAsia="Arial" w:hAnsi="Arial"/>
                <w:sz w:val="17"/>
                <w:szCs w:val="17"/>
                <w:color w:val="auto"/>
                <w:w w:val="98"/>
              </w:rPr>
              <w:t>REDITS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2.01</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Description of Facility; Commitment</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2.02</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Facility Termination Date</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2.03</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Letters of Credit.</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2.04</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Types of Advances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2.05</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Fees; Reductions in Aggregate Commitment</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2.06</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Minimum Amount of Each Advance</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2.07</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Prepayments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2.08</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Method of Selecting Types and Interest Periods for New Advances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2.09</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Conversion and Continuation of Outstanding Advances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2.10</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Interest Rates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2.11</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Rates Applicable After Default</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2.12</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Method of Payment</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2.13</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Noteless Agreement; Evidence of Indebtedness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2.14</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Interest Payment Dates; Interest and Fee Basis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293"/>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2.15</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w w:val="97"/>
              </w:rPr>
              <w:t>Notification  of  Advances,  Interest  Rates,  Prepayments  and  Commitment  Reductions;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520" w:type="dxa"/>
            <w:vAlign w:val="bottom"/>
          </w:tcPr>
          <w:p>
            <w:pPr>
              <w:spacing w:after="0"/>
              <w:rPr>
                <w:sz w:val="23"/>
                <w:szCs w:val="23"/>
                <w:color w:val="auto"/>
              </w:rPr>
            </w:pP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Availability of Revolving Loans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2.16</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Lending Installations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2.17</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Payments Generally; Administrative Agent’s Clawback</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2.18</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Replacement of Lender</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2.19</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Sharing of Payments by Lenders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2.20</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Cash Collateral</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2.21</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Defaulting Lenders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2.22</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Incremental Loans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2.23</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Extension</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080"/>
              <w:spacing w:after="0"/>
              <w:rPr>
                <w:sz w:val="20"/>
                <w:szCs w:val="20"/>
                <w:color w:val="auto"/>
              </w:rPr>
            </w:pPr>
            <w:r>
              <w:rPr>
                <w:rFonts w:ascii="Arial" w:cs="Arial" w:eastAsia="Arial" w:hAnsi="Arial"/>
                <w:sz w:val="22"/>
                <w:szCs w:val="22"/>
                <w:color w:val="auto"/>
                <w:w w:val="95"/>
              </w:rPr>
              <w:t>ARTICLE 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60" w:type="dxa"/>
            <w:vAlign w:val="bottom"/>
            <w:gridSpan w:val="2"/>
          </w:tcPr>
          <w:p>
            <w:pPr>
              <w:jc w:val="center"/>
              <w:ind w:right="3080"/>
              <w:spacing w:after="0"/>
              <w:rPr>
                <w:sz w:val="20"/>
                <w:szCs w:val="20"/>
                <w:color w:val="auto"/>
              </w:rPr>
            </w:pPr>
            <w:r>
              <w:rPr>
                <w:rFonts w:ascii="Arial" w:cs="Arial" w:eastAsia="Arial" w:hAnsi="Arial"/>
                <w:sz w:val="22"/>
                <w:szCs w:val="22"/>
                <w:color w:val="auto"/>
              </w:rPr>
              <w:t>Y</w:t>
            </w:r>
            <w:r>
              <w:rPr>
                <w:rFonts w:ascii="Arial" w:cs="Arial" w:eastAsia="Arial" w:hAnsi="Arial"/>
                <w:sz w:val="17"/>
                <w:szCs w:val="17"/>
                <w:color w:val="auto"/>
              </w:rPr>
              <w:t>IELD</w:t>
            </w:r>
            <w:r>
              <w:rPr>
                <w:rFonts w:ascii="Arial" w:cs="Arial" w:eastAsia="Arial" w:hAnsi="Arial"/>
                <w:sz w:val="22"/>
                <w:szCs w:val="22"/>
                <w:color w:val="auto"/>
              </w:rPr>
              <w:t xml:space="preserve"> P</w:t>
            </w:r>
            <w:r>
              <w:rPr>
                <w:rFonts w:ascii="Arial" w:cs="Arial" w:eastAsia="Arial" w:hAnsi="Arial"/>
                <w:sz w:val="17"/>
                <w:szCs w:val="17"/>
                <w:color w:val="auto"/>
              </w:rPr>
              <w:t>ROTECTION;</w:t>
            </w:r>
            <w:r>
              <w:rPr>
                <w:rFonts w:ascii="Arial" w:cs="Arial" w:eastAsia="Arial" w:hAnsi="Arial"/>
                <w:sz w:val="22"/>
                <w:szCs w:val="22"/>
                <w:color w:val="auto"/>
              </w:rPr>
              <w:t xml:space="preserve"> T</w:t>
            </w:r>
            <w:r>
              <w:rPr>
                <w:rFonts w:ascii="Arial" w:cs="Arial" w:eastAsia="Arial" w:hAnsi="Arial"/>
                <w:sz w:val="17"/>
                <w:szCs w:val="17"/>
                <w:color w:val="auto"/>
              </w:rPr>
              <w:t>AXES</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3.01</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rPr>
              <w:t>Yield Protection</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3.02</w:t>
            </w:r>
          </w:p>
        </w:tc>
        <w:tc>
          <w:tcPr>
            <w:tcW w:w="8960" w:type="dxa"/>
            <w:vAlign w:val="bottom"/>
            <w:gridSpan w:val="3"/>
          </w:tcPr>
          <w:p>
            <w:pPr>
              <w:ind w:left="400"/>
              <w:spacing w:after="0"/>
              <w:rPr>
                <w:sz w:val="20"/>
                <w:szCs w:val="20"/>
                <w:color w:val="auto"/>
              </w:rPr>
            </w:pPr>
            <w:r>
              <w:rPr>
                <w:rFonts w:ascii="Arial" w:cs="Arial" w:eastAsia="Arial" w:hAnsi="Arial"/>
                <w:sz w:val="22"/>
                <w:szCs w:val="22"/>
                <w:i w:val="1"/>
                <w:iCs w:val="1"/>
                <w:color w:val="auto"/>
                <w:w w:val="92"/>
              </w:rPr>
              <w:t>Changes in Capital Adequacy Regulations; Certificates for Reimbursement; Delay in Requests.</w:t>
            </w: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80" w:right="35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3.03</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Illegality</w:t>
            </w:r>
          </w:p>
        </w:tc>
        <w:tc>
          <w:tcPr>
            <w:tcW w:w="8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3.04</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Compensation for Losses</w:t>
            </w:r>
          </w:p>
        </w:tc>
        <w:tc>
          <w:tcPr>
            <w:tcW w:w="8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3.05</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Taxes</w:t>
            </w:r>
          </w:p>
        </w:tc>
        <w:tc>
          <w:tcPr>
            <w:tcW w:w="8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3.06</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Mitigation Obligations</w:t>
            </w:r>
          </w:p>
        </w:tc>
        <w:tc>
          <w:tcPr>
            <w:tcW w:w="8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3.07</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w w:val="97"/>
              </w:rPr>
              <w:t>Inability to Determine Rates; Replacing LIBOR; Replacing Other and Future Benchmarks</w:t>
            </w:r>
          </w:p>
        </w:tc>
        <w:tc>
          <w:tcPr>
            <w:tcW w:w="8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3.08</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Survival</w:t>
            </w:r>
          </w:p>
        </w:tc>
        <w:tc>
          <w:tcPr>
            <w:tcW w:w="8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459"/>
        </w:trPr>
        <w:tc>
          <w:tcPr>
            <w:tcW w:w="1520" w:type="dxa"/>
            <w:vAlign w:val="bottom"/>
          </w:tcPr>
          <w:p>
            <w:pPr>
              <w:spacing w:after="0"/>
              <w:rPr>
                <w:sz w:val="24"/>
                <w:szCs w:val="24"/>
                <w:color w:val="auto"/>
              </w:rPr>
            </w:pPr>
          </w:p>
        </w:tc>
        <w:tc>
          <w:tcPr>
            <w:tcW w:w="8840" w:type="dxa"/>
            <w:vAlign w:val="bottom"/>
          </w:tcPr>
          <w:p>
            <w:pPr>
              <w:jc w:val="center"/>
              <w:ind w:right="552"/>
              <w:spacing w:after="0"/>
              <w:rPr>
                <w:sz w:val="20"/>
                <w:szCs w:val="20"/>
                <w:color w:val="auto"/>
              </w:rPr>
            </w:pPr>
            <w:r>
              <w:rPr>
                <w:rFonts w:ascii="Arial" w:cs="Arial" w:eastAsia="Arial" w:hAnsi="Arial"/>
                <w:sz w:val="22"/>
                <w:szCs w:val="22"/>
                <w:color w:val="auto"/>
                <w:w w:val="95"/>
              </w:rPr>
              <w:t>ARTICLE 4</w:t>
            </w:r>
          </w:p>
        </w:tc>
        <w:tc>
          <w:tcPr>
            <w:tcW w:w="840" w:type="dxa"/>
            <w:vAlign w:val="bottom"/>
          </w:tcPr>
          <w:p>
            <w:pPr>
              <w:spacing w:after="0"/>
              <w:rPr>
                <w:sz w:val="24"/>
                <w:szCs w:val="24"/>
                <w:color w:val="auto"/>
              </w:rPr>
            </w:pPr>
          </w:p>
        </w:tc>
      </w:tr>
      <w:tr>
        <w:trPr>
          <w:trHeight w:val="311"/>
        </w:trPr>
        <w:tc>
          <w:tcPr>
            <w:tcW w:w="1520" w:type="dxa"/>
            <w:vAlign w:val="bottom"/>
          </w:tcPr>
          <w:p>
            <w:pPr>
              <w:spacing w:after="0"/>
              <w:rPr>
                <w:sz w:val="24"/>
                <w:szCs w:val="24"/>
                <w:color w:val="auto"/>
              </w:rPr>
            </w:pPr>
          </w:p>
        </w:tc>
        <w:tc>
          <w:tcPr>
            <w:tcW w:w="8840" w:type="dxa"/>
            <w:vAlign w:val="bottom"/>
          </w:tcPr>
          <w:p>
            <w:pPr>
              <w:jc w:val="center"/>
              <w:ind w:right="572"/>
              <w:spacing w:after="0"/>
              <w:rPr>
                <w:sz w:val="20"/>
                <w:szCs w:val="20"/>
                <w:color w:val="auto"/>
              </w:rPr>
            </w:pPr>
            <w:r>
              <w:rPr>
                <w:rFonts w:ascii="Arial" w:cs="Arial" w:eastAsia="Arial" w:hAnsi="Arial"/>
                <w:sz w:val="22"/>
                <w:szCs w:val="22"/>
                <w:color w:val="auto"/>
                <w:w w:val="99"/>
              </w:rPr>
              <w:t>C</w:t>
            </w:r>
            <w:r>
              <w:rPr>
                <w:rFonts w:ascii="Arial" w:cs="Arial" w:eastAsia="Arial" w:hAnsi="Arial"/>
                <w:sz w:val="17"/>
                <w:szCs w:val="17"/>
                <w:color w:val="auto"/>
                <w:w w:val="99"/>
              </w:rPr>
              <w:t>ONDITIONS</w:t>
            </w:r>
            <w:r>
              <w:rPr>
                <w:rFonts w:ascii="Arial" w:cs="Arial" w:eastAsia="Arial" w:hAnsi="Arial"/>
                <w:sz w:val="22"/>
                <w:szCs w:val="22"/>
                <w:color w:val="auto"/>
                <w:w w:val="99"/>
              </w:rPr>
              <w:t xml:space="preserve"> P</w:t>
            </w:r>
            <w:r>
              <w:rPr>
                <w:rFonts w:ascii="Arial" w:cs="Arial" w:eastAsia="Arial" w:hAnsi="Arial"/>
                <w:sz w:val="17"/>
                <w:szCs w:val="17"/>
                <w:color w:val="auto"/>
                <w:w w:val="99"/>
              </w:rPr>
              <w:t>RECEDENT</w:t>
            </w:r>
          </w:p>
        </w:tc>
        <w:tc>
          <w:tcPr>
            <w:tcW w:w="840" w:type="dxa"/>
            <w:vAlign w:val="bottom"/>
          </w:tcPr>
          <w:p>
            <w:pPr>
              <w:spacing w:after="0"/>
              <w:rPr>
                <w:sz w:val="24"/>
                <w:szCs w:val="24"/>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4.01</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Effectiveness</w:t>
            </w:r>
          </w:p>
        </w:tc>
        <w:tc>
          <w:tcPr>
            <w:tcW w:w="8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4.02</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Closing</w:t>
            </w:r>
          </w:p>
        </w:tc>
        <w:tc>
          <w:tcPr>
            <w:tcW w:w="8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4.03</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Each Request for Credit Extension</w:t>
            </w:r>
          </w:p>
        </w:tc>
        <w:tc>
          <w:tcPr>
            <w:tcW w:w="8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459"/>
        </w:trPr>
        <w:tc>
          <w:tcPr>
            <w:tcW w:w="1520" w:type="dxa"/>
            <w:vAlign w:val="bottom"/>
          </w:tcPr>
          <w:p>
            <w:pPr>
              <w:spacing w:after="0"/>
              <w:rPr>
                <w:sz w:val="24"/>
                <w:szCs w:val="24"/>
                <w:color w:val="auto"/>
              </w:rPr>
            </w:pPr>
          </w:p>
        </w:tc>
        <w:tc>
          <w:tcPr>
            <w:tcW w:w="8840" w:type="dxa"/>
            <w:vAlign w:val="bottom"/>
          </w:tcPr>
          <w:p>
            <w:pPr>
              <w:jc w:val="center"/>
              <w:ind w:right="552"/>
              <w:spacing w:after="0"/>
              <w:rPr>
                <w:sz w:val="20"/>
                <w:szCs w:val="20"/>
                <w:color w:val="auto"/>
              </w:rPr>
            </w:pPr>
            <w:r>
              <w:rPr>
                <w:rFonts w:ascii="Arial" w:cs="Arial" w:eastAsia="Arial" w:hAnsi="Arial"/>
                <w:sz w:val="22"/>
                <w:szCs w:val="22"/>
                <w:color w:val="auto"/>
                <w:w w:val="95"/>
              </w:rPr>
              <w:t>ARTICLE 5</w:t>
            </w:r>
          </w:p>
        </w:tc>
        <w:tc>
          <w:tcPr>
            <w:tcW w:w="840" w:type="dxa"/>
            <w:vAlign w:val="bottom"/>
          </w:tcPr>
          <w:p>
            <w:pPr>
              <w:spacing w:after="0"/>
              <w:rPr>
                <w:sz w:val="24"/>
                <w:szCs w:val="24"/>
                <w:color w:val="auto"/>
              </w:rPr>
            </w:pPr>
          </w:p>
        </w:tc>
      </w:tr>
      <w:tr>
        <w:trPr>
          <w:trHeight w:val="311"/>
        </w:trPr>
        <w:tc>
          <w:tcPr>
            <w:tcW w:w="1520" w:type="dxa"/>
            <w:vAlign w:val="bottom"/>
          </w:tcPr>
          <w:p>
            <w:pPr>
              <w:spacing w:after="0"/>
              <w:rPr>
                <w:sz w:val="24"/>
                <w:szCs w:val="24"/>
                <w:color w:val="auto"/>
              </w:rPr>
            </w:pPr>
          </w:p>
        </w:tc>
        <w:tc>
          <w:tcPr>
            <w:tcW w:w="8840" w:type="dxa"/>
            <w:vAlign w:val="bottom"/>
          </w:tcPr>
          <w:p>
            <w:pPr>
              <w:jc w:val="center"/>
              <w:ind w:right="572"/>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w:t>
            </w:r>
          </w:p>
        </w:tc>
        <w:tc>
          <w:tcPr>
            <w:tcW w:w="840" w:type="dxa"/>
            <w:vAlign w:val="bottom"/>
          </w:tcPr>
          <w:p>
            <w:pPr>
              <w:spacing w:after="0"/>
              <w:rPr>
                <w:sz w:val="24"/>
                <w:szCs w:val="24"/>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5.01</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Existence and Standing</w:t>
            </w:r>
          </w:p>
        </w:tc>
        <w:tc>
          <w:tcPr>
            <w:tcW w:w="8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5.02</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Authorization and Validity</w:t>
            </w:r>
          </w:p>
        </w:tc>
        <w:tc>
          <w:tcPr>
            <w:tcW w:w="8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5.03</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No Conflict; Government Consent</w:t>
            </w:r>
          </w:p>
        </w:tc>
        <w:tc>
          <w:tcPr>
            <w:tcW w:w="8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5.04</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Financial Statements</w:t>
            </w:r>
          </w:p>
        </w:tc>
        <w:tc>
          <w:tcPr>
            <w:tcW w:w="8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5.05</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Material Adverse Effect</w:t>
            </w:r>
          </w:p>
        </w:tc>
        <w:tc>
          <w:tcPr>
            <w:tcW w:w="8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5.06</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Solvency</w:t>
            </w:r>
          </w:p>
        </w:tc>
        <w:tc>
          <w:tcPr>
            <w:tcW w:w="8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5.07</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Litigation</w:t>
            </w:r>
          </w:p>
        </w:tc>
        <w:tc>
          <w:tcPr>
            <w:tcW w:w="8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5.08</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Disclosure</w:t>
            </w:r>
          </w:p>
        </w:tc>
        <w:tc>
          <w:tcPr>
            <w:tcW w:w="8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5.09</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Regulation U</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5.10</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Investment Company Act</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5.11</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OFAC, FCPA</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5.12</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Taxes</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5.13</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Affected Financial Institution</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459"/>
        </w:trPr>
        <w:tc>
          <w:tcPr>
            <w:tcW w:w="1520" w:type="dxa"/>
            <w:vAlign w:val="bottom"/>
          </w:tcPr>
          <w:p>
            <w:pPr>
              <w:spacing w:after="0"/>
              <w:rPr>
                <w:sz w:val="24"/>
                <w:szCs w:val="24"/>
                <w:color w:val="auto"/>
              </w:rPr>
            </w:pPr>
          </w:p>
        </w:tc>
        <w:tc>
          <w:tcPr>
            <w:tcW w:w="8840" w:type="dxa"/>
            <w:vAlign w:val="bottom"/>
          </w:tcPr>
          <w:p>
            <w:pPr>
              <w:jc w:val="center"/>
              <w:ind w:right="552"/>
              <w:spacing w:after="0"/>
              <w:rPr>
                <w:sz w:val="20"/>
                <w:szCs w:val="20"/>
                <w:color w:val="auto"/>
              </w:rPr>
            </w:pPr>
            <w:r>
              <w:rPr>
                <w:rFonts w:ascii="Arial" w:cs="Arial" w:eastAsia="Arial" w:hAnsi="Arial"/>
                <w:sz w:val="22"/>
                <w:szCs w:val="22"/>
                <w:color w:val="auto"/>
                <w:w w:val="95"/>
              </w:rPr>
              <w:t>ARTICLE 6</w:t>
            </w:r>
          </w:p>
        </w:tc>
        <w:tc>
          <w:tcPr>
            <w:tcW w:w="840" w:type="dxa"/>
            <w:vAlign w:val="bottom"/>
          </w:tcPr>
          <w:p>
            <w:pPr>
              <w:spacing w:after="0"/>
              <w:rPr>
                <w:sz w:val="24"/>
                <w:szCs w:val="24"/>
                <w:color w:val="auto"/>
              </w:rPr>
            </w:pPr>
          </w:p>
        </w:tc>
      </w:tr>
      <w:tr>
        <w:trPr>
          <w:trHeight w:val="310"/>
        </w:trPr>
        <w:tc>
          <w:tcPr>
            <w:tcW w:w="1520" w:type="dxa"/>
            <w:vAlign w:val="bottom"/>
          </w:tcPr>
          <w:p>
            <w:pPr>
              <w:spacing w:after="0"/>
              <w:rPr>
                <w:sz w:val="24"/>
                <w:szCs w:val="24"/>
                <w:color w:val="auto"/>
              </w:rPr>
            </w:pPr>
          </w:p>
        </w:tc>
        <w:tc>
          <w:tcPr>
            <w:tcW w:w="8840" w:type="dxa"/>
            <w:vAlign w:val="bottom"/>
          </w:tcPr>
          <w:p>
            <w:pPr>
              <w:jc w:val="center"/>
              <w:ind w:right="572"/>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p>
        </w:tc>
        <w:tc>
          <w:tcPr>
            <w:tcW w:w="840" w:type="dxa"/>
            <w:vAlign w:val="bottom"/>
          </w:tcPr>
          <w:p>
            <w:pPr>
              <w:spacing w:after="0"/>
              <w:rPr>
                <w:sz w:val="24"/>
                <w:szCs w:val="24"/>
                <w:color w:val="auto"/>
              </w:rPr>
            </w:pPr>
          </w:p>
        </w:tc>
      </w:tr>
      <w:tr>
        <w:trPr>
          <w:trHeight w:val="459"/>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6.01</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Financial Reporting</w:t>
            </w:r>
          </w:p>
        </w:tc>
        <w:tc>
          <w:tcPr>
            <w:tcW w:w="84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6.02</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Use of Proceeds</w:t>
            </w:r>
          </w:p>
        </w:tc>
        <w:tc>
          <w:tcPr>
            <w:tcW w:w="8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6.03</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Notice of Default</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6.04</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Conduct of Business</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6.05</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Compliance with Laws</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6.06</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Inspection; Keeping of Books and Records</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6.07</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OFAC, FCPA</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6.08</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Maintenance of Material Property and Insurance</w:t>
            </w:r>
          </w:p>
        </w:tc>
        <w:tc>
          <w:tcPr>
            <w:tcW w:w="84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6.09</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Merger</w:t>
            </w:r>
          </w:p>
        </w:tc>
        <w:tc>
          <w:tcPr>
            <w:tcW w:w="84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6.10</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Non-Guarantor Subsidiary Indebtedness</w:t>
            </w:r>
          </w:p>
        </w:tc>
        <w:tc>
          <w:tcPr>
            <w:tcW w:w="84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11"/>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6.11</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Liens</w:t>
            </w:r>
          </w:p>
        </w:tc>
        <w:tc>
          <w:tcPr>
            <w:tcW w:w="84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10"/>
        </w:trPr>
        <w:tc>
          <w:tcPr>
            <w:tcW w:w="1520" w:type="dxa"/>
            <w:vAlign w:val="bottom"/>
          </w:tcPr>
          <w:p>
            <w:pPr>
              <w:spacing w:after="0"/>
              <w:rPr>
                <w:sz w:val="20"/>
                <w:szCs w:val="20"/>
                <w:color w:val="auto"/>
              </w:rPr>
            </w:pPr>
            <w:r>
              <w:rPr>
                <w:rFonts w:ascii="Arial" w:cs="Arial" w:eastAsia="Arial" w:hAnsi="Arial"/>
                <w:sz w:val="22"/>
                <w:szCs w:val="22"/>
                <w:b w:val="1"/>
                <w:bCs w:val="1"/>
                <w:color w:val="auto"/>
              </w:rPr>
              <w:t>Section 6.12</w:t>
            </w:r>
          </w:p>
        </w:tc>
        <w:tc>
          <w:tcPr>
            <w:tcW w:w="8840" w:type="dxa"/>
            <w:vAlign w:val="bottom"/>
          </w:tcPr>
          <w:p>
            <w:pPr>
              <w:ind w:left="400"/>
              <w:spacing w:after="0"/>
              <w:rPr>
                <w:sz w:val="20"/>
                <w:szCs w:val="20"/>
                <w:color w:val="auto"/>
              </w:rPr>
            </w:pPr>
            <w:r>
              <w:rPr>
                <w:rFonts w:ascii="Arial" w:cs="Arial" w:eastAsia="Arial" w:hAnsi="Arial"/>
                <w:sz w:val="22"/>
                <w:szCs w:val="22"/>
                <w:i w:val="1"/>
                <w:iCs w:val="1"/>
                <w:color w:val="auto"/>
              </w:rPr>
              <w:t>Financial Covenant</w:t>
            </w:r>
          </w:p>
        </w:tc>
        <w:tc>
          <w:tcPr>
            <w:tcW w:w="840" w:type="dxa"/>
            <w:vAlign w:val="bottom"/>
          </w:tcPr>
          <w:p>
            <w:pPr>
              <w:jc w:val="right"/>
              <w:spacing w:after="0"/>
              <w:rPr>
                <w:sz w:val="20"/>
                <w:szCs w:val="20"/>
                <w:color w:val="auto"/>
              </w:rPr>
            </w:pPr>
            <w:r>
              <w:rPr>
                <w:rFonts w:ascii="Arial" w:cs="Arial" w:eastAsia="Arial" w:hAnsi="Arial"/>
                <w:sz w:val="22"/>
                <w:szCs w:val="22"/>
                <w:color w:val="auto"/>
              </w:rPr>
              <w:t>84</w:t>
            </w:r>
          </w:p>
        </w:tc>
      </w:tr>
    </w:tbl>
    <w:p>
      <w:pPr>
        <w:spacing w:after="0" w:line="200" w:lineRule="exact"/>
        <w:rPr>
          <w:sz w:val="20"/>
          <w:szCs w:val="20"/>
          <w:color w:val="auto"/>
        </w:rPr>
      </w:pPr>
    </w:p>
    <w:p>
      <w:pPr>
        <w:sectPr>
          <w:pgSz w:w="11900" w:h="16838" w:orient="portrait"/>
          <w:cols w:equalWidth="0" w:num="1">
            <w:col w:w="11200"/>
          </w:cols>
          <w:pgMar w:left="340" w:top="990" w:right="359" w:bottom="9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990" w:right="359" w:bottom="931"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8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6.13</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OFAC, FCPA</w:t>
            </w:r>
          </w:p>
        </w:tc>
        <w:tc>
          <w:tcPr>
            <w:tcW w:w="16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459"/>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5"/>
              </w:rPr>
              <w:t>ARTICLE 7</w:t>
            </w:r>
          </w:p>
        </w:tc>
        <w:tc>
          <w:tcPr>
            <w:tcW w:w="162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9"/>
              </w:rPr>
              <w:t>D</w:t>
            </w:r>
            <w:r>
              <w:rPr>
                <w:rFonts w:ascii="Arial" w:cs="Arial" w:eastAsia="Arial" w:hAnsi="Arial"/>
                <w:sz w:val="17"/>
                <w:szCs w:val="17"/>
                <w:color w:val="auto"/>
                <w:w w:val="99"/>
              </w:rPr>
              <w:t>EFAULTS</w:t>
            </w:r>
          </w:p>
        </w:tc>
        <w:tc>
          <w:tcPr>
            <w:tcW w:w="16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Breach of Representations or Warranties</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Failure to Make Payments When Due</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7.03</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Breach of Covenants</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7.04</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Cross Default</w:t>
            </w:r>
          </w:p>
        </w:tc>
        <w:tc>
          <w:tcPr>
            <w:tcW w:w="16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7.05</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Voluntary Bankruptcy; Appointment of Receiver; Etc</w:t>
            </w:r>
          </w:p>
        </w:tc>
        <w:tc>
          <w:tcPr>
            <w:tcW w:w="16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7.06</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Involuntary Bankruptcy; Appointment of Receiver; Etc</w:t>
            </w:r>
          </w:p>
        </w:tc>
        <w:tc>
          <w:tcPr>
            <w:tcW w:w="16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7.07</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Judgments</w:t>
            </w:r>
          </w:p>
        </w:tc>
        <w:tc>
          <w:tcPr>
            <w:tcW w:w="16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7.08</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Unfunded Liabilities</w:t>
            </w:r>
          </w:p>
        </w:tc>
        <w:tc>
          <w:tcPr>
            <w:tcW w:w="16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7.09</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Change of Control</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7.10</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Other ERISA Liabilities</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7.11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Invalidity of Loan Documents</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7.12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Pre-Closing Change of Control</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459"/>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5"/>
              </w:rPr>
              <w:t>ARTICLE 8</w:t>
            </w:r>
          </w:p>
        </w:tc>
        <w:tc>
          <w:tcPr>
            <w:tcW w:w="16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CCELERATION,</w:t>
            </w:r>
            <w:r>
              <w:rPr>
                <w:rFonts w:ascii="Arial" w:cs="Arial" w:eastAsia="Arial" w:hAnsi="Arial"/>
                <w:sz w:val="22"/>
                <w:szCs w:val="22"/>
                <w:color w:val="auto"/>
              </w:rPr>
              <w:t xml:space="preserve"> W</w:t>
            </w:r>
            <w:r>
              <w:rPr>
                <w:rFonts w:ascii="Arial" w:cs="Arial" w:eastAsia="Arial" w:hAnsi="Arial"/>
                <w:sz w:val="17"/>
                <w:szCs w:val="17"/>
                <w:color w:val="auto"/>
              </w:rPr>
              <w:t>AIVERS,</w:t>
            </w:r>
            <w:r>
              <w:rPr>
                <w:rFonts w:ascii="Arial" w:cs="Arial" w:eastAsia="Arial" w:hAnsi="Arial"/>
                <w:sz w:val="22"/>
                <w:szCs w:val="22"/>
                <w:color w:val="auto"/>
              </w:rPr>
              <w:t xml:space="preserve"> A</w:t>
            </w:r>
            <w:r>
              <w:rPr>
                <w:rFonts w:ascii="Arial" w:cs="Arial" w:eastAsia="Arial" w:hAnsi="Arial"/>
                <w:sz w:val="17"/>
                <w:szCs w:val="17"/>
                <w:color w:val="auto"/>
              </w:rPr>
              <w:t>MENDMENTS AND</w:t>
            </w:r>
            <w:r>
              <w:rPr>
                <w:rFonts w:ascii="Arial" w:cs="Arial" w:eastAsia="Arial" w:hAnsi="Arial"/>
                <w:sz w:val="22"/>
                <w:szCs w:val="22"/>
                <w:color w:val="auto"/>
              </w:rPr>
              <w:t xml:space="preserve"> R</w:t>
            </w:r>
            <w:r>
              <w:rPr>
                <w:rFonts w:ascii="Arial" w:cs="Arial" w:eastAsia="Arial" w:hAnsi="Arial"/>
                <w:sz w:val="17"/>
                <w:szCs w:val="17"/>
                <w:color w:val="auto"/>
              </w:rPr>
              <w:t>EMEDIES</w:t>
            </w:r>
          </w:p>
        </w:tc>
        <w:tc>
          <w:tcPr>
            <w:tcW w:w="16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8.01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Acceleration, Etc</w:t>
            </w:r>
          </w:p>
        </w:tc>
        <w:tc>
          <w:tcPr>
            <w:tcW w:w="16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8.02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Amendments</w:t>
            </w:r>
          </w:p>
        </w:tc>
        <w:tc>
          <w:tcPr>
            <w:tcW w:w="16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8.03</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Preservation of Rights</w:t>
            </w:r>
          </w:p>
        </w:tc>
        <w:tc>
          <w:tcPr>
            <w:tcW w:w="16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459"/>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5"/>
              </w:rPr>
              <w:t>ARTICLE 9</w:t>
            </w:r>
          </w:p>
        </w:tc>
        <w:tc>
          <w:tcPr>
            <w:tcW w:w="162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9"/>
              </w:rPr>
              <w:t>G</w:t>
            </w:r>
            <w:r>
              <w:rPr>
                <w:rFonts w:ascii="Arial" w:cs="Arial" w:eastAsia="Arial" w:hAnsi="Arial"/>
                <w:sz w:val="17"/>
                <w:szCs w:val="17"/>
                <w:color w:val="auto"/>
                <w:w w:val="99"/>
              </w:rPr>
              <w:t>ENERAL</w:t>
            </w:r>
            <w:r>
              <w:rPr>
                <w:rFonts w:ascii="Arial" w:cs="Arial" w:eastAsia="Arial" w:hAnsi="Arial"/>
                <w:sz w:val="22"/>
                <w:szCs w:val="22"/>
                <w:color w:val="auto"/>
                <w:w w:val="99"/>
              </w:rPr>
              <w:t xml:space="preserve"> P</w:t>
            </w:r>
            <w:r>
              <w:rPr>
                <w:rFonts w:ascii="Arial" w:cs="Arial" w:eastAsia="Arial" w:hAnsi="Arial"/>
                <w:sz w:val="17"/>
                <w:szCs w:val="17"/>
                <w:color w:val="auto"/>
                <w:w w:val="99"/>
              </w:rPr>
              <w:t>ROVISIONS</w:t>
            </w:r>
          </w:p>
        </w:tc>
        <w:tc>
          <w:tcPr>
            <w:tcW w:w="16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Survival of Representations</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Governmental Regulation</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9.03</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Headings</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9.04</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Entire Agreement</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9.05</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Several Obligations; Benefits of this Agreement</w:t>
            </w:r>
          </w:p>
        </w:tc>
        <w:tc>
          <w:tcPr>
            <w:tcW w:w="16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9.06</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Expenses; Indemnification</w:t>
            </w:r>
          </w:p>
        </w:tc>
        <w:tc>
          <w:tcPr>
            <w:tcW w:w="162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9.07</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Accounting</w:t>
            </w:r>
          </w:p>
        </w:tc>
        <w:tc>
          <w:tcPr>
            <w:tcW w:w="1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9.08</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Severability of Provisions</w:t>
            </w:r>
          </w:p>
        </w:tc>
        <w:tc>
          <w:tcPr>
            <w:tcW w:w="1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9.09</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Nonliability of Lenders</w:t>
            </w:r>
          </w:p>
        </w:tc>
        <w:tc>
          <w:tcPr>
            <w:tcW w:w="1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9.10</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Confidentiality</w:t>
            </w:r>
          </w:p>
        </w:tc>
        <w:tc>
          <w:tcPr>
            <w:tcW w:w="16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9.11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Nonreliance</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9.12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Disclosure</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459"/>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w w:val="93"/>
              </w:rPr>
              <w:t>ARTICLE 10</w:t>
            </w:r>
          </w:p>
        </w:tc>
        <w:tc>
          <w:tcPr>
            <w:tcW w:w="162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8000" w:type="dxa"/>
            <w:vAlign w:val="bottom"/>
          </w:tcPr>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A</w:t>
            </w:r>
            <w:r>
              <w:rPr>
                <w:rFonts w:ascii="Arial" w:cs="Arial" w:eastAsia="Arial" w:hAnsi="Arial"/>
                <w:sz w:val="17"/>
                <w:szCs w:val="17"/>
                <w:color w:val="auto"/>
              </w:rPr>
              <w:t>DMINISTRATIVE</w:t>
            </w:r>
            <w:r>
              <w:rPr>
                <w:rFonts w:ascii="Arial" w:cs="Arial" w:eastAsia="Arial" w:hAnsi="Arial"/>
                <w:sz w:val="22"/>
                <w:szCs w:val="22"/>
                <w:color w:val="auto"/>
              </w:rPr>
              <w:t xml:space="preserve"> A</w:t>
            </w:r>
            <w:r>
              <w:rPr>
                <w:rFonts w:ascii="Arial" w:cs="Arial" w:eastAsia="Arial" w:hAnsi="Arial"/>
                <w:sz w:val="17"/>
                <w:szCs w:val="17"/>
                <w:color w:val="auto"/>
              </w:rPr>
              <w:t>GENT</w:t>
            </w:r>
          </w:p>
        </w:tc>
        <w:tc>
          <w:tcPr>
            <w:tcW w:w="16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10.01</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Appointment and Authority</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10.02</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Rights as a Lender</w:t>
            </w:r>
          </w:p>
        </w:tc>
        <w:tc>
          <w:tcPr>
            <w:tcW w:w="1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10.03</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Reliance by Administrative Agent</w:t>
            </w:r>
          </w:p>
        </w:tc>
        <w:tc>
          <w:tcPr>
            <w:tcW w:w="16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10.04</w:t>
            </w:r>
          </w:p>
        </w:tc>
        <w:tc>
          <w:tcPr>
            <w:tcW w:w="8000" w:type="dxa"/>
            <w:vAlign w:val="bottom"/>
          </w:tcPr>
          <w:p>
            <w:pPr>
              <w:ind w:left="340"/>
              <w:spacing w:after="0"/>
              <w:rPr>
                <w:sz w:val="20"/>
                <w:szCs w:val="20"/>
                <w:color w:val="auto"/>
              </w:rPr>
            </w:pPr>
            <w:r>
              <w:rPr>
                <w:rFonts w:ascii="Arial" w:cs="Arial" w:eastAsia="Arial" w:hAnsi="Arial"/>
                <w:sz w:val="22"/>
                <w:szCs w:val="22"/>
                <w:i w:val="1"/>
                <w:iCs w:val="1"/>
                <w:color w:val="auto"/>
              </w:rPr>
              <w:t>Exculpatory Provisions</w:t>
            </w:r>
          </w:p>
        </w:tc>
        <w:tc>
          <w:tcPr>
            <w:tcW w:w="1620" w:type="dxa"/>
            <w:vAlign w:val="bottom"/>
          </w:tcPr>
          <w:p>
            <w:pPr>
              <w:jc w:val="right"/>
              <w:spacing w:after="0"/>
              <w:rPr>
                <w:sz w:val="20"/>
                <w:szCs w:val="20"/>
                <w:color w:val="auto"/>
              </w:rPr>
            </w:pPr>
            <w:r>
              <w:rPr>
                <w:rFonts w:ascii="Arial" w:cs="Arial" w:eastAsia="Arial" w:hAnsi="Arial"/>
                <w:sz w:val="22"/>
                <w:szCs w:val="22"/>
                <w:color w:val="auto"/>
              </w:rPr>
              <w:t>96</w:t>
            </w:r>
          </w:p>
        </w:tc>
      </w:tr>
    </w:tbl>
    <w:p>
      <w:pPr>
        <w:spacing w:after="0" w:line="200" w:lineRule="exact"/>
        <w:rPr>
          <w:sz w:val="20"/>
          <w:szCs w:val="20"/>
          <w:color w:val="auto"/>
        </w:rPr>
      </w:pPr>
    </w:p>
    <w:p>
      <w:pPr>
        <w:sectPr>
          <w:pgSz w:w="11900" w:h="16838" w:orient="portrait"/>
          <w:cols w:equalWidth="0" w:num="1">
            <w:col w:w="11200"/>
          </w:cols>
          <w:pgMar w:left="340" w:top="990" w:right="359" w:bottom="6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00"/>
          </w:cols>
          <w:pgMar w:left="340" w:top="990" w:right="359" w:bottom="634"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28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10.05</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Delegation of Duties</w:t>
            </w:r>
          </w:p>
        </w:tc>
        <w:tc>
          <w:tcPr>
            <w:tcW w:w="132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10.06</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Resignation of Administrative Agent</w:t>
            </w:r>
          </w:p>
        </w:tc>
        <w:tc>
          <w:tcPr>
            <w:tcW w:w="13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10.07</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Non-Reliance on Administrative Agent and Other Lenders</w:t>
            </w:r>
          </w:p>
        </w:tc>
        <w:tc>
          <w:tcPr>
            <w:tcW w:w="13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10.08</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No Other Duties, Etc</w:t>
            </w:r>
          </w:p>
        </w:tc>
        <w:tc>
          <w:tcPr>
            <w:tcW w:w="13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10.09</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Administrative Agent May File Proofs of Claim</w:t>
            </w:r>
          </w:p>
        </w:tc>
        <w:tc>
          <w:tcPr>
            <w:tcW w:w="13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10.10</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ERISA</w:t>
            </w:r>
          </w:p>
        </w:tc>
        <w:tc>
          <w:tcPr>
            <w:tcW w:w="13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10.11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Erroneous Payments.</w:t>
            </w:r>
          </w:p>
        </w:tc>
        <w:tc>
          <w:tcPr>
            <w:tcW w:w="13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11</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32"/>
              <w:spacing w:after="0"/>
              <w:rPr>
                <w:sz w:val="20"/>
                <w:szCs w:val="20"/>
                <w:color w:val="auto"/>
              </w:rPr>
            </w:pPr>
            <w:r>
              <w:rPr>
                <w:rFonts w:ascii="Arial" w:cs="Arial" w:eastAsia="Arial" w:hAnsi="Arial"/>
                <w:sz w:val="22"/>
                <w:szCs w:val="22"/>
                <w:color w:val="auto"/>
                <w:w w:val="93"/>
              </w:rPr>
              <w:t>S</w:t>
            </w:r>
            <w:r>
              <w:rPr>
                <w:rFonts w:ascii="Arial" w:cs="Arial" w:eastAsia="Arial" w:hAnsi="Arial"/>
                <w:sz w:val="17"/>
                <w:szCs w:val="17"/>
                <w:color w:val="auto"/>
                <w:w w:val="93"/>
              </w:rPr>
              <w:t>ETOFF</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11.01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Setoff</w:t>
            </w:r>
          </w:p>
        </w:tc>
        <w:tc>
          <w:tcPr>
            <w:tcW w:w="132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12</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9"/>
              </w:rPr>
              <w:t>B</w:t>
            </w:r>
            <w:r>
              <w:rPr>
                <w:rFonts w:ascii="Arial" w:cs="Arial" w:eastAsia="Arial" w:hAnsi="Arial"/>
                <w:sz w:val="17"/>
                <w:szCs w:val="17"/>
                <w:color w:val="auto"/>
                <w:w w:val="99"/>
              </w:rPr>
              <w:t>ENEFIT OF</w:t>
            </w:r>
            <w:r>
              <w:rPr>
                <w:rFonts w:ascii="Arial" w:cs="Arial" w:eastAsia="Arial" w:hAnsi="Arial"/>
                <w:sz w:val="22"/>
                <w:szCs w:val="22"/>
                <w:color w:val="auto"/>
                <w:w w:val="99"/>
              </w:rPr>
              <w:t xml:space="preserve"> A</w:t>
            </w:r>
            <w:r>
              <w:rPr>
                <w:rFonts w:ascii="Arial" w:cs="Arial" w:eastAsia="Arial" w:hAnsi="Arial"/>
                <w:sz w:val="17"/>
                <w:szCs w:val="17"/>
                <w:color w:val="auto"/>
                <w:w w:val="99"/>
              </w:rPr>
              <w:t>GREEMENT;</w:t>
            </w:r>
            <w:r>
              <w:rPr>
                <w:rFonts w:ascii="Arial" w:cs="Arial" w:eastAsia="Arial" w:hAnsi="Arial"/>
                <w:sz w:val="22"/>
                <w:szCs w:val="22"/>
                <w:color w:val="auto"/>
                <w:w w:val="99"/>
              </w:rPr>
              <w:t xml:space="preserve"> A</w:t>
            </w:r>
            <w:r>
              <w:rPr>
                <w:rFonts w:ascii="Arial" w:cs="Arial" w:eastAsia="Arial" w:hAnsi="Arial"/>
                <w:sz w:val="17"/>
                <w:szCs w:val="17"/>
                <w:color w:val="auto"/>
                <w:w w:val="99"/>
              </w:rPr>
              <w:t>SSIGNMENTS;</w:t>
            </w:r>
            <w:r>
              <w:rPr>
                <w:rFonts w:ascii="Arial" w:cs="Arial" w:eastAsia="Arial" w:hAnsi="Arial"/>
                <w:sz w:val="22"/>
                <w:szCs w:val="22"/>
                <w:color w:val="auto"/>
                <w:w w:val="99"/>
              </w:rPr>
              <w:t xml:space="preserve"> P</w:t>
            </w:r>
            <w:r>
              <w:rPr>
                <w:rFonts w:ascii="Arial" w:cs="Arial" w:eastAsia="Arial" w:hAnsi="Arial"/>
                <w:sz w:val="17"/>
                <w:szCs w:val="17"/>
                <w:color w:val="auto"/>
                <w:w w:val="99"/>
              </w:rPr>
              <w:t>ARTICIPATIONS</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12.01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Successors and Assigns</w:t>
            </w:r>
          </w:p>
        </w:tc>
        <w:tc>
          <w:tcPr>
            <w:tcW w:w="13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12.02</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Dissemination of Information</w:t>
            </w:r>
          </w:p>
        </w:tc>
        <w:tc>
          <w:tcPr>
            <w:tcW w:w="13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12.03</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Tax Treatment</w:t>
            </w:r>
          </w:p>
        </w:tc>
        <w:tc>
          <w:tcPr>
            <w:tcW w:w="13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13</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32"/>
              <w:spacing w:after="0"/>
              <w:rPr>
                <w:sz w:val="20"/>
                <w:szCs w:val="20"/>
                <w:color w:val="auto"/>
              </w:rPr>
            </w:pPr>
            <w:r>
              <w:rPr>
                <w:rFonts w:ascii="Arial" w:cs="Arial" w:eastAsia="Arial" w:hAnsi="Arial"/>
                <w:sz w:val="22"/>
                <w:szCs w:val="22"/>
                <w:color w:val="auto"/>
                <w:w w:val="98"/>
              </w:rPr>
              <w:t>N</w:t>
            </w:r>
            <w:r>
              <w:rPr>
                <w:rFonts w:ascii="Arial" w:cs="Arial" w:eastAsia="Arial" w:hAnsi="Arial"/>
                <w:sz w:val="17"/>
                <w:szCs w:val="17"/>
                <w:color w:val="auto"/>
                <w:w w:val="98"/>
              </w:rPr>
              <w:t>OTICES</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13.01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Notices; Effectiveness; Electronic Communication</w:t>
            </w:r>
          </w:p>
        </w:tc>
        <w:tc>
          <w:tcPr>
            <w:tcW w:w="13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14</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9"/>
              </w:rPr>
              <w:t>C</w:t>
            </w:r>
            <w:r>
              <w:rPr>
                <w:rFonts w:ascii="Arial" w:cs="Arial" w:eastAsia="Arial" w:hAnsi="Arial"/>
                <w:sz w:val="17"/>
                <w:szCs w:val="17"/>
                <w:color w:val="auto"/>
                <w:w w:val="99"/>
              </w:rPr>
              <w:t>OUNTERPARTS;</w:t>
            </w:r>
            <w:r>
              <w:rPr>
                <w:rFonts w:ascii="Arial" w:cs="Arial" w:eastAsia="Arial" w:hAnsi="Arial"/>
                <w:sz w:val="22"/>
                <w:szCs w:val="22"/>
                <w:color w:val="auto"/>
                <w:w w:val="99"/>
              </w:rPr>
              <w:t xml:space="preserve"> I</w:t>
            </w:r>
            <w:r>
              <w:rPr>
                <w:rFonts w:ascii="Arial" w:cs="Arial" w:eastAsia="Arial" w:hAnsi="Arial"/>
                <w:sz w:val="17"/>
                <w:szCs w:val="17"/>
                <w:color w:val="auto"/>
                <w:w w:val="99"/>
              </w:rPr>
              <w:t>NTEGRATION;</w:t>
            </w:r>
            <w:r>
              <w:rPr>
                <w:rFonts w:ascii="Arial" w:cs="Arial" w:eastAsia="Arial" w:hAnsi="Arial"/>
                <w:sz w:val="22"/>
                <w:szCs w:val="22"/>
                <w:color w:val="auto"/>
                <w:w w:val="99"/>
              </w:rPr>
              <w:t xml:space="preserve"> E</w:t>
            </w:r>
            <w:r>
              <w:rPr>
                <w:rFonts w:ascii="Arial" w:cs="Arial" w:eastAsia="Arial" w:hAnsi="Arial"/>
                <w:sz w:val="17"/>
                <w:szCs w:val="17"/>
                <w:color w:val="auto"/>
                <w:w w:val="99"/>
              </w:rPr>
              <w:t>FFECTIVENESS;</w:t>
            </w:r>
            <w:r>
              <w:rPr>
                <w:rFonts w:ascii="Arial" w:cs="Arial" w:eastAsia="Arial" w:hAnsi="Arial"/>
                <w:sz w:val="22"/>
                <w:szCs w:val="22"/>
                <w:color w:val="auto"/>
                <w:w w:val="99"/>
              </w:rPr>
              <w:t xml:space="preserve"> E</w:t>
            </w:r>
            <w:r>
              <w:rPr>
                <w:rFonts w:ascii="Arial" w:cs="Arial" w:eastAsia="Arial" w:hAnsi="Arial"/>
                <w:sz w:val="17"/>
                <w:szCs w:val="17"/>
                <w:color w:val="auto"/>
                <w:w w:val="99"/>
              </w:rPr>
              <w:t>LECTRONIC</w:t>
            </w:r>
            <w:r>
              <w:rPr>
                <w:rFonts w:ascii="Arial" w:cs="Arial" w:eastAsia="Arial" w:hAnsi="Arial"/>
                <w:sz w:val="22"/>
                <w:szCs w:val="22"/>
                <w:color w:val="auto"/>
                <w:w w:val="99"/>
              </w:rPr>
              <w:t xml:space="preserve"> E</w:t>
            </w:r>
            <w:r>
              <w:rPr>
                <w:rFonts w:ascii="Arial" w:cs="Arial" w:eastAsia="Arial" w:hAnsi="Arial"/>
                <w:sz w:val="17"/>
                <w:szCs w:val="17"/>
                <w:color w:val="auto"/>
                <w:w w:val="99"/>
              </w:rPr>
              <w:t>XECUTION</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14.01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Counterparts; Effectiveness</w:t>
            </w:r>
          </w:p>
        </w:tc>
        <w:tc>
          <w:tcPr>
            <w:tcW w:w="13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14.02</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Electronic Execution</w:t>
            </w:r>
          </w:p>
        </w:tc>
        <w:tc>
          <w:tcPr>
            <w:tcW w:w="13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15</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9"/>
              </w:rPr>
              <w:t>C</w:t>
            </w:r>
            <w:r>
              <w:rPr>
                <w:rFonts w:ascii="Arial" w:cs="Arial" w:eastAsia="Arial" w:hAnsi="Arial"/>
                <w:sz w:val="17"/>
                <w:szCs w:val="17"/>
                <w:color w:val="auto"/>
                <w:w w:val="99"/>
              </w:rPr>
              <w:t>HOICE OF</w:t>
            </w:r>
            <w:r>
              <w:rPr>
                <w:rFonts w:ascii="Arial" w:cs="Arial" w:eastAsia="Arial" w:hAnsi="Arial"/>
                <w:sz w:val="22"/>
                <w:szCs w:val="22"/>
                <w:color w:val="auto"/>
                <w:w w:val="99"/>
              </w:rPr>
              <w:t xml:space="preserve"> L</w:t>
            </w:r>
            <w:r>
              <w:rPr>
                <w:rFonts w:ascii="Arial" w:cs="Arial" w:eastAsia="Arial" w:hAnsi="Arial"/>
                <w:sz w:val="17"/>
                <w:szCs w:val="17"/>
                <w:color w:val="auto"/>
                <w:w w:val="99"/>
              </w:rPr>
              <w:t>AW;</w:t>
            </w:r>
            <w:r>
              <w:rPr>
                <w:rFonts w:ascii="Arial" w:cs="Arial" w:eastAsia="Arial" w:hAnsi="Arial"/>
                <w:sz w:val="22"/>
                <w:szCs w:val="22"/>
                <w:color w:val="auto"/>
                <w:w w:val="99"/>
              </w:rPr>
              <w:t xml:space="preserve"> C</w:t>
            </w:r>
            <w:r>
              <w:rPr>
                <w:rFonts w:ascii="Arial" w:cs="Arial" w:eastAsia="Arial" w:hAnsi="Arial"/>
                <w:sz w:val="17"/>
                <w:szCs w:val="17"/>
                <w:color w:val="auto"/>
                <w:w w:val="99"/>
              </w:rPr>
              <w:t>ONSENT TO</w:t>
            </w:r>
            <w:r>
              <w:rPr>
                <w:rFonts w:ascii="Arial" w:cs="Arial" w:eastAsia="Arial" w:hAnsi="Arial"/>
                <w:sz w:val="22"/>
                <w:szCs w:val="22"/>
                <w:color w:val="auto"/>
                <w:w w:val="99"/>
              </w:rPr>
              <w:t xml:space="preserve"> J</w:t>
            </w:r>
            <w:r>
              <w:rPr>
                <w:rFonts w:ascii="Arial" w:cs="Arial" w:eastAsia="Arial" w:hAnsi="Arial"/>
                <w:sz w:val="17"/>
                <w:szCs w:val="17"/>
                <w:color w:val="auto"/>
                <w:w w:val="99"/>
              </w:rPr>
              <w:t>URISDICTION;</w:t>
            </w:r>
            <w:r>
              <w:rPr>
                <w:rFonts w:ascii="Arial" w:cs="Arial" w:eastAsia="Arial" w:hAnsi="Arial"/>
                <w:sz w:val="22"/>
                <w:szCs w:val="22"/>
                <w:color w:val="auto"/>
                <w:w w:val="99"/>
              </w:rPr>
              <w:t xml:space="preserve"> W</w:t>
            </w:r>
            <w:r>
              <w:rPr>
                <w:rFonts w:ascii="Arial" w:cs="Arial" w:eastAsia="Arial" w:hAnsi="Arial"/>
                <w:sz w:val="17"/>
                <w:szCs w:val="17"/>
                <w:color w:val="auto"/>
                <w:w w:val="99"/>
              </w:rPr>
              <w:t>AIVER OF</w:t>
            </w:r>
            <w:r>
              <w:rPr>
                <w:rFonts w:ascii="Arial" w:cs="Arial" w:eastAsia="Arial" w:hAnsi="Arial"/>
                <w:sz w:val="22"/>
                <w:szCs w:val="22"/>
                <w:color w:val="auto"/>
                <w:w w:val="99"/>
              </w:rPr>
              <w:t xml:space="preserve"> J</w:t>
            </w:r>
            <w:r>
              <w:rPr>
                <w:rFonts w:ascii="Arial" w:cs="Arial" w:eastAsia="Arial" w:hAnsi="Arial"/>
                <w:sz w:val="17"/>
                <w:szCs w:val="17"/>
                <w:color w:val="auto"/>
                <w:w w:val="99"/>
              </w:rPr>
              <w:t>URY</w:t>
            </w:r>
            <w:r>
              <w:rPr>
                <w:rFonts w:ascii="Arial" w:cs="Arial" w:eastAsia="Arial" w:hAnsi="Arial"/>
                <w:sz w:val="22"/>
                <w:szCs w:val="22"/>
                <w:color w:val="auto"/>
                <w:w w:val="99"/>
              </w:rPr>
              <w:t xml:space="preserve"> T</w:t>
            </w:r>
            <w:r>
              <w:rPr>
                <w:rFonts w:ascii="Arial" w:cs="Arial" w:eastAsia="Arial" w:hAnsi="Arial"/>
                <w:sz w:val="17"/>
                <w:szCs w:val="17"/>
                <w:color w:val="auto"/>
                <w:w w:val="99"/>
              </w:rPr>
              <w:t>RIAL</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Choice of Law</w:t>
            </w:r>
          </w:p>
        </w:tc>
        <w:tc>
          <w:tcPr>
            <w:tcW w:w="13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15.02</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Consent to Jurisdiction</w:t>
            </w:r>
          </w:p>
        </w:tc>
        <w:tc>
          <w:tcPr>
            <w:tcW w:w="13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15.03</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Waiver of Jury Trial</w:t>
            </w:r>
          </w:p>
        </w:tc>
        <w:tc>
          <w:tcPr>
            <w:tcW w:w="13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15.04</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U.S. Patriot Act and Beneficial Ownership Regulation Notice</w:t>
            </w:r>
          </w:p>
        </w:tc>
        <w:tc>
          <w:tcPr>
            <w:tcW w:w="13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15.05</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No Advisory or Fiduciary Responsibility</w:t>
            </w:r>
          </w:p>
        </w:tc>
        <w:tc>
          <w:tcPr>
            <w:tcW w:w="13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15.06</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Judgment Currency</w:t>
            </w:r>
          </w:p>
        </w:tc>
        <w:tc>
          <w:tcPr>
            <w:tcW w:w="13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15.07</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Acknowledgement and Consent to Bail-In of Affected Financial Institutions</w:t>
            </w:r>
          </w:p>
        </w:tc>
        <w:tc>
          <w:tcPr>
            <w:tcW w:w="13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459"/>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3"/>
              </w:rPr>
              <w:t>ARTICLE 16</w:t>
            </w:r>
          </w:p>
        </w:tc>
        <w:tc>
          <w:tcPr>
            <w:tcW w:w="132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8300" w:type="dxa"/>
            <w:vAlign w:val="bottom"/>
          </w:tcPr>
          <w:p>
            <w:pPr>
              <w:jc w:val="center"/>
              <w:ind w:right="152"/>
              <w:spacing w:after="0"/>
              <w:rPr>
                <w:sz w:val="20"/>
                <w:szCs w:val="20"/>
                <w:color w:val="auto"/>
              </w:rPr>
            </w:pPr>
            <w:r>
              <w:rPr>
                <w:rFonts w:ascii="Arial" w:cs="Arial" w:eastAsia="Arial" w:hAnsi="Arial"/>
                <w:sz w:val="22"/>
                <w:szCs w:val="22"/>
                <w:color w:val="auto"/>
                <w:w w:val="96"/>
              </w:rPr>
              <w:t>GUARANTEE</w:t>
            </w:r>
          </w:p>
        </w:tc>
        <w:tc>
          <w:tcPr>
            <w:tcW w:w="1320" w:type="dxa"/>
            <w:vAlign w:val="bottom"/>
          </w:tcPr>
          <w:p>
            <w:pPr>
              <w:spacing w:after="0"/>
              <w:rPr>
                <w:sz w:val="24"/>
                <w:szCs w:val="24"/>
                <w:color w:val="auto"/>
              </w:rPr>
            </w:pP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16.01</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Guarantors</w:t>
            </w:r>
          </w:p>
        </w:tc>
        <w:tc>
          <w:tcPr>
            <w:tcW w:w="13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16.02</w:t>
            </w:r>
          </w:p>
        </w:tc>
        <w:tc>
          <w:tcPr>
            <w:tcW w:w="8300" w:type="dxa"/>
            <w:vAlign w:val="bottom"/>
          </w:tcPr>
          <w:p>
            <w:pPr>
              <w:ind w:left="340"/>
              <w:spacing w:after="0"/>
              <w:rPr>
                <w:sz w:val="20"/>
                <w:szCs w:val="20"/>
                <w:color w:val="auto"/>
              </w:rPr>
            </w:pPr>
            <w:r>
              <w:rPr>
                <w:rFonts w:ascii="Arial" w:cs="Arial" w:eastAsia="Arial" w:hAnsi="Arial"/>
                <w:sz w:val="22"/>
                <w:szCs w:val="22"/>
                <w:i w:val="1"/>
                <w:iCs w:val="1"/>
                <w:color w:val="auto"/>
              </w:rPr>
              <w:t>Guarantee</w:t>
            </w:r>
          </w:p>
        </w:tc>
        <w:tc>
          <w:tcPr>
            <w:tcW w:w="1320" w:type="dxa"/>
            <w:vAlign w:val="bottom"/>
          </w:tcPr>
          <w:p>
            <w:pPr>
              <w:jc w:val="right"/>
              <w:spacing w:after="0"/>
              <w:rPr>
                <w:sz w:val="20"/>
                <w:szCs w:val="20"/>
                <w:color w:val="auto"/>
              </w:rPr>
            </w:pPr>
            <w:r>
              <w:rPr>
                <w:rFonts w:ascii="Arial" w:cs="Arial" w:eastAsia="Arial" w:hAnsi="Arial"/>
                <w:sz w:val="22"/>
                <w:szCs w:val="22"/>
                <w:color w:val="auto"/>
              </w:rPr>
              <w:t>115</w:t>
            </w:r>
          </w:p>
        </w:tc>
      </w:tr>
    </w:tbl>
    <w:p>
      <w:pPr>
        <w:spacing w:after="0" w:line="200" w:lineRule="exact"/>
        <w:rPr>
          <w:sz w:val="20"/>
          <w:szCs w:val="20"/>
          <w:color w:val="auto"/>
        </w:rPr>
      </w:pPr>
    </w:p>
    <w:p>
      <w:pPr>
        <w:sectPr>
          <w:pgSz w:w="11900" w:h="16838" w:orient="portrait"/>
          <w:cols w:equalWidth="0" w:num="1">
            <w:col w:w="11200"/>
          </w:cols>
          <w:pgMar w:left="340" w:top="9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200"/>
          </w:cols>
          <w:pgMar w:left="340" w:top="990" w:right="359"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8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16.03</w:t>
            </w:r>
          </w:p>
        </w:tc>
        <w:tc>
          <w:tcPr>
            <w:tcW w:w="5800" w:type="dxa"/>
            <w:vAlign w:val="bottom"/>
          </w:tcPr>
          <w:p>
            <w:pPr>
              <w:ind w:left="340"/>
              <w:spacing w:after="0"/>
              <w:rPr>
                <w:sz w:val="20"/>
                <w:szCs w:val="20"/>
                <w:color w:val="auto"/>
              </w:rPr>
            </w:pPr>
            <w:r>
              <w:rPr>
                <w:rFonts w:ascii="Arial" w:cs="Arial" w:eastAsia="Arial" w:hAnsi="Arial"/>
                <w:sz w:val="22"/>
                <w:szCs w:val="22"/>
                <w:i w:val="1"/>
                <w:iCs w:val="1"/>
                <w:color w:val="auto"/>
              </w:rPr>
              <w:t>Guaranty Absolute</w:t>
            </w:r>
          </w:p>
        </w:tc>
        <w:tc>
          <w:tcPr>
            <w:tcW w:w="38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16.04</w:t>
            </w:r>
          </w:p>
        </w:tc>
        <w:tc>
          <w:tcPr>
            <w:tcW w:w="5800" w:type="dxa"/>
            <w:vAlign w:val="bottom"/>
          </w:tcPr>
          <w:p>
            <w:pPr>
              <w:ind w:left="340"/>
              <w:spacing w:after="0"/>
              <w:rPr>
                <w:sz w:val="20"/>
                <w:szCs w:val="20"/>
                <w:color w:val="auto"/>
              </w:rPr>
            </w:pPr>
            <w:r>
              <w:rPr>
                <w:rFonts w:ascii="Arial" w:cs="Arial" w:eastAsia="Arial" w:hAnsi="Arial"/>
                <w:sz w:val="22"/>
                <w:szCs w:val="22"/>
                <w:i w:val="1"/>
                <w:iCs w:val="1"/>
                <w:color w:val="auto"/>
              </w:rPr>
              <w:t>Waivers</w:t>
            </w:r>
          </w:p>
        </w:tc>
        <w:tc>
          <w:tcPr>
            <w:tcW w:w="38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11"/>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16.05</w:t>
            </w:r>
          </w:p>
        </w:tc>
        <w:tc>
          <w:tcPr>
            <w:tcW w:w="5800" w:type="dxa"/>
            <w:vAlign w:val="bottom"/>
          </w:tcPr>
          <w:p>
            <w:pPr>
              <w:ind w:left="340"/>
              <w:spacing w:after="0"/>
              <w:rPr>
                <w:sz w:val="20"/>
                <w:szCs w:val="20"/>
                <w:color w:val="auto"/>
              </w:rPr>
            </w:pPr>
            <w:r>
              <w:rPr>
                <w:rFonts w:ascii="Arial" w:cs="Arial" w:eastAsia="Arial" w:hAnsi="Arial"/>
                <w:sz w:val="22"/>
                <w:szCs w:val="22"/>
                <w:i w:val="1"/>
                <w:iCs w:val="1"/>
                <w:color w:val="auto"/>
              </w:rPr>
              <w:t>Continuing Guaranty</w:t>
            </w:r>
          </w:p>
        </w:tc>
        <w:tc>
          <w:tcPr>
            <w:tcW w:w="38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10"/>
        </w:trPr>
        <w:tc>
          <w:tcPr>
            <w:tcW w:w="1580" w:type="dxa"/>
            <w:vAlign w:val="bottom"/>
          </w:tcPr>
          <w:p>
            <w:pPr>
              <w:spacing w:after="0"/>
              <w:rPr>
                <w:sz w:val="20"/>
                <w:szCs w:val="20"/>
                <w:color w:val="auto"/>
              </w:rPr>
            </w:pPr>
            <w:r>
              <w:rPr>
                <w:rFonts w:ascii="Arial" w:cs="Arial" w:eastAsia="Arial" w:hAnsi="Arial"/>
                <w:sz w:val="22"/>
                <w:szCs w:val="22"/>
                <w:b w:val="1"/>
                <w:bCs w:val="1"/>
                <w:color w:val="auto"/>
              </w:rPr>
              <w:t>Section 16.06</w:t>
            </w:r>
          </w:p>
        </w:tc>
        <w:tc>
          <w:tcPr>
            <w:tcW w:w="5800" w:type="dxa"/>
            <w:vAlign w:val="bottom"/>
          </w:tcPr>
          <w:p>
            <w:pPr>
              <w:ind w:left="340"/>
              <w:spacing w:after="0"/>
              <w:rPr>
                <w:sz w:val="20"/>
                <w:szCs w:val="20"/>
                <w:color w:val="auto"/>
              </w:rPr>
            </w:pPr>
            <w:r>
              <w:rPr>
                <w:rFonts w:ascii="Arial" w:cs="Arial" w:eastAsia="Arial" w:hAnsi="Arial"/>
                <w:sz w:val="22"/>
                <w:szCs w:val="22"/>
                <w:i w:val="1"/>
                <w:iCs w:val="1"/>
                <w:color w:val="auto"/>
              </w:rPr>
              <w:t>Release of Guarantors</w:t>
            </w:r>
          </w:p>
        </w:tc>
        <w:tc>
          <w:tcPr>
            <w:tcW w:w="3820" w:type="dxa"/>
            <w:vAlign w:val="bottom"/>
          </w:tcPr>
          <w:p>
            <w:pPr>
              <w:jc w:val="right"/>
              <w:spacing w:after="0"/>
              <w:rPr>
                <w:sz w:val="20"/>
                <w:szCs w:val="20"/>
                <w:color w:val="auto"/>
              </w:rPr>
            </w:pPr>
            <w:r>
              <w:rPr>
                <w:rFonts w:ascii="Arial" w:cs="Arial" w:eastAsia="Arial" w:hAnsi="Arial"/>
                <w:sz w:val="22"/>
                <w:szCs w:val="22"/>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200"/>
          </w:cols>
          <w:pgMar w:left="340" w:top="990" w:right="35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80"/>
        </w:trPr>
        <w:tc>
          <w:tcPr>
            <w:tcW w:w="224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567"/>
        </w:trPr>
        <w:tc>
          <w:tcPr>
            <w:tcW w:w="2240" w:type="dxa"/>
            <w:vAlign w:val="bottom"/>
          </w:tcPr>
          <w:p>
            <w:pPr>
              <w:spacing w:after="0"/>
              <w:rPr>
                <w:sz w:val="20"/>
                <w:szCs w:val="20"/>
                <w:color w:val="auto"/>
              </w:rPr>
            </w:pPr>
            <w:r>
              <w:rPr>
                <w:rFonts w:ascii="Arial" w:cs="Arial" w:eastAsia="Arial" w:hAnsi="Arial"/>
                <w:sz w:val="22"/>
                <w:szCs w:val="22"/>
                <w:color w:val="auto"/>
              </w:rPr>
              <w:t>Exhibit A</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Compliance Certificate</w:t>
            </w:r>
          </w:p>
        </w:tc>
      </w:tr>
      <w:tr>
        <w:trPr>
          <w:trHeight w:val="310"/>
        </w:trPr>
        <w:tc>
          <w:tcPr>
            <w:tcW w:w="2240" w:type="dxa"/>
            <w:vAlign w:val="bottom"/>
          </w:tcPr>
          <w:p>
            <w:pPr>
              <w:spacing w:after="0"/>
              <w:rPr>
                <w:sz w:val="20"/>
                <w:szCs w:val="20"/>
                <w:color w:val="auto"/>
              </w:rPr>
            </w:pPr>
            <w:r>
              <w:rPr>
                <w:rFonts w:ascii="Arial" w:cs="Arial" w:eastAsia="Arial" w:hAnsi="Arial"/>
                <w:sz w:val="22"/>
                <w:szCs w:val="22"/>
                <w:color w:val="auto"/>
              </w:rPr>
              <w:t>Exhibit B</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Assignment and Assumption</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C</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Prepayment Notice</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D</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Promissory Note</w:t>
            </w:r>
          </w:p>
        </w:tc>
      </w:tr>
      <w:tr>
        <w:trPr>
          <w:trHeight w:val="310"/>
        </w:trPr>
        <w:tc>
          <w:tcPr>
            <w:tcW w:w="2240" w:type="dxa"/>
            <w:vAlign w:val="bottom"/>
          </w:tcPr>
          <w:p>
            <w:pPr>
              <w:spacing w:after="0"/>
              <w:rPr>
                <w:sz w:val="20"/>
                <w:szCs w:val="20"/>
                <w:color w:val="auto"/>
              </w:rPr>
            </w:pPr>
            <w:r>
              <w:rPr>
                <w:rFonts w:ascii="Arial" w:cs="Arial" w:eastAsia="Arial" w:hAnsi="Arial"/>
                <w:sz w:val="22"/>
                <w:szCs w:val="22"/>
                <w:color w:val="auto"/>
              </w:rPr>
              <w:t>Exhibit E</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Borrowing Notice</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F</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Conversion/Continuation Notice</w:t>
            </w:r>
          </w:p>
        </w:tc>
      </w:tr>
      <w:tr>
        <w:trPr>
          <w:trHeight w:val="310"/>
        </w:trPr>
        <w:tc>
          <w:tcPr>
            <w:tcW w:w="2240" w:type="dxa"/>
            <w:vAlign w:val="bottom"/>
          </w:tcPr>
          <w:p>
            <w:pPr>
              <w:spacing w:after="0"/>
              <w:rPr>
                <w:sz w:val="20"/>
                <w:szCs w:val="20"/>
                <w:color w:val="auto"/>
              </w:rPr>
            </w:pPr>
            <w:r>
              <w:rPr>
                <w:rFonts w:ascii="Arial" w:cs="Arial" w:eastAsia="Arial" w:hAnsi="Arial"/>
                <w:sz w:val="22"/>
                <w:szCs w:val="22"/>
                <w:color w:val="auto"/>
              </w:rPr>
              <w:t>Exhibit G</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Officer’s Certificate</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H-1</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U.S. Tax Compliance Certificate</w:t>
            </w:r>
          </w:p>
        </w:tc>
      </w:tr>
      <w:tr>
        <w:trPr>
          <w:trHeight w:val="310"/>
        </w:trPr>
        <w:tc>
          <w:tcPr>
            <w:tcW w:w="2240" w:type="dxa"/>
            <w:vAlign w:val="bottom"/>
          </w:tcPr>
          <w:p>
            <w:pPr>
              <w:spacing w:after="0"/>
              <w:rPr>
                <w:sz w:val="20"/>
                <w:szCs w:val="20"/>
                <w:color w:val="auto"/>
              </w:rPr>
            </w:pPr>
            <w:r>
              <w:rPr>
                <w:rFonts w:ascii="Arial" w:cs="Arial" w:eastAsia="Arial" w:hAnsi="Arial"/>
                <w:sz w:val="22"/>
                <w:szCs w:val="22"/>
                <w:color w:val="auto"/>
              </w:rPr>
              <w:t>Exhibit H-2</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U.S. Tax Compliance Certificate</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H-3</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U.S. Tax Compliance Certificate</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Exhibit H-4</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Form of U.S. Tax Compliance Certificate</w:t>
            </w:r>
          </w:p>
        </w:tc>
      </w:tr>
      <w:tr>
        <w:trPr>
          <w:trHeight w:val="567"/>
        </w:trPr>
        <w:tc>
          <w:tcPr>
            <w:tcW w:w="224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567"/>
        </w:trPr>
        <w:tc>
          <w:tcPr>
            <w:tcW w:w="2240" w:type="dxa"/>
            <w:vAlign w:val="bottom"/>
          </w:tcPr>
          <w:p>
            <w:pPr>
              <w:spacing w:after="0"/>
              <w:rPr>
                <w:sz w:val="20"/>
                <w:szCs w:val="20"/>
                <w:color w:val="auto"/>
              </w:rPr>
            </w:pPr>
            <w:r>
              <w:rPr>
                <w:rFonts w:ascii="Arial" w:cs="Arial" w:eastAsia="Arial" w:hAnsi="Arial"/>
                <w:sz w:val="22"/>
                <w:szCs w:val="22"/>
                <w:color w:val="auto"/>
              </w:rPr>
              <w:t>Pricing Schedule</w:t>
            </w: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w w:val="99"/>
              </w:rPr>
              <w:t>Commitment Schedule</w:t>
            </w: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567"/>
        </w:trPr>
        <w:tc>
          <w:tcPr>
            <w:tcW w:w="2240" w:type="dxa"/>
            <w:vAlign w:val="bottom"/>
          </w:tcPr>
          <w:p>
            <w:pPr>
              <w:spacing w:after="0"/>
              <w:rPr>
                <w:sz w:val="20"/>
                <w:szCs w:val="20"/>
                <w:color w:val="auto"/>
              </w:rPr>
            </w:pPr>
            <w:r>
              <w:rPr>
                <w:rFonts w:ascii="Arial" w:cs="Arial" w:eastAsia="Arial" w:hAnsi="Arial"/>
                <w:sz w:val="22"/>
                <w:szCs w:val="22"/>
                <w:color w:val="auto"/>
              </w:rPr>
              <w:t>Schedule 2.03</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Existing Letters of Credit</w:t>
            </w:r>
          </w:p>
        </w:tc>
      </w:tr>
      <w:tr>
        <w:trPr>
          <w:trHeight w:val="310"/>
        </w:trPr>
        <w:tc>
          <w:tcPr>
            <w:tcW w:w="2240" w:type="dxa"/>
            <w:vAlign w:val="bottom"/>
          </w:tcPr>
          <w:p>
            <w:pPr>
              <w:spacing w:after="0"/>
              <w:rPr>
                <w:sz w:val="20"/>
                <w:szCs w:val="20"/>
                <w:color w:val="auto"/>
              </w:rPr>
            </w:pPr>
            <w:r>
              <w:rPr>
                <w:rFonts w:ascii="Arial" w:cs="Arial" w:eastAsia="Arial" w:hAnsi="Arial"/>
                <w:sz w:val="22"/>
                <w:szCs w:val="22"/>
                <w:color w:val="auto"/>
              </w:rPr>
              <w:t>Schedule 6.10</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w w:val="89"/>
              </w:rPr>
              <w:t>Existing Specified Indebtedness for Borrowed Money</w:t>
            </w:r>
          </w:p>
        </w:tc>
      </w:tr>
      <w:tr>
        <w:trPr>
          <w:trHeight w:val="311"/>
        </w:trPr>
        <w:tc>
          <w:tcPr>
            <w:tcW w:w="2240" w:type="dxa"/>
            <w:vAlign w:val="bottom"/>
          </w:tcPr>
          <w:p>
            <w:pPr>
              <w:spacing w:after="0"/>
              <w:rPr>
                <w:sz w:val="20"/>
                <w:szCs w:val="20"/>
                <w:color w:val="auto"/>
              </w:rPr>
            </w:pPr>
            <w:r>
              <w:rPr>
                <w:rFonts w:ascii="Arial" w:cs="Arial" w:eastAsia="Arial" w:hAnsi="Arial"/>
                <w:sz w:val="22"/>
                <w:szCs w:val="22"/>
                <w:color w:val="auto"/>
              </w:rPr>
              <w:t>Schedule 13.01</w:t>
            </w:r>
          </w:p>
        </w:tc>
        <w:tc>
          <w:tcPr>
            <w:tcW w:w="580" w:type="dxa"/>
            <w:vAlign w:val="bottom"/>
          </w:tcPr>
          <w:p>
            <w:pPr>
              <w:ind w:left="260"/>
              <w:spacing w:after="0"/>
              <w:rPr>
                <w:sz w:val="20"/>
                <w:szCs w:val="20"/>
                <w:color w:val="auto"/>
              </w:rPr>
            </w:pPr>
            <w:r>
              <w:rPr>
                <w:rFonts w:ascii="Arial" w:cs="Arial" w:eastAsia="Arial" w:hAnsi="Arial"/>
                <w:sz w:val="22"/>
                <w:szCs w:val="22"/>
                <w:color w:val="auto"/>
              </w:rPr>
              <w:t>–</w:t>
            </w:r>
          </w:p>
        </w:tc>
        <w:tc>
          <w:tcPr>
            <w:tcW w:w="4860" w:type="dxa"/>
            <w:vAlign w:val="bottom"/>
          </w:tcPr>
          <w:p>
            <w:pPr>
              <w:ind w:left="200"/>
              <w:spacing w:after="0"/>
              <w:rPr>
                <w:sz w:val="20"/>
                <w:szCs w:val="20"/>
                <w:color w:val="auto"/>
              </w:rPr>
            </w:pPr>
            <w:r>
              <w:rPr>
                <w:rFonts w:ascii="Arial" w:cs="Arial" w:eastAsia="Arial" w:hAnsi="Arial"/>
                <w:sz w:val="22"/>
                <w:szCs w:val="22"/>
                <w:color w:val="auto"/>
              </w:rPr>
              <w:t>Certain Addresses for Notices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119"/>
          </w:cols>
          <w:pgMar w:left="340" w:top="990"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Credit Agreement, dated as of June 23, 2021, is among GXO Logistics, Inc., a Delaware corporation (the “</w:t>
      </w:r>
      <w:r>
        <w:rPr>
          <w:rFonts w:ascii="Arial" w:cs="Arial" w:eastAsia="Arial" w:hAnsi="Arial"/>
          <w:sz w:val="22"/>
          <w:szCs w:val="22"/>
          <w:b w:val="1"/>
          <w:bCs w:val="1"/>
          <w:color w:val="auto"/>
        </w:rPr>
        <w:t>Borrower</w:t>
      </w:r>
      <w:r>
        <w:rPr>
          <w:rFonts w:ascii="Arial" w:cs="Arial" w:eastAsia="Arial" w:hAnsi="Arial"/>
          <w:sz w:val="22"/>
          <w:szCs w:val="22"/>
          <w:color w:val="auto"/>
        </w:rPr>
        <w:t xml:space="preserve">”), the Guarantors from time to time parties hereto, the institutions from time to time parties hereto as Lenders (whether by execution of this Agreement or an assignment pursuant to </w:t>
      </w:r>
      <w:r>
        <w:rPr>
          <w:rFonts w:ascii="Arial" w:cs="Arial" w:eastAsia="Arial" w:hAnsi="Arial"/>
          <w:sz w:val="22"/>
          <w:szCs w:val="22"/>
          <w:u w:val="single" w:color="auto"/>
          <w:color w:val="auto"/>
        </w:rPr>
        <w:t>Section 12.01</w:t>
      </w:r>
      <w:r>
        <w:rPr>
          <w:rFonts w:ascii="Arial" w:cs="Arial" w:eastAsia="Arial" w:hAnsi="Arial"/>
          <w:sz w:val="22"/>
          <w:szCs w:val="22"/>
          <w:color w:val="auto"/>
        </w:rPr>
        <w:t>), and Citibank, N.A., as Administrative Agent and an Issuing Lender.</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Borrower has requested that the Lenders and the Administrative Agent enter into this Agreement to provide a revolving credit facility to the Borrower for the purposes set forth herein, and the Lenders and the Administrative Agent are willing to do so on the terms and conditions set forth herein. In consideration of the mutual covenants and agreements herein contained, the parties hereto covenant and agree as follows: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EFINITIONS</w:t>
      </w:r>
    </w:p>
    <w:p>
      <w:pPr>
        <w:spacing w:after="0" w:line="14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i w:val="1"/>
          <w:iCs w:val="1"/>
          <w:color w:val="auto"/>
        </w:rPr>
        <w:t>Certain Defined Terms</w:t>
      </w:r>
      <w:r>
        <w:rPr>
          <w:rFonts w:ascii="Arial" w:cs="Arial" w:eastAsia="Arial" w:hAnsi="Arial"/>
          <w:sz w:val="19"/>
          <w:szCs w:val="19"/>
          <w:color w:val="auto"/>
        </w:rPr>
        <w:t>. As used in this Agreement:</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w:t>
      </w:r>
      <w:r>
        <w:rPr>
          <w:rFonts w:ascii="Arial" w:cs="Arial" w:eastAsia="Arial" w:hAnsi="Arial"/>
          <w:sz w:val="19"/>
          <w:szCs w:val="19"/>
          <w:color w:val="auto"/>
        </w:rPr>
        <w:t>” means any transaction or series of related transactions for the purpose of or resulting, directly or indirectly, in (a) the acquisition by the Borrower or any of its Subsidiaries of all or substantially all of the assets of a Person, or of any business or division of a Person, (b) the acquisition by the Borrower or any of its Subsidiaries of in excess of 50% of the capital stock, partnership interests, membership interests or equity of any Person (other than a Person that is a Subsidiary), or otherwise causing any Person to become a Subsidiary of the Borrower, (c) a merger or consolidation or any other combination by the Borrower or any of its Subsidiaries with another Person (other than a Person that is a Subsidiary) provided that the Borrower (or a Person that succeeds to the Borrower pursuant to Section 6.09 in connection with such transaction or series of related transactions) or a Subsidiary of the Borrower (or a Person that becomes a Subsidiary of the Borrower as a result of such transaction) is the surviving entity; provided that any Person that is a Subsidiary at the time of execution of the definitive agreement related to any such transaction or series of related transactions (or, in the case of a tender offer or similar transaction, at the time of filing of the definitive offer document) shall constitute a Subsidiary for purposes of this definition even if in connection with such transaction or series of related transactions, such Person becomes a direct or indirect holding company of the Borrower or (d) the acquisition of real property by the Borrower or any of its Subsidiaries that is expected to be used in whole or in part in the normal operations of the Borrower or its Subsidiaries.</w:t>
      </w:r>
    </w:p>
    <w:p>
      <w:pPr>
        <w:spacing w:after="0" w:line="35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 Debt</w:t>
      </w:r>
      <w:r>
        <w:rPr>
          <w:rFonts w:ascii="Arial" w:cs="Arial" w:eastAsia="Arial" w:hAnsi="Arial"/>
          <w:sz w:val="19"/>
          <w:szCs w:val="19"/>
          <w:color w:val="auto"/>
        </w:rPr>
        <w:t xml:space="preserve">” means any Indebtedness for Borrowed Money of the Borrower or any of its Subsidiaries that has been issued for the purpose of financing, in whole or in part, a Material Acquisition and any related transactions or series of related transactions (including for the purpose of refinancing or replacing all or a portion of any pre-existing Indebtedness for Borrowed Money of the Borrower, any of its Subsidiaries or the Person(s) or assets to be acquired);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(a)(i) the release of the proceeds thereof to the Borrower and its Subsidiaries is contingent upon the consummation of such Material</w:t>
      </w:r>
    </w:p>
    <w:p>
      <w:pPr>
        <w:sectPr>
          <w:pgSz w:w="11900" w:h="16838" w:orient="portrait"/>
          <w:cols w:equalWidth="0" w:num="1">
            <w:col w:w="11240"/>
          </w:cols>
          <w:pgMar w:left="320" w:top="1422" w:right="339" w:bottom="1440" w:gutter="0" w:footer="0" w:header="0"/>
        </w:sectPr>
      </w:pPr>
    </w:p>
    <w:bookmarkStart w:id="208" w:name="page209"/>
    <w:bookmarkEnd w:id="208"/>
    <w:p>
      <w:pPr>
        <w:jc w:val="both"/>
        <w:spacing w:after="0" w:line="286" w:lineRule="auto"/>
        <w:rPr>
          <w:sz w:val="20"/>
          <w:szCs w:val="20"/>
          <w:color w:val="auto"/>
        </w:rPr>
      </w:pPr>
      <w:r>
        <w:rPr>
          <w:rFonts w:ascii="Arial" w:cs="Arial" w:eastAsia="Arial" w:hAnsi="Arial"/>
          <w:sz w:val="19"/>
          <w:szCs w:val="19"/>
          <w:color w:val="auto"/>
        </w:rPr>
        <w:t>Acquisition and, pending such release, such proceeds are held pursuant to an escrow or similar arrangement and (ii) if the definitive agreement (or, in the case of a tender offer or similar transaction, the definitive offer document) for such Material Acquisition is terminated prior to the consummation of such Material Acquisition or if such Material Acquisition is otherwise not consummated by the date specified in the definitive documentation relating to such Indebtedness for Borrowed Money, such proceeds shall be promptly applied to satisfy and discharge all obligations of the Borrower and its Subsidiaries in respect of such Indebtedness for Borrowed Money or (b)(i) such Indebtedness for Borrowed Money contains a “special mandatory redemption” provision (or other similar provision) or otherwise permits such Indebtedness for Borrowed Money to be redeemed or prepaid if such Material Acquisition is not consummated by the date specified in the definitive documentation relating to such Indebtedness for Borrowed Money, and (ii) if the 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Indebtedness for Borrowed Money, such Indebtedness for Borrowed Money is so redeemed or prepaid within ninety (90) days of such termination or such specified date, as the case may be.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Actual Unused Commitments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2.05(a)</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L/C Currency</w:t>
      </w:r>
      <w:r>
        <w:rPr>
          <w:rFonts w:ascii="Arial" w:cs="Arial" w:eastAsia="Arial" w:hAnsi="Arial"/>
          <w:sz w:val="22"/>
          <w:szCs w:val="22"/>
          <w:color w:val="auto"/>
        </w:rPr>
        <w:t>” means each of Malaysian Ringgits, Australian Dollars, Singaporean Dollars, Hong Kong Dollars or any other currency (other than Malaysian Ringgits, Australian Dollars, Singaporean Dollars and Hong Kong Dollars) which is approved in accordance with Section 1.05.</w:t>
      </w:r>
    </w:p>
    <w:p>
      <w:pPr>
        <w:spacing w:after="0" w:line="12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w:t>
      </w:r>
      <w:r>
        <w:rPr>
          <w:rFonts w:ascii="Arial" w:cs="Arial" w:eastAsia="Arial" w:hAnsi="Arial"/>
          <w:sz w:val="19"/>
          <w:szCs w:val="19"/>
          <w:color w:val="auto"/>
        </w:rPr>
        <w:t xml:space="preserve">” means Citibank in its capacity as contractual representative of the Lenders pursuant to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and not in its individual capacity as a Lender, and any successor Administrative Agent appointed pursuant to </w:t>
      </w:r>
      <w:r>
        <w:rPr>
          <w:rFonts w:ascii="Arial" w:cs="Arial" w:eastAsia="Arial" w:hAnsi="Arial"/>
          <w:sz w:val="19"/>
          <w:szCs w:val="19"/>
          <w:u w:val="single" w:color="auto"/>
          <w:color w:val="auto"/>
        </w:rPr>
        <w:t>Article 10</w:t>
      </w:r>
      <w:r>
        <w:rPr>
          <w:rFonts w:ascii="Arial" w:cs="Arial" w:eastAsia="Arial" w:hAnsi="Arial"/>
          <w:sz w:val="19"/>
          <w:szCs w:val="19"/>
          <w:color w:val="auto"/>
        </w:rPr>
        <w:t>.</w:t>
      </w:r>
    </w:p>
    <w:p>
      <w:pPr>
        <w:spacing w:after="0" w:line="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Agent’s Office</w:t>
      </w:r>
      <w:r>
        <w:rPr>
          <w:rFonts w:ascii="Arial" w:cs="Arial" w:eastAsia="Arial" w:hAnsi="Arial"/>
          <w:sz w:val="21"/>
          <w:szCs w:val="21"/>
          <w:color w:val="auto"/>
        </w:rPr>
        <w:t>” means, with respect to any currency, the Administrative Agent’s address and, as appropriate, account as set forth on Schedule 13.01 with respect to such currency, or such other address or account with respect to such currency as the Administrative Agent may from time to time notify to the Borrower and the Lenders.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Advance</w:t>
      </w:r>
      <w:r>
        <w:rPr>
          <w:rFonts w:ascii="Arial" w:cs="Arial" w:eastAsia="Arial" w:hAnsi="Arial"/>
          <w:sz w:val="22"/>
          <w:szCs w:val="22"/>
          <w:color w:val="auto"/>
        </w:rPr>
        <w:t>” means a Revolving Borrowing.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Affected Financial Institution</w:t>
      </w:r>
      <w:r>
        <w:rPr>
          <w:rFonts w:ascii="Arial" w:cs="Arial" w:eastAsia="Arial" w:hAnsi="Arial"/>
          <w:sz w:val="22"/>
          <w:szCs w:val="22"/>
          <w:color w:val="auto"/>
        </w:rPr>
        <w:t>” means (a) any EEA Financial Institution or (b) any UK Financial Institution</w:t>
      </w:r>
      <w:r>
        <w:rPr>
          <w:rFonts w:ascii="Arial" w:cs="Arial" w:eastAsia="Arial" w:hAnsi="Arial"/>
          <w:sz w:val="22"/>
          <w:szCs w:val="22"/>
          <w:b w:val="1"/>
          <w:bCs w:val="1"/>
          <w:i w:val="1"/>
          <w:iCs w:val="1"/>
          <w:color w:val="auto"/>
        </w:rPr>
        <w:t>.</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any Person means any other Person directly or indirectly controlling, controlled by or under common control with such Person. A Person shall be deemed to control another Person if the controlling Person is the “</w:t>
      </w:r>
      <w:r>
        <w:rPr>
          <w:rFonts w:ascii="Arial" w:cs="Arial" w:eastAsia="Arial" w:hAnsi="Arial"/>
          <w:sz w:val="22"/>
          <w:szCs w:val="22"/>
          <w:b w:val="1"/>
          <w:bCs w:val="1"/>
          <w:color w:val="auto"/>
        </w:rPr>
        <w:t>beneficial owner</w:t>
      </w:r>
      <w:r>
        <w:rPr>
          <w:rFonts w:ascii="Arial" w:cs="Arial" w:eastAsia="Arial" w:hAnsi="Arial"/>
          <w:sz w:val="22"/>
          <w:szCs w:val="22"/>
          <w:color w:val="auto"/>
        </w:rPr>
        <w:t>” (as defined in Rule 13d-3 under the Securities Exchange Act of 1934) of ten percent (10%) or more of any class of voting securities (or other voting interests) of the controlled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209" w:name="page210"/>
    <w:bookmarkEnd w:id="209"/>
    <w:p>
      <w:pPr>
        <w:jc w:val="both"/>
        <w:spacing w:after="0" w:line="263" w:lineRule="auto"/>
        <w:rPr>
          <w:sz w:val="20"/>
          <w:szCs w:val="20"/>
          <w:color w:val="auto"/>
        </w:rPr>
      </w:pPr>
      <w:r>
        <w:rPr>
          <w:rFonts w:ascii="Arial" w:cs="Arial" w:eastAsia="Arial" w:hAnsi="Arial"/>
          <w:sz w:val="22"/>
          <w:szCs w:val="22"/>
          <w:color w:val="auto"/>
        </w:rPr>
        <w:t>possesses, directly or indirectly, the power to direct or cause the direction of the management or policies of the controlled Person, whether through ownership of voting securities, by contract or otherwise.</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any of the Administrative Agent, the Arrangers or the Co-Syndication Agents, as appropriate, and “</w:t>
      </w:r>
      <w:r>
        <w:rPr>
          <w:rFonts w:ascii="Arial" w:cs="Arial" w:eastAsia="Arial" w:hAnsi="Arial"/>
          <w:sz w:val="22"/>
          <w:szCs w:val="22"/>
          <w:b w:val="1"/>
          <w:bCs w:val="1"/>
          <w:color w:val="auto"/>
        </w:rPr>
        <w:t>Agents</w:t>
      </w:r>
      <w:r>
        <w:rPr>
          <w:rFonts w:ascii="Arial" w:cs="Arial" w:eastAsia="Arial" w:hAnsi="Arial"/>
          <w:sz w:val="22"/>
          <w:szCs w:val="22"/>
          <w:color w:val="auto"/>
        </w:rPr>
        <w:t>” means, collectively, the Administrative Agent, the Arrangers and the Co-Syndication Agents.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Parties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13.01(c)</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Commitment</w:t>
      </w:r>
      <w:r>
        <w:rPr>
          <w:rFonts w:ascii="Arial" w:cs="Arial" w:eastAsia="Arial" w:hAnsi="Arial"/>
          <w:sz w:val="22"/>
          <w:szCs w:val="22"/>
          <w:color w:val="auto"/>
        </w:rPr>
        <w:t>” means, at any time, the aggregate amount of the Commitments of all of the Lenders at such time, as may be adjusted from time to time pursuant to the terms hereof. The Aggregate Commitment as of the Effective Date is Eight Hundred Million and 00/100 Dollars ($800,000,000.00).</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Outstanding Credit Exposure</w:t>
      </w:r>
      <w:r>
        <w:rPr>
          <w:rFonts w:ascii="Arial" w:cs="Arial" w:eastAsia="Arial" w:hAnsi="Arial"/>
          <w:sz w:val="22"/>
          <w:szCs w:val="22"/>
          <w:color w:val="auto"/>
        </w:rPr>
        <w:t>” means, at any time, the aggregate of the Outstanding Credit Exposure with respect to all of the Lenders at such time.</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Credit Agreement, as it may be amended, restated, supplemented or otherwise modified and as in effect from time to time.</w:t>
      </w:r>
    </w:p>
    <w:p>
      <w:pPr>
        <w:spacing w:after="0" w:line="1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 Accounting Principles</w:t>
      </w:r>
      <w:r>
        <w:rPr>
          <w:rFonts w:ascii="Arial" w:cs="Arial" w:eastAsia="Arial" w:hAnsi="Arial"/>
          <w:sz w:val="21"/>
          <w:szCs w:val="21"/>
          <w:color w:val="auto"/>
        </w:rPr>
        <w:t xml:space="preserve">” means GAAP, applied in a manner consistent with that used in preparing the financial statements of the Borrower referred to in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notwithstanding anything contained in </w:t>
      </w:r>
      <w:r>
        <w:rPr>
          <w:rFonts w:ascii="Arial" w:cs="Arial" w:eastAsia="Arial" w:hAnsi="Arial"/>
          <w:sz w:val="21"/>
          <w:szCs w:val="21"/>
          <w:u w:val="single" w:color="auto"/>
          <w:color w:val="auto"/>
        </w:rPr>
        <w:t>Section 9.07</w:t>
      </w:r>
      <w:r>
        <w:rPr>
          <w:rFonts w:ascii="Arial" w:cs="Arial" w:eastAsia="Arial" w:hAnsi="Arial"/>
          <w:sz w:val="21"/>
          <w:szCs w:val="21"/>
          <w:color w:val="auto"/>
        </w:rPr>
        <w:t xml:space="preserve"> to the contrary, if the Borrower notifies the Administrative Agent that the Borrower requests an amendment to any provision hereof to eliminate the effect of any change in GAAP occurring after the Effective Date (or any change in GAAP that occurred on or prior to the Effective Date but was not reflected in the financial statements included in the Borrower Form 10)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 Currency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15.06</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means, with respect to Advances denominated in Dollars, for any day a fluctuating rate per annum equal to the highest of (a) the Federal Funds Rate plus 1/2 of 1%, (b) the Prime Rate in effect for such day and (c) the one-month Eurocurrency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1.0%. “</w:t>
      </w:r>
      <w:r>
        <w:rPr>
          <w:rFonts w:ascii="Arial" w:cs="Arial" w:eastAsia="Arial" w:hAnsi="Arial"/>
          <w:sz w:val="19"/>
          <w:szCs w:val="19"/>
          <w:b w:val="1"/>
          <w:bCs w:val="1"/>
          <w:color w:val="auto"/>
        </w:rPr>
        <w:t>Prime Rate</w:t>
      </w:r>
      <w:r>
        <w:rPr>
          <w:rFonts w:ascii="Arial" w:cs="Arial" w:eastAsia="Arial" w:hAnsi="Arial"/>
          <w:sz w:val="19"/>
          <w:szCs w:val="19"/>
          <w:color w:val="auto"/>
        </w:rPr>
        <w:t>” means the rate of interest in effect for such day as publicly announced from time to time by Citibank as its “prime rate.” The “prime rate” is a rate set by Citibank based upon various factors including Citibank’s costs and desired return, general economic conditions and other factors, and is used as a reference point for pricing some loans, which may be priced at, above, or below such announced rate. Any change in such rate announced by Citibank shall take effect at the opening of business on the day specified in the public announcement of such change. If the Alternate Base Rate shall be less than zero, such rate shall be deemed zero for all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210" w:name="page211"/>
    <w:bookmarkEnd w:id="210"/>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Alternate Base Rate Advance</w:t>
      </w:r>
      <w:r>
        <w:rPr>
          <w:rFonts w:ascii="Arial" w:cs="Arial" w:eastAsia="Arial" w:hAnsi="Arial"/>
          <w:sz w:val="22"/>
          <w:szCs w:val="22"/>
          <w:color w:val="auto"/>
        </w:rPr>
        <w:t xml:space="preserve">” means an Advance which, except as otherwise provided in </w:t>
      </w:r>
      <w:r>
        <w:rPr>
          <w:rFonts w:ascii="Arial" w:cs="Arial" w:eastAsia="Arial" w:hAnsi="Arial"/>
          <w:sz w:val="22"/>
          <w:szCs w:val="22"/>
          <w:u w:val="single" w:color="auto"/>
          <w:color w:val="auto"/>
        </w:rPr>
        <w:t>Section 2.11</w:t>
      </w:r>
      <w:r>
        <w:rPr>
          <w:rFonts w:ascii="Arial" w:cs="Arial" w:eastAsia="Arial" w:hAnsi="Arial"/>
          <w:sz w:val="22"/>
          <w:szCs w:val="22"/>
          <w:color w:val="auto"/>
        </w:rPr>
        <w:t>, bears interest at the Alternate Base Rate.</w:t>
      </w:r>
    </w:p>
    <w:p>
      <w:pPr>
        <w:spacing w:after="0" w:line="1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Alternate Base Rate Loan</w:t>
      </w:r>
      <w:r>
        <w:rPr>
          <w:rFonts w:ascii="Arial" w:cs="Arial" w:eastAsia="Arial" w:hAnsi="Arial"/>
          <w:sz w:val="21"/>
          <w:szCs w:val="21"/>
          <w:color w:val="auto"/>
        </w:rPr>
        <w:t xml:space="preserve">” means a Revolving Loan, or portion thereof, which, except as otherwise provided in </w:t>
      </w:r>
      <w:r>
        <w:rPr>
          <w:rFonts w:ascii="Arial" w:cs="Arial" w:eastAsia="Arial" w:hAnsi="Arial"/>
          <w:sz w:val="21"/>
          <w:szCs w:val="21"/>
          <w:u w:val="single" w:color="auto"/>
          <w:color w:val="auto"/>
        </w:rPr>
        <w:t>Section 2.11</w:t>
      </w:r>
      <w:r>
        <w:rPr>
          <w:rFonts w:ascii="Arial" w:cs="Arial" w:eastAsia="Arial" w:hAnsi="Arial"/>
          <w:sz w:val="21"/>
          <w:szCs w:val="21"/>
          <w:color w:val="auto"/>
        </w:rPr>
        <w:t>, bears interest at the Alternate Base Rate. All Alternate Base Rate Loans shall be denominated in Dollars.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all laws, rules and regulations of any jurisdiction applicable to the Borrower or any of its Subsidiaries from time to time concerning or relating to bribery, money laundering or corruption, including the United States Foreign Corrupt Practices Act of 1977, as amended.</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Margin</w:t>
      </w:r>
      <w:r>
        <w:rPr>
          <w:rFonts w:ascii="Arial" w:cs="Arial" w:eastAsia="Arial" w:hAnsi="Arial"/>
          <w:sz w:val="22"/>
          <w:szCs w:val="22"/>
          <w:color w:val="auto"/>
        </w:rPr>
        <w:t>” means, with respect to Advances of any Type at any time, the percentage rate per annum which is applicable at such time with respect to Advances of such Type as set forth under the heading “Applicable Margin” in the Pricing Schedule.</w:t>
      </w:r>
    </w:p>
    <w:p>
      <w:pPr>
        <w:spacing w:after="0" w:line="12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Time</w:t>
      </w:r>
      <w:r>
        <w:rPr>
          <w:rFonts w:ascii="Arial" w:cs="Arial" w:eastAsia="Arial" w:hAnsi="Arial"/>
          <w:sz w:val="19"/>
          <w:szCs w:val="19"/>
          <w:color w:val="auto"/>
        </w:rPr>
        <w:t>” means, with respect to any borrowings and payments in any Foreign Currency or Additional L/C Currency, the local time in the place of settlement for such Foreign Currency or Additional L/C Currency as shall be reasonably determined by the Administrative Agent or the applicable Issuing Lender, as the case may be, to be necessary for timely settlement on the relevant date in accordance with normal banking procedures in the place of payment. In advance of the initial borrowing of a Revolving Loan or issuance of a Letter of Credit, in each case, in any Foreign Currency or Additional L/C Currency, the Administrative Agent or the applicable Issuing Lender, as applicable, shall provide the Borrower and Lenders with written notice of the Applicable Time for any borrowings and payments in such Foreign Currency or Additional L/C Currency. In the event no such notice is delivered by the Administrative Agent, the Borrower and any Lender shall be required to make any borrowings and payments in accordance with the times specified herein for borrowings and payments in Dollars.</w:t>
      </w:r>
    </w:p>
    <w:p>
      <w:pPr>
        <w:spacing w:after="0" w:line="9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0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Arrangers</w:t>
      </w:r>
      <w:r>
        <w:rPr>
          <w:rFonts w:ascii="Arial" w:cs="Arial" w:eastAsia="Arial" w:hAnsi="Arial"/>
          <w:sz w:val="22"/>
          <w:szCs w:val="22"/>
          <w:color w:val="auto"/>
        </w:rPr>
        <w:t>” means Citibank, N.A., Barclays Bank PLC, and Crédit Agricole, Corporate and Investment Bank, in their capacity as Joint Lead Arrangers.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w:t>
      </w:r>
      <w:r>
        <w:rPr>
          <w:rFonts w:ascii="Arial" w:cs="Arial" w:eastAsia="Arial" w:hAnsi="Arial"/>
          <w:sz w:val="22"/>
          <w:szCs w:val="22"/>
          <w:color w:val="auto"/>
        </w:rPr>
        <w:t>” means an Article of this Agreement unless another document is specifically referenced.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 12.01</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Australian Dollars</w:t>
      </w:r>
      <w:r>
        <w:rPr>
          <w:rFonts w:ascii="Arial" w:cs="Arial" w:eastAsia="Arial" w:hAnsi="Arial"/>
          <w:sz w:val="22"/>
          <w:szCs w:val="22"/>
          <w:color w:val="auto"/>
        </w:rPr>
        <w:t>” means the lawful currency of the Commonwealth of Australia.</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Authorized Officer</w:t>
      </w:r>
      <w:r>
        <w:rPr>
          <w:rFonts w:ascii="Arial" w:cs="Arial" w:eastAsia="Arial" w:hAnsi="Arial"/>
          <w:sz w:val="19"/>
          <w:szCs w:val="19"/>
          <w:color w:val="auto"/>
        </w:rPr>
        <w:t xml:space="preserve">” means any of the President, the Chairman, the Chief Executive Officer, the Chief Financial Officer, the Chief Accounting Officer, any Vice President, the Treasurer, the Assistant Treasurer, the Controller or the Secretary of the Borrower and, solely for purposes of notices given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any other officer or employee of the Borrower so designated by any of the foregoing officers in a notice to the Administrative Agent or any other officer or employee of the Borrower designated in or pursuant to an agreement between the Borrower and the Administrative Agent, in each case acting in accordance with the terms of the signing authority granted in the Secretary or Assistant Secretary’s certificate delivered to the Administrative Agent pursuant to </w:t>
      </w:r>
      <w:r>
        <w:rPr>
          <w:rFonts w:ascii="Arial" w:cs="Arial" w:eastAsia="Arial" w:hAnsi="Arial"/>
          <w:sz w:val="19"/>
          <w:szCs w:val="19"/>
          <w:u w:val="single" w:color="auto"/>
          <w:color w:val="auto"/>
        </w:rPr>
        <w:t>Section 4.02(h)</w:t>
      </w:r>
      <w:r>
        <w:rPr>
          <w:rFonts w:ascii="Arial" w:cs="Arial" w:eastAsia="Arial" w:hAnsi="Arial"/>
          <w:sz w:val="19"/>
          <w:szCs w:val="19"/>
          <w:color w:val="auto"/>
        </w:rPr>
        <w:t xml:space="preserve"> (including any supplements thereto delivered to the Administrative Agent from time to time by way of an officers’ certificate jointly executed by two Authorized Officers).</w:t>
      </w:r>
    </w:p>
    <w:p>
      <w:pPr>
        <w:spacing w:after="0" w:line="9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Tenor</w:t>
      </w:r>
      <w:r>
        <w:rPr>
          <w:rFonts w:ascii="Arial" w:cs="Arial" w:eastAsia="Arial" w:hAnsi="Arial"/>
          <w:sz w:val="21"/>
          <w:szCs w:val="21"/>
          <w:color w:val="auto"/>
        </w:rPr>
        <w:t>” means, as of any date of determination and with respect to any then-current Benchmark for any currency, as applicable, (x) if any then-current Benchmark for such currency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0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w:t>
      </w:r>
      <w:r>
        <w:rPr>
          <w:rFonts w:ascii="Arial" w:cs="Arial" w:eastAsia="Arial" w:hAnsi="Arial"/>
          <w:sz w:val="22"/>
          <w:szCs w:val="22"/>
          <w:b w:val="1"/>
          <w:bCs w:val="1"/>
          <w:color w:val="auto"/>
        </w:rPr>
        <w:t>employee benefit plan</w:t>
      </w:r>
      <w:r>
        <w:rPr>
          <w:rFonts w:ascii="Arial" w:cs="Arial" w:eastAsia="Arial" w:hAnsi="Arial"/>
          <w:sz w:val="22"/>
          <w:szCs w:val="22"/>
          <w:color w:val="auto"/>
        </w:rPr>
        <w:t>” or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2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w:t>
      </w:r>
      <w:r>
        <w:rPr>
          <w:rFonts w:ascii="Arial" w:cs="Arial" w:eastAsia="Arial" w:hAnsi="Arial"/>
          <w:sz w:val="21"/>
          <w:szCs w:val="21"/>
          <w:color w:val="auto"/>
        </w:rPr>
        <w:t xml:space="preserve">” means, initially (i) with respect to any amounts denominated in Dollars, LIBOR, (ii) with respect to any amounts denominated in Euro, EURIBOR, (iii) with respect to any amounts denominated in Canadian Dollars, CDOR;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replacement of an initial or subsequent Benchmark has occurred pursuant to </w:t>
      </w:r>
      <w:r>
        <w:rPr>
          <w:rFonts w:ascii="Arial" w:cs="Arial" w:eastAsia="Arial" w:hAnsi="Arial"/>
          <w:sz w:val="21"/>
          <w:szCs w:val="21"/>
          <w:u w:val="single" w:color="auto"/>
          <w:color w:val="auto"/>
        </w:rPr>
        <w:t>Section 3.07</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12" w:name="page213"/>
    <w:bookmarkEnd w:id="212"/>
    <w:p>
      <w:pPr>
        <w:jc w:val="both"/>
        <w:spacing w:after="0" w:line="253" w:lineRule="auto"/>
        <w:rPr>
          <w:sz w:val="20"/>
          <w:szCs w:val="20"/>
          <w:color w:val="auto"/>
        </w:rPr>
      </w:pPr>
      <w:r>
        <w:rPr>
          <w:rFonts w:ascii="Arial" w:cs="Arial" w:eastAsia="Arial" w:hAnsi="Arial"/>
          <w:sz w:val="22"/>
          <w:szCs w:val="22"/>
          <w:color w:val="auto"/>
        </w:rPr>
        <w:t>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w:t>
      </w:r>
      <w:r>
        <w:rPr>
          <w:rFonts w:ascii="Arial" w:cs="Arial" w:eastAsia="Arial" w:hAnsi="Arial"/>
          <w:sz w:val="22"/>
          <w:szCs w:val="22"/>
          <w:color w:val="auto"/>
        </w:rPr>
        <w:t>” means, for any Available Tenor:</w:t>
      </w:r>
    </w:p>
    <w:p>
      <w:pPr>
        <w:spacing w:after="0" w:line="172" w:lineRule="exact"/>
        <w:rPr>
          <w:sz w:val="20"/>
          <w:szCs w:val="20"/>
          <w:color w:val="auto"/>
        </w:rPr>
      </w:pPr>
    </w:p>
    <w:p>
      <w:pPr>
        <w:ind w:left="480" w:hanging="472"/>
        <w:spacing w:after="0"/>
        <w:tabs>
          <w:tab w:leader="none" w:pos="4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3.07(b)</w:t>
      </w:r>
      <w:r>
        <w:rPr>
          <w:rFonts w:ascii="Arial" w:cs="Arial" w:eastAsia="Arial" w:hAnsi="Arial"/>
          <w:sz w:val="19"/>
          <w:szCs w:val="19"/>
          <w:color w:val="auto"/>
        </w:rPr>
        <w:t>, the first alternative set forth below that can be determined by the Administrative Agent:</w:t>
      </w:r>
    </w:p>
    <w:p>
      <w:pPr>
        <w:spacing w:after="0" w:line="200" w:lineRule="exact"/>
        <w:rPr>
          <w:rFonts w:ascii="Arial" w:cs="Arial" w:eastAsia="Arial" w:hAnsi="Arial"/>
          <w:sz w:val="19"/>
          <w:szCs w:val="19"/>
          <w:color w:val="auto"/>
        </w:rPr>
      </w:pPr>
    </w:p>
    <w:p>
      <w:pPr>
        <w:ind w:left="1300" w:hanging="644"/>
        <w:spacing w:after="0" w:line="246" w:lineRule="auto"/>
        <w:tabs>
          <w:tab w:leader="none" w:pos="1132"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provided, that if any Available Tenor of LIBOR does not correspond to an Available Tenor of Term SOFR, the Benchmark Replacement for such Available Tenor of LIBOR shall be the closest corresponding Available Tenor (based on tenor) for Term SOFR and if such Available Tenor of LIBOR corresponds equally to two Available Tenors of Term SOFR, the corresponding tenor of Term SOFR with the shorter duration shall be applied, or</w:t>
      </w:r>
    </w:p>
    <w:p>
      <w:pPr>
        <w:spacing w:after="0" w:line="139" w:lineRule="exact"/>
        <w:rPr>
          <w:rFonts w:ascii="Arial" w:cs="Arial" w:eastAsia="Arial" w:hAnsi="Arial"/>
          <w:sz w:val="22"/>
          <w:szCs w:val="22"/>
          <w:color w:val="auto"/>
        </w:rPr>
      </w:pPr>
    </w:p>
    <w:p>
      <w:pPr>
        <w:jc w:val="both"/>
        <w:ind w:left="1300" w:hanging="644"/>
        <w:spacing w:after="0" w:line="265" w:lineRule="auto"/>
        <w:tabs>
          <w:tab w:leader="none" w:pos="1272" w:val="left"/>
        </w:tabs>
        <w:numPr>
          <w:ilvl w:val="1"/>
          <w:numId w:val="156"/>
        </w:numPr>
        <w:rPr>
          <w:rFonts w:ascii="Arial" w:cs="Arial" w:eastAsia="Arial" w:hAnsi="Arial"/>
          <w:sz w:val="21"/>
          <w:szCs w:val="21"/>
          <w:color w:val="auto"/>
        </w:rPr>
      </w:pPr>
      <w:r>
        <w:rPr>
          <w:rFonts w:ascii="Arial" w:cs="Arial" w:eastAsia="Arial" w:hAnsi="Arial"/>
          <w:sz w:val="21"/>
          <w:szCs w:val="21"/>
          <w:color w:val="auto"/>
        </w:rPr>
        <w:t xml:space="preserve">the sum of: (i) Daily Simple SOFR and (ii) the spread adjustment selected or recommended by the Relevant Governmental Body for the replacement of the tenor of LIBOR with a SOFR-based rate having approximately the same length as the interest payment period specified in clause (b) of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(which spread adjustment, for the avoidance of doubt, shall be 0.26161% (26.161 basis points)); and;</w:t>
      </w:r>
    </w:p>
    <w:p>
      <w:pPr>
        <w:spacing w:after="0" w:line="121" w:lineRule="exact"/>
        <w:rPr>
          <w:rFonts w:ascii="Arial" w:cs="Arial" w:eastAsia="Arial" w:hAnsi="Arial"/>
          <w:sz w:val="21"/>
          <w:szCs w:val="21"/>
          <w:color w:val="auto"/>
        </w:rPr>
      </w:pPr>
    </w:p>
    <w:p>
      <w:pPr>
        <w:ind w:left="660" w:hanging="652"/>
        <w:spacing w:after="0" w:line="297" w:lineRule="auto"/>
        <w:tabs>
          <w:tab w:leader="none" w:pos="48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For purposes of clause (c) of </w:t>
      </w:r>
      <w:r>
        <w:rPr>
          <w:rFonts w:ascii="Arial" w:cs="Arial" w:eastAsia="Arial" w:hAnsi="Arial"/>
          <w:sz w:val="19"/>
          <w:szCs w:val="19"/>
          <w:u w:val="single" w:color="auto"/>
          <w:color w:val="auto"/>
        </w:rPr>
        <w:t>Section 3.07</w:t>
      </w:r>
      <w:r>
        <w:rPr>
          <w:rFonts w:ascii="Arial" w:cs="Arial" w:eastAsia="Arial" w:hAnsi="Arial"/>
          <w:sz w:val="19"/>
          <w:szCs w:val="19"/>
          <w:color w:val="auto"/>
        </w:rPr>
        <w:t>, 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syndicated credit facilities at such time denominated in the applicable currency in the U.S. syndicated loan market;</w:t>
      </w:r>
    </w:p>
    <w:p>
      <w:pPr>
        <w:spacing w:after="0" w:line="84" w:lineRule="exact"/>
        <w:rPr>
          <w:sz w:val="20"/>
          <w:szCs w:val="20"/>
          <w:color w:val="auto"/>
        </w:rPr>
      </w:pPr>
    </w:p>
    <w:p>
      <w:pPr>
        <w:jc w:val="both"/>
        <w:ind w:left="660" w:right="20" w:hanging="647"/>
        <w:spacing w:after="0" w:line="287" w:lineRule="auto"/>
        <w:rPr>
          <w:sz w:val="20"/>
          <w:szCs w:val="20"/>
          <w:color w:val="auto"/>
        </w:rPr>
      </w:pPr>
      <w:r>
        <w:rPr>
          <w:rFonts w:ascii="Arial" w:cs="Arial" w:eastAsia="Arial" w:hAnsi="Arial"/>
          <w:sz w:val="19"/>
          <w:szCs w:val="19"/>
          <w:color w:val="auto"/>
        </w:rPr>
        <w:t>provided that, if the Benchmark Replacement as determined pursuant to clause (1) or (2) above would be less than the Floor, the Benchmark Replacement will be deemed to be the Floor for the purposes of this Agreement and the other Loan Documents.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Conforming Changes</w:t>
      </w:r>
      <w:r>
        <w:rPr>
          <w:rFonts w:ascii="Arial" w:cs="Arial" w:eastAsia="Arial" w:hAnsi="Arial"/>
          <w:sz w:val="22"/>
          <w:szCs w:val="22"/>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13" w:name="page214"/>
    <w:bookmarkEnd w:id="213"/>
    <w:p>
      <w:pPr>
        <w:jc w:val="both"/>
        <w:spacing w:after="0" w:line="288" w:lineRule="auto"/>
        <w:rPr>
          <w:sz w:val="20"/>
          <w:szCs w:val="20"/>
          <w:color w:val="auto"/>
        </w:rPr>
      </w:pPr>
      <w:r>
        <w:rPr>
          <w:rFonts w:ascii="Arial" w:cs="Arial" w:eastAsia="Arial" w:hAnsi="Arial"/>
          <w:sz w:val="19"/>
          <w:szCs w:val="19"/>
          <w:color w:val="auto"/>
        </w:rPr>
        <w:t>continuation notices, the applicability and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its reasonable discretion is reasonably necessary in connection with the administration of this Agreement and the other Loan Documents).</w:t>
      </w:r>
    </w:p>
    <w:p>
      <w:pPr>
        <w:spacing w:after="0" w:line="9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Transition Event</w:t>
      </w:r>
      <w:r>
        <w:rPr>
          <w:rFonts w:ascii="Arial" w:cs="Arial" w:eastAsia="Arial" w:hAnsi="Arial"/>
          <w:sz w:val="19"/>
          <w:szCs w:val="19"/>
          <w:color w:val="auto"/>
        </w:rPr>
        <w:t xml:space="preserve">” means, with respect to any then-current Benchmark other than LIBOR, the occurrence of one or more of the following events: a public statement or publication of information by or on behalf of the administrator of any then-current Benchmark, the regulatory supervisor for the administrator of such Benchmark, the Board of Governors of the Federal Reserve System, the Federal Reserve Bank of New York, the central bank for the currency applicable to such Benchmark,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means 31 C.F.R. § 1010.230.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is defined in the preamble hereto.</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Form 10</w:t>
      </w:r>
      <w:r>
        <w:rPr>
          <w:rFonts w:ascii="Arial" w:cs="Arial" w:eastAsia="Arial" w:hAnsi="Arial"/>
          <w:sz w:val="22"/>
          <w:szCs w:val="22"/>
          <w:color w:val="auto"/>
        </w:rPr>
        <w:t>” means the Borrower’s Registration Statement on Form 10 (including the information statement and the other exhibits contemplated thereby, in each case, in the form and to the extent so filed), in the form most recently filed (whether or not publicly) with the SEC pursuant to the Securities Exchange Act of 1934, as it may be amended or supplemented from time to time after the original filing thereof and prior to the Effective Date.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Materials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Date</w:t>
      </w:r>
      <w:r>
        <w:rPr>
          <w:rFonts w:ascii="Arial" w:cs="Arial" w:eastAsia="Arial" w:hAnsi="Arial"/>
          <w:sz w:val="22"/>
          <w:szCs w:val="22"/>
          <w:color w:val="auto"/>
        </w:rPr>
        <w:t>” means a date on which an Advance is made or a Letter of Credit is issued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14" w:name="page215"/>
    <w:bookmarkEnd w:id="21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or Sunday) on which banks are generally open in New York, New York for the conduct of substantially all of their commercial lending activities and interbank wire transfers can be made on the Fedwire system (or any other equivalent wire system) and:</w:t>
      </w:r>
    </w:p>
    <w:p>
      <w:pPr>
        <w:spacing w:after="0" w:line="128" w:lineRule="exact"/>
        <w:rPr>
          <w:sz w:val="20"/>
          <w:szCs w:val="20"/>
          <w:color w:val="auto"/>
        </w:rPr>
      </w:pPr>
    </w:p>
    <w:p>
      <w:pPr>
        <w:jc w:val="both"/>
        <w:ind w:firstLine="656"/>
        <w:spacing w:after="0" w:line="250" w:lineRule="auto"/>
        <w:tabs>
          <w:tab w:leader="none" w:pos="97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that is also a London Banking Day;</w:t>
      </w:r>
    </w:p>
    <w:p>
      <w:pPr>
        <w:spacing w:after="0" w:line="133" w:lineRule="exact"/>
        <w:rPr>
          <w:rFonts w:ascii="Arial" w:cs="Arial" w:eastAsia="Arial" w:hAnsi="Arial"/>
          <w:sz w:val="22"/>
          <w:szCs w:val="22"/>
          <w:color w:val="auto"/>
        </w:rPr>
      </w:pPr>
    </w:p>
    <w:p>
      <w:pPr>
        <w:jc w:val="both"/>
        <w:ind w:firstLine="656"/>
        <w:spacing w:after="0" w:line="312" w:lineRule="auto"/>
        <w:tabs>
          <w:tab w:leader="none" w:pos="96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such day relates to any interest rate settings as to a Eurocurrency Loan denominated in Euro, including EURIBOR, any fundings, disbursements, settlements and payments in Euros in respect of any such Eurocurrency Loan, or any other dealings in Euros to be carried out pursuant to this Agreement in respect of any such Eurocurrency Loan, means a TARGET Day;</w:t>
      </w:r>
    </w:p>
    <w:p>
      <w:pPr>
        <w:spacing w:after="0" w:line="79" w:lineRule="exact"/>
        <w:rPr>
          <w:rFonts w:ascii="Arial" w:cs="Arial" w:eastAsia="Arial" w:hAnsi="Arial"/>
          <w:sz w:val="19"/>
          <w:szCs w:val="19"/>
          <w:color w:val="auto"/>
        </w:rPr>
      </w:pPr>
    </w:p>
    <w:p>
      <w:pPr>
        <w:jc w:val="both"/>
        <w:ind w:firstLine="656"/>
        <w:spacing w:after="0" w:line="248" w:lineRule="auto"/>
        <w:tabs>
          <w:tab w:leader="none" w:pos="94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if such day relates to any interest rate settings as to a Eurocurrency Loan denominated in Canadian Dollars, including CDOR, any fundings, disbursements, settlements and payments in Canadian Dollars in respect of any such Eurocurrency Loan, or any other dealings in Canadian Dollars to be carried out pursuant to this Agreement in respect of any such Eurocurrency Loan, a day on which dealings in deposits in the relevant currency are conducted by and between banks may be carried on in Toronto, Canada;</w:t>
      </w:r>
    </w:p>
    <w:p>
      <w:pPr>
        <w:spacing w:after="0" w:line="137" w:lineRule="exact"/>
        <w:rPr>
          <w:rFonts w:ascii="Arial" w:cs="Arial" w:eastAsia="Arial" w:hAnsi="Arial"/>
          <w:sz w:val="22"/>
          <w:szCs w:val="22"/>
          <w:color w:val="auto"/>
        </w:rPr>
      </w:pPr>
    </w:p>
    <w:p>
      <w:pPr>
        <w:jc w:val="both"/>
        <w:ind w:firstLine="656"/>
        <w:spacing w:after="0" w:line="271" w:lineRule="auto"/>
        <w:tabs>
          <w:tab w:leader="none" w:pos="99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if such day relates to any interest rate settings as to a Eurocurrency Loan denominated in a currency other than Dollars, Euros or Canadian Dollars, means any such day on which dealings in deposits in the relevant currency are conducted by and between banks in the London or other applicable offshore interbank market for such currency; and</w:t>
      </w:r>
    </w:p>
    <w:p>
      <w:pPr>
        <w:spacing w:after="0" w:line="113" w:lineRule="exact"/>
        <w:rPr>
          <w:rFonts w:ascii="Arial" w:cs="Arial" w:eastAsia="Arial" w:hAnsi="Arial"/>
          <w:sz w:val="21"/>
          <w:szCs w:val="21"/>
          <w:color w:val="auto"/>
        </w:rPr>
      </w:pPr>
    </w:p>
    <w:p>
      <w:pPr>
        <w:jc w:val="both"/>
        <w:ind w:firstLine="656"/>
        <w:spacing w:after="0" w:line="297" w:lineRule="auto"/>
        <w:tabs>
          <w:tab w:leader="none" w:pos="94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such day relates to any fundings, disbursements, settlements and payments in a currency other than Dollars, Euros or Canadian Dollars in respect of a Eurocurrency Loan denominated in a currency other than Dollars, Euros or Canadian Dollars, or any other dealings in any currency other than Dollars, Euros or Canadian Dollars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Dollars</w:t>
      </w:r>
      <w:r>
        <w:rPr>
          <w:rFonts w:ascii="Arial" w:cs="Arial" w:eastAsia="Arial" w:hAnsi="Arial"/>
          <w:sz w:val="22"/>
          <w:szCs w:val="22"/>
          <w:color w:val="auto"/>
        </w:rPr>
        <w:t>” and “</w:t>
      </w:r>
      <w:r>
        <w:rPr>
          <w:rFonts w:ascii="Arial" w:cs="Arial" w:eastAsia="Arial" w:hAnsi="Arial"/>
          <w:sz w:val="22"/>
          <w:szCs w:val="22"/>
          <w:b w:val="1"/>
          <w:bCs w:val="1"/>
          <w:color w:val="auto"/>
        </w:rPr>
        <w:t>C$</w:t>
      </w:r>
      <w:r>
        <w:rPr>
          <w:rFonts w:ascii="Arial" w:cs="Arial" w:eastAsia="Arial" w:hAnsi="Arial"/>
          <w:sz w:val="22"/>
          <w:szCs w:val="22"/>
          <w:color w:val="auto"/>
        </w:rPr>
        <w:t>” means dollars in the lawful currency of Canada.</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Lease</w:t>
      </w:r>
      <w:r>
        <w:rPr>
          <w:rFonts w:ascii="Arial" w:cs="Arial" w:eastAsia="Arial" w:hAnsi="Arial"/>
          <w:sz w:val="19"/>
          <w:szCs w:val="19"/>
          <w:color w:val="auto"/>
        </w:rPr>
        <w:t>” of a Person means any lease of Property by such Person as lessee which would be capitalized on a balance sheet of such Person prepared in accordance with Agreement Accounting Principles; provided that notwithstanding anything contained in the definition of Agreement Accounting Principles to the contrary, unless the Borrower otherwise elects by delivery of a notice to the Administrative Agent, all leases of any Person that are or would be characterized as operating leases in accordance with GAAP as in effect in the United States on January 31, 2018 (whether or not such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2" w:right="339" w:bottom="1440" w:gutter="0" w:footer="0" w:header="0"/>
        </w:sectPr>
      </w:pPr>
    </w:p>
    <w:bookmarkStart w:id="215" w:name="page216"/>
    <w:bookmarkEnd w:id="215"/>
    <w:p>
      <w:pPr>
        <w:jc w:val="both"/>
        <w:spacing w:after="0" w:line="253" w:lineRule="auto"/>
        <w:rPr>
          <w:sz w:val="20"/>
          <w:szCs w:val="20"/>
          <w:color w:val="auto"/>
        </w:rPr>
      </w:pPr>
      <w:r>
        <w:rPr>
          <w:rFonts w:ascii="Arial" w:cs="Arial" w:eastAsia="Arial" w:hAnsi="Arial"/>
          <w:sz w:val="22"/>
          <w:szCs w:val="22"/>
          <w:color w:val="auto"/>
        </w:rPr>
        <w:t>were in effect on such date) shall continue to be accounted for as operating leases (and not as Capitalized Leases) for purposes of this Agreement regardless of any change in GAAP following the date that would otherwise require such obligations to be recharacterized as Capitalized Leases.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Capitalized Lease Obligations</w:t>
      </w:r>
      <w:r>
        <w:rPr>
          <w:rFonts w:ascii="Arial" w:cs="Arial" w:eastAsia="Arial" w:hAnsi="Arial"/>
          <w:sz w:val="21"/>
          <w:szCs w:val="21"/>
          <w:color w:val="auto"/>
        </w:rPr>
        <w:t>” of a Person means the amount of the obligations of such Person under Capitalized Leases which would be shown as a liability on a balance sheet of such Person prepared in accordance with Agreement Accounting Principles; provided that notwithstanding anything contained in the definition of Agreement Accounting Principles to the contrary, unless the Borrower otherwise elects by delivery of a notice delivered to the Administrative Agent, all obligations under any leases of any Person that are or would be characterized as operating lease obligations in accordance with GAAP as in effect in the United States on January 31, 2018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1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Collateralize</w:t>
      </w:r>
      <w:r>
        <w:rPr>
          <w:rFonts w:ascii="Arial" w:cs="Arial" w:eastAsia="Arial" w:hAnsi="Arial"/>
          <w:sz w:val="19"/>
          <w:szCs w:val="19"/>
          <w:color w:val="auto"/>
        </w:rPr>
        <w:t>” means to pledge and deposit with or deliver to the Administrative Agent, for the benefit of one or more of the Issuing Lenders or Lenders, as collateral for L/C Obligations or obligations of Lenders to fund participations in respect of L/C Obligations, cash or deposit account balances, in each case denominated in Dollars, or, if the applicable Issuing Lender shall agree in its sole discretion, other credit support, in each case pursuant to documentation in form and substance reasonably satisfactory to the applicable Issuing Lender. “</w:t>
      </w:r>
      <w:r>
        <w:rPr>
          <w:rFonts w:ascii="Arial" w:cs="Arial" w:eastAsia="Arial" w:hAnsi="Arial"/>
          <w:sz w:val="19"/>
          <w:szCs w:val="19"/>
          <w:b w:val="1"/>
          <w:bCs w:val="1"/>
          <w:color w:val="auto"/>
        </w:rPr>
        <w:t>Cash Collateral</w:t>
      </w:r>
      <w:r>
        <w:rPr>
          <w:rFonts w:ascii="Arial" w:cs="Arial" w:eastAsia="Arial" w:hAnsi="Arial"/>
          <w:sz w:val="19"/>
          <w:szCs w:val="19"/>
          <w:color w:val="auto"/>
        </w:rPr>
        <w:t>” shall have a meaning analogous to the foregoing and shall include the proceeds of such cash collateral and other credit support.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CDOR</w:t>
      </w:r>
      <w:r>
        <w:rPr>
          <w:rFonts w:ascii="Arial" w:cs="Arial" w:eastAsia="Arial" w:hAnsi="Arial"/>
          <w:sz w:val="22"/>
          <w:szCs w:val="22"/>
          <w:color w:val="auto"/>
        </w:rPr>
        <w:t>” is defined in the definition of “Eurocurrency Base Rate.”</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Law</w:t>
      </w:r>
      <w:r>
        <w:rPr>
          <w:rFonts w:ascii="Arial" w:cs="Arial" w:eastAsia="Arial" w:hAnsi="Arial"/>
          <w:sz w:val="19"/>
          <w:szCs w:val="19"/>
          <w:color w:val="auto"/>
        </w:rPr>
        <w:t>”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promulgated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the case of clauses (x) and (y) be deemed to be a “Change in Law”, regardless of the date enacted, adopted, issued, promulgated or implemented.</w:t>
      </w:r>
    </w:p>
    <w:p>
      <w:pPr>
        <w:spacing w:after="0" w:line="9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16" w:name="page217"/>
    <w:bookmarkEnd w:id="216"/>
    <w:p>
      <w:pPr>
        <w:jc w:val="both"/>
        <w:spacing w:after="0" w:line="258" w:lineRule="auto"/>
        <w:rPr>
          <w:sz w:val="20"/>
          <w:szCs w:val="20"/>
          <w:color w:val="auto"/>
        </w:rPr>
      </w:pPr>
      <w:r>
        <w:rPr>
          <w:rFonts w:ascii="Arial" w:cs="Arial" w:eastAsia="Arial" w:hAnsi="Arial"/>
          <w:sz w:val="21"/>
          <w:szCs w:val="21"/>
          <w:color w:val="auto"/>
        </w:rPr>
        <w:t>administrator of any such plan) becomes the “beneficial owner” (as defined in Rules 13d-3 and 13d-5 under the Securities Exchange Act of 1934), directly or indirectly, of more than 50.0% of the then-outstanding shares of capital stock or equivalent interests of the Borrower the holders of which are ordinarily, in the absence of contingencies, entitled to vote for members of the board of directors or equivalent governing body of the Borrower on a fully diluted basis, even though the right to so vote has been suspended by the happening of such a contingency (the “</w:t>
      </w:r>
      <w:r>
        <w:rPr>
          <w:rFonts w:ascii="Arial" w:cs="Arial" w:eastAsia="Arial" w:hAnsi="Arial"/>
          <w:sz w:val="21"/>
          <w:szCs w:val="21"/>
          <w:b w:val="1"/>
          <w:bCs w:val="1"/>
          <w:color w:val="auto"/>
        </w:rPr>
        <w:t>Voting Stock</w:t>
      </w:r>
      <w:r>
        <w:rPr>
          <w:rFonts w:ascii="Arial" w:cs="Arial" w:eastAsia="Arial" w:hAnsi="Arial"/>
          <w:sz w:val="21"/>
          <w:szCs w:val="21"/>
          <w:color w:val="auto"/>
        </w:rPr>
        <w:t>”). Notwithstanding the foregoing, (a) neither the Spinoff nor any transaction entered into on or prior to the Closing Date in connection therewith will be considered to be a Change of Control and (b) a transaction will not be considered to be a Change of Control if (x) the Borrower becomes a direct or indirect wholly owned Subsidiary of another Person and (y) the shares of the Voting Stock of the Borrower outstanding immediately prior to such transaction constitute, or are converted into or exchanged for, a majority of the Voting Stock of such Person immediately after giving effect to such transaction.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Citibank</w:t>
      </w:r>
      <w:r>
        <w:rPr>
          <w:rFonts w:ascii="Arial" w:cs="Arial" w:eastAsia="Arial" w:hAnsi="Arial"/>
          <w:sz w:val="22"/>
          <w:szCs w:val="22"/>
          <w:color w:val="auto"/>
        </w:rPr>
        <w:t>” means Citibank, N.A., in its individual capacity, and its successors.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xml:space="preserve">” means the date on which all of the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shall first be satisfied (or waived).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reformed or otherwise modified from time to time.</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xml:space="preserve">” means, for each Lender, the obligation of such Lender to (i) make Revolving Loans to the Borrower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(ii) purchase participations in L/C Obligations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 an aggregate principal amount not to exceed the amount set forth on the Commitment Schedule (which schedule shall set forth each Lender’s Commitment as of the Effective Date) or in an Assignment and Assumption executed pursuant to </w:t>
      </w:r>
      <w:r>
        <w:rPr>
          <w:rFonts w:ascii="Arial" w:cs="Arial" w:eastAsia="Arial" w:hAnsi="Arial"/>
          <w:sz w:val="22"/>
          <w:szCs w:val="22"/>
          <w:u w:val="single" w:color="auto"/>
          <w:color w:val="auto"/>
        </w:rPr>
        <w:t>Section 12.01</w:t>
      </w:r>
      <w:r>
        <w:rPr>
          <w:rFonts w:ascii="Arial" w:cs="Arial" w:eastAsia="Arial" w:hAnsi="Arial"/>
          <w:sz w:val="22"/>
          <w:szCs w:val="22"/>
          <w:color w:val="auto"/>
        </w:rPr>
        <w:t xml:space="preserve">, as it may be modified as a result of any assignment that has become effective pursuant to </w:t>
      </w:r>
      <w:r>
        <w:rPr>
          <w:rFonts w:ascii="Arial" w:cs="Arial" w:eastAsia="Arial" w:hAnsi="Arial"/>
          <w:sz w:val="22"/>
          <w:szCs w:val="22"/>
          <w:u w:val="single" w:color="auto"/>
          <w:color w:val="auto"/>
        </w:rPr>
        <w:t>Section 12.01</w:t>
      </w:r>
      <w:r>
        <w:rPr>
          <w:rFonts w:ascii="Arial" w:cs="Arial" w:eastAsia="Arial" w:hAnsi="Arial"/>
          <w:sz w:val="22"/>
          <w:szCs w:val="22"/>
          <w:color w:val="auto"/>
        </w:rPr>
        <w:t xml:space="preserve"> or as otherwise modified from time to time pursuant to the terms hereof.</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 Payment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Schedule</w:t>
      </w:r>
      <w:r>
        <w:rPr>
          <w:rFonts w:ascii="Arial" w:cs="Arial" w:eastAsia="Arial" w:hAnsi="Arial"/>
          <w:sz w:val="22"/>
          <w:szCs w:val="22"/>
          <w:color w:val="auto"/>
        </w:rPr>
        <w:t>” means the Schedule attached hereto and identified as such, identifying each Lender’s Commitment and each Issuing Lender’s L/C Commitment as of the Effective Date.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Communication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14.02</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Consenting Lender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Assets</w:t>
      </w:r>
      <w:r>
        <w:rPr>
          <w:rFonts w:ascii="Arial" w:cs="Arial" w:eastAsia="Arial" w:hAnsi="Arial"/>
          <w:sz w:val="21"/>
          <w:szCs w:val="21"/>
          <w:color w:val="auto"/>
        </w:rPr>
        <w:t>” means, at any date of determination, the total amount, as shown on or reflected in the most recent consolidated balance sheet of the Borrower and its subsidiaries as at the end of the Borrower’s fiscal quarter ending prior to such date, of all assets of the Borrower and its consolidated subsidiaries on a consolidated basis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17" w:name="page218"/>
    <w:bookmarkEnd w:id="217"/>
    <w:p>
      <w:pPr>
        <w:jc w:val="both"/>
        <w:spacing w:after="0" w:line="250" w:lineRule="auto"/>
        <w:rPr>
          <w:sz w:val="20"/>
          <w:szCs w:val="20"/>
          <w:color w:val="auto"/>
        </w:rPr>
      </w:pPr>
      <w:r>
        <w:rPr>
          <w:rFonts w:ascii="Arial" w:cs="Arial" w:eastAsia="Arial" w:hAnsi="Arial"/>
          <w:sz w:val="22"/>
          <w:szCs w:val="22"/>
          <w:color w:val="auto"/>
        </w:rPr>
        <w:t>accordance with Agreement Accounting Principles (giving pro forma effect to any acquisition or disposition of Property of the Borrower or any of its subsidiaries involving the payment or receipt of consideration by the Borrower or any of its subsidiaries in excess of $400,000,000 that has occurred since the end of such fiscal quarter as if such acquisition or disposition had occurred on the last day of such fiscal quarter).</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EBITDA</w:t>
      </w:r>
      <w:r>
        <w:rPr>
          <w:rFonts w:ascii="Arial" w:cs="Arial" w:eastAsia="Arial" w:hAnsi="Arial"/>
          <w:sz w:val="22"/>
          <w:szCs w:val="22"/>
          <w:color w:val="auto"/>
        </w:rPr>
        <w:t xml:space="preserve">” means, for any period, for the Borrower and its Subsidiaries on a consolidated basis, an amount equal to Consolidated Net Income for such period </w:t>
      </w:r>
      <w:r>
        <w:rPr>
          <w:rFonts w:ascii="Arial" w:cs="Arial" w:eastAsia="Arial" w:hAnsi="Arial"/>
          <w:sz w:val="22"/>
          <w:szCs w:val="22"/>
          <w:i w:val="1"/>
          <w:iCs w:val="1"/>
          <w:color w:val="auto"/>
        </w:rPr>
        <w:t>plus</w:t>
      </w:r>
    </w:p>
    <w:p>
      <w:pPr>
        <w:spacing w:after="0" w:line="114" w:lineRule="exact"/>
        <w:rPr>
          <w:sz w:val="20"/>
          <w:szCs w:val="20"/>
          <w:color w:val="auto"/>
        </w:rPr>
      </w:pPr>
    </w:p>
    <w:p>
      <w:pPr>
        <w:ind w:left="1820" w:hanging="516"/>
        <w:spacing w:after="0"/>
        <w:tabs>
          <w:tab w:leader="none" w:pos="18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following (without duplication) to the extent deducted in calculating such Consolidated Net Income for</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such period:</w:t>
      </w:r>
    </w:p>
    <w:p>
      <w:pPr>
        <w:spacing w:after="0" w:line="147" w:lineRule="exact"/>
        <w:rPr>
          <w:rFonts w:ascii="Arial" w:cs="Arial" w:eastAsia="Arial" w:hAnsi="Arial"/>
          <w:sz w:val="19"/>
          <w:szCs w:val="19"/>
          <w:color w:val="auto"/>
        </w:rPr>
      </w:pPr>
    </w:p>
    <w:p>
      <w:pPr>
        <w:ind w:left="2380" w:hanging="428"/>
        <w:spacing w:after="0"/>
        <w:tabs>
          <w:tab w:leader="none" w:pos="238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Consolidated Interest Charges for such period;</w:t>
      </w:r>
    </w:p>
    <w:p>
      <w:pPr>
        <w:spacing w:after="0" w:line="165" w:lineRule="exact"/>
        <w:rPr>
          <w:rFonts w:ascii="Arial" w:cs="Arial" w:eastAsia="Arial" w:hAnsi="Arial"/>
          <w:sz w:val="22"/>
          <w:szCs w:val="22"/>
          <w:color w:val="auto"/>
        </w:rPr>
      </w:pPr>
    </w:p>
    <w:p>
      <w:pPr>
        <w:jc w:val="both"/>
        <w:ind w:left="1300" w:firstLine="652"/>
        <w:spacing w:after="0" w:line="250" w:lineRule="auto"/>
        <w:tabs>
          <w:tab w:leader="none" w:pos="2559"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provision for federal, state, local and foreign income taxes payable by the Borrower and its Subsidiaries for such period, including, without limitation, any franchise taxes or other taxes based on income, profits or capital and all other taxes that are included in the provision for income tax line item on the consolidated income statement of the Borrower and its Subsidiaries for such period;</w:t>
      </w:r>
    </w:p>
    <w:p>
      <w:pPr>
        <w:spacing w:after="0" w:line="133" w:lineRule="exact"/>
        <w:rPr>
          <w:rFonts w:ascii="Arial" w:cs="Arial" w:eastAsia="Arial" w:hAnsi="Arial"/>
          <w:sz w:val="22"/>
          <w:szCs w:val="22"/>
          <w:color w:val="auto"/>
        </w:rPr>
      </w:pPr>
    </w:p>
    <w:p>
      <w:pPr>
        <w:ind w:left="1300" w:firstLine="652"/>
        <w:spacing w:after="0" w:line="343" w:lineRule="auto"/>
        <w:tabs>
          <w:tab w:leader="none" w:pos="2531" w:val="left"/>
        </w:tabs>
        <w:numPr>
          <w:ilvl w:val="1"/>
          <w:numId w:val="158"/>
        </w:numPr>
        <w:rPr>
          <w:rFonts w:ascii="Arial" w:cs="Arial" w:eastAsia="Arial" w:hAnsi="Arial"/>
          <w:sz w:val="19"/>
          <w:szCs w:val="19"/>
          <w:color w:val="auto"/>
        </w:rPr>
      </w:pPr>
      <w:r>
        <w:rPr>
          <w:rFonts w:ascii="Arial" w:cs="Arial" w:eastAsia="Arial" w:hAnsi="Arial"/>
          <w:sz w:val="19"/>
          <w:szCs w:val="19"/>
          <w:color w:val="auto"/>
        </w:rPr>
        <w:t>depreciation and amortization expense (excluding, for avoidance of doubt, amortization of deferred commissions, capitalized costs to acquire revenue contracts or substantially equivalent items) for such period;</w:t>
      </w:r>
    </w:p>
    <w:p>
      <w:pPr>
        <w:spacing w:after="0" w:line="50" w:lineRule="exact"/>
        <w:rPr>
          <w:rFonts w:ascii="Arial" w:cs="Arial" w:eastAsia="Arial" w:hAnsi="Arial"/>
          <w:sz w:val="19"/>
          <w:szCs w:val="19"/>
          <w:color w:val="auto"/>
        </w:rPr>
      </w:pPr>
    </w:p>
    <w:p>
      <w:pPr>
        <w:jc w:val="both"/>
        <w:ind w:left="1300" w:firstLine="652"/>
        <w:spacing w:after="0" w:line="312" w:lineRule="auto"/>
        <w:tabs>
          <w:tab w:leader="none" w:pos="251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increases in deferred or unearned revenue or substantially equivalent items for such period (net of any increases in deferred costs (which deferred costs, for avoidance of doubt, do not include deferred commissions, capitalized costs to acquire revenue contracts or substantially equivalent items) for such period);</w:t>
      </w:r>
    </w:p>
    <w:p>
      <w:pPr>
        <w:spacing w:after="0" w:line="79" w:lineRule="exact"/>
        <w:rPr>
          <w:rFonts w:ascii="Arial" w:cs="Arial" w:eastAsia="Arial" w:hAnsi="Arial"/>
          <w:sz w:val="19"/>
          <w:szCs w:val="19"/>
          <w:color w:val="auto"/>
        </w:rPr>
      </w:pPr>
    </w:p>
    <w:p>
      <w:pPr>
        <w:jc w:val="both"/>
        <w:ind w:left="1300" w:firstLine="652"/>
        <w:spacing w:after="0" w:line="294" w:lineRule="auto"/>
        <w:tabs>
          <w:tab w:leader="none" w:pos="2521"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all non-cash expenses, losses or charges for such period (other than any such non-cash expenses, losses or charges that represent an accrual or reserve for future cash expenses, losses or charges or that relate to the write-down of current assets), including, without limitation, non-cash stock based employee compensation expenses for such period and non-cash expenses, losses or charges for such period in connection with (A) “goodwill impairment losses” under FASB Statement 142, (B) unrealized losses resulting from mark-to-market accounting in respect of Rate Management Transactions and (C) unrealized losses on equity investments;</w:t>
      </w:r>
    </w:p>
    <w:p>
      <w:pPr>
        <w:spacing w:after="0" w:line="95" w:lineRule="exact"/>
        <w:rPr>
          <w:rFonts w:ascii="Arial" w:cs="Arial" w:eastAsia="Arial" w:hAnsi="Arial"/>
          <w:sz w:val="19"/>
          <w:szCs w:val="19"/>
          <w:color w:val="auto"/>
        </w:rPr>
      </w:pPr>
    </w:p>
    <w:p>
      <w:pPr>
        <w:jc w:val="both"/>
        <w:ind w:left="1300" w:firstLine="652"/>
        <w:spacing w:after="0" w:line="250" w:lineRule="auto"/>
        <w:tabs>
          <w:tab w:leader="none" w:pos="2532"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in connection with any Acquisition (except for an Acquisition of the type set forth in clause (d) of the definition thereof) or non-ordinary course disposition of Property, all non-recurring restructuring costs, facilities relocation costs, acquisition integration costs and fees, including cash severance payments, and non-recurring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18" w:name="page219"/>
    <w:bookmarkEnd w:id="218"/>
    <w:p>
      <w:pPr>
        <w:jc w:val="both"/>
        <w:ind w:left="1300"/>
        <w:spacing w:after="0" w:line="294" w:lineRule="auto"/>
        <w:rPr>
          <w:sz w:val="20"/>
          <w:szCs w:val="20"/>
          <w:color w:val="auto"/>
        </w:rPr>
      </w:pPr>
      <w:r>
        <w:rPr>
          <w:rFonts w:ascii="Arial" w:cs="Arial" w:eastAsia="Arial" w:hAnsi="Arial"/>
          <w:sz w:val="19"/>
          <w:szCs w:val="19"/>
          <w:color w:val="auto"/>
        </w:rPr>
        <w:t xml:space="preserve">in each case paid during such period in connection with such Acquisition or non-ordinary course disposition of Property and within twelve (12) months of the completion of such Acquisition or non-ordinary course disposition of Property,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added back to Consolidated Net Income pursuant to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in respect of any such costs, fees, payments and expenses paid in cash in connection with all such Acquisitions and non-ordinary course dispositions shall not exceed 15% of Consolidated EBITDA (calculated before giving effect to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in the aggregate for any period of four fiscal quarters of the Borrower);</w:t>
      </w:r>
    </w:p>
    <w:p>
      <w:pPr>
        <w:spacing w:after="0" w:line="95" w:lineRule="exact"/>
        <w:rPr>
          <w:sz w:val="20"/>
          <w:szCs w:val="20"/>
          <w:color w:val="auto"/>
        </w:rPr>
      </w:pPr>
    </w:p>
    <w:p>
      <w:pPr>
        <w:ind w:left="2540" w:hanging="588"/>
        <w:spacing w:after="0"/>
        <w:tabs>
          <w:tab w:leader="none" w:pos="254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extraordinary, unusual or non-recurring expenses, charges or losses;</w:t>
      </w:r>
    </w:p>
    <w:p>
      <w:pPr>
        <w:spacing w:after="0" w:line="165" w:lineRule="exact"/>
        <w:rPr>
          <w:rFonts w:ascii="Arial" w:cs="Arial" w:eastAsia="Arial" w:hAnsi="Arial"/>
          <w:sz w:val="22"/>
          <w:szCs w:val="22"/>
          <w:color w:val="auto"/>
        </w:rPr>
      </w:pPr>
    </w:p>
    <w:p>
      <w:pPr>
        <w:jc w:val="both"/>
        <w:ind w:left="1300" w:firstLine="652"/>
        <w:spacing w:after="0" w:line="263" w:lineRule="auto"/>
        <w:tabs>
          <w:tab w:leader="none" w:pos="265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transaction, integration and restructuring fees, costs and expenses incurred in connection with the Spinoff;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amounts added back pursuant to this clause (viii) in respect of any such restructuring fees, costs and expenses incurred from and after January 1, 2021 may not exceed, with respect to any period of four consecutive fiscal quarters, $25,000,000 (it being understood and agreed no such limitation shall apply to any such fees, costs and expenses incurred prior to January 1, 2021);</w:t>
      </w:r>
    </w:p>
    <w:p>
      <w:pPr>
        <w:spacing w:after="0" w:line="121" w:lineRule="exact"/>
        <w:rPr>
          <w:sz w:val="20"/>
          <w:szCs w:val="20"/>
          <w:color w:val="auto"/>
        </w:rPr>
      </w:pPr>
    </w:p>
    <w:p>
      <w:pPr>
        <w:ind w:left="2600"/>
        <w:spacing w:after="0"/>
        <w:rPr>
          <w:sz w:val="20"/>
          <w:szCs w:val="20"/>
          <w:color w:val="auto"/>
        </w:rPr>
      </w:pPr>
      <w:r>
        <w:rPr>
          <w:rFonts w:ascii="Arial" w:cs="Arial" w:eastAsia="Arial" w:hAnsi="Arial"/>
          <w:sz w:val="22"/>
          <w:szCs w:val="22"/>
          <w:i w:val="1"/>
          <w:iCs w:val="1"/>
          <w:color w:val="auto"/>
        </w:rPr>
        <w:t>minus</w:t>
      </w:r>
    </w:p>
    <w:p>
      <w:pPr>
        <w:spacing w:after="0" w:line="166" w:lineRule="exact"/>
        <w:rPr>
          <w:sz w:val="20"/>
          <w:szCs w:val="20"/>
          <w:color w:val="auto"/>
        </w:rPr>
      </w:pPr>
    </w:p>
    <w:p>
      <w:pPr>
        <w:ind w:left="1780" w:hanging="476"/>
        <w:spacing w:after="0"/>
        <w:tabs>
          <w:tab w:leader="none" w:pos="178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following (without duplication) to the extent included in calculating such Consolidated Net Income:</w:t>
      </w:r>
    </w:p>
    <w:p>
      <w:pPr>
        <w:spacing w:after="0" w:line="177" w:lineRule="exact"/>
        <w:rPr>
          <w:rFonts w:ascii="Arial" w:cs="Arial" w:eastAsia="Arial" w:hAnsi="Arial"/>
          <w:sz w:val="21"/>
          <w:szCs w:val="21"/>
          <w:color w:val="auto"/>
        </w:rPr>
      </w:pPr>
    </w:p>
    <w:p>
      <w:pPr>
        <w:ind w:left="2380" w:hanging="428"/>
        <w:spacing w:after="0"/>
        <w:tabs>
          <w:tab w:leader="none" w:pos="23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any extraordinary gains (less all fees and expenses related thereto);</w:t>
      </w:r>
    </w:p>
    <w:p>
      <w:pPr>
        <w:spacing w:after="0" w:line="165" w:lineRule="exact"/>
        <w:rPr>
          <w:rFonts w:ascii="Arial" w:cs="Arial" w:eastAsia="Arial" w:hAnsi="Arial"/>
          <w:sz w:val="22"/>
          <w:szCs w:val="22"/>
          <w:color w:val="auto"/>
        </w:rPr>
      </w:pPr>
    </w:p>
    <w:p>
      <w:pPr>
        <w:jc w:val="both"/>
        <w:ind w:left="1300" w:firstLine="652"/>
        <w:spacing w:after="0" w:line="312" w:lineRule="auto"/>
        <w:tabs>
          <w:tab w:leader="none" w:pos="247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any decreases in deferred or unearned revenue or substantially equivalent items for such period (net of any decreases in deferred costs (which deferred costs, for avoidance of doubt, do not include deferred commissions, capitalized costs to acquire revenue contracts or substantially equivalent items) for such period); and</w:t>
      </w:r>
    </w:p>
    <w:p>
      <w:pPr>
        <w:spacing w:after="0" w:line="79" w:lineRule="exact"/>
        <w:rPr>
          <w:rFonts w:ascii="Arial" w:cs="Arial" w:eastAsia="Arial" w:hAnsi="Arial"/>
          <w:sz w:val="19"/>
          <w:szCs w:val="19"/>
          <w:color w:val="auto"/>
        </w:rPr>
      </w:pPr>
    </w:p>
    <w:p>
      <w:pPr>
        <w:jc w:val="both"/>
        <w:ind w:left="1300" w:firstLine="652"/>
        <w:spacing w:after="0" w:line="253" w:lineRule="auto"/>
        <w:tabs>
          <w:tab w:leader="none" w:pos="2497"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all non-cash income or gains for such period including, without limitation, unrealized gains resulting from mark-to-market accounting in respect of Rate Management Transactions and unrealized gains on equity investments.</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in the event that the Borrower or any of its subsidiaries, during the relevant period, consummated an acquisition or disposition of Property involving the payment or receipt of consideration by the Borrower or any of its subsidiaries in excess of $400,000,000, Consolidated EBITDA will be determined giving pro forma effect to such acquisition or disposition as if such acquisition or disposition and any related incurrence or repayment of Indebtedness had occurred on the first day of the relevant period, but shall not take into account any cost savings projected to be realized as a result of such acquisition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19" w:name="page220"/>
    <w:bookmarkEnd w:id="219"/>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Charges</w:t>
      </w:r>
      <w:r>
        <w:rPr>
          <w:rFonts w:ascii="Arial" w:cs="Arial" w:eastAsia="Arial" w:hAnsi="Arial"/>
          <w:sz w:val="21"/>
          <w:szCs w:val="21"/>
          <w:color w:val="auto"/>
        </w:rPr>
        <w:t xml:space="preserve">” means, for any period, for the Borrower and its Subsidiaries on a consolidated basis, the sum of, without duplication, (a) all interest, premium payments, amortization of debt discount, fees, charges and related expenses in connection with Indebtedness (including capitalized interest) or in connection with the deferred purchase price of assets, in each case to the extent treated as interest in accordance with GAAP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portion of rent expense with respect to such period under Capitalized Leases that is treated as interest in accordance with GAAP.</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Leverage Ratio</w:t>
      </w:r>
      <w:r>
        <w:rPr>
          <w:rFonts w:ascii="Arial" w:cs="Arial" w:eastAsia="Arial" w:hAnsi="Arial"/>
          <w:sz w:val="22"/>
          <w:szCs w:val="22"/>
          <w:color w:val="auto"/>
        </w:rPr>
        <w:t>” means, as of any date of determination, the ratio of (a) Indebtedness for Borrowed Money of the Borrower and its Subsidiaries on a consolidated basis as of such date to (b) Consolidated EBITDA for the most recently completed four fiscal quarters.</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Income</w:t>
      </w:r>
      <w:r>
        <w:rPr>
          <w:rFonts w:ascii="Arial" w:cs="Arial" w:eastAsia="Arial" w:hAnsi="Arial"/>
          <w:sz w:val="22"/>
          <w:szCs w:val="22"/>
          <w:color w:val="auto"/>
        </w:rPr>
        <w:t>” means, for any period, for the Borrower and its Subsidiaries calculated on a consolidated basis, net income for that period, as determined in accordance with Agreement Accounting Principles.</w:t>
      </w:r>
    </w:p>
    <w:p>
      <w:pPr>
        <w:spacing w:after="0" w:line="1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Contingent Obligation</w:t>
      </w:r>
      <w:r>
        <w:rPr>
          <w:rFonts w:ascii="Arial" w:cs="Arial" w:eastAsia="Arial" w:hAnsi="Arial"/>
          <w:sz w:val="19"/>
          <w:szCs w:val="19"/>
          <w:color w:val="auto"/>
        </w:rPr>
        <w:t>” means, for any Person, any agreement, undertaking or arrangement by which such Person assumes, guarantees, endorses, contingently agrees to purchase or provide funds for the payment of, or otherwise becomes or is contingently liable upon, the obligation or liability of any other Person that constitute Indebtedness (other than Indebtedness of the type described in clause (v) of the definition of such term), or agrees to maintain the net worth or working capital or other financial condition of any other Person, or otherwise assures any creditor of such other Person against loss, including, without limitation, any comfort letter, operating agreement, take-or-pay contract or the obligations of any such Person as general partner of a partnership with respect to the liabilities of the partnership.</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Group</w:t>
      </w:r>
      <w:r>
        <w:rPr>
          <w:rFonts w:ascii="Arial" w:cs="Arial" w:eastAsia="Arial" w:hAnsi="Arial"/>
          <w:sz w:val="22"/>
          <w:szCs w:val="22"/>
          <w:color w:val="auto"/>
        </w:rPr>
        <w:t>” means all members of a controlled group of corporations or other business entities and all trades or businesses (whether or not incorporated) under common control or treated as a single employer with the Borrower or any of its Subsidiaries, in each case, under Section 414 of the Code.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Conversion/Continuation Notice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any business day adjustment) as such Available Tenor.</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Co-Syndication Agents</w:t>
      </w:r>
      <w:r>
        <w:rPr>
          <w:rFonts w:ascii="Arial" w:cs="Arial" w:eastAsia="Arial" w:hAnsi="Arial"/>
          <w:sz w:val="22"/>
          <w:szCs w:val="22"/>
          <w:color w:val="auto"/>
        </w:rPr>
        <w:t>” means Barclays Bank PLC and Crédit Agricole Corporate and Investment Bank, each in its capacity as a syndication agent for the Lenders, and not in its individual capacity as a Lender.</w:t>
      </w:r>
    </w:p>
    <w:p>
      <w:pPr>
        <w:spacing w:after="0" w:line="1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Simple SOFR</w:t>
      </w:r>
      <w:r>
        <w:rPr>
          <w:rFonts w:ascii="Arial" w:cs="Arial" w:eastAsia="Arial" w:hAnsi="Arial"/>
          <w:sz w:val="22"/>
          <w:szCs w:val="22"/>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2"/>
          <w:szCs w:val="22"/>
          <w:i w:val="1"/>
          <w:iCs w:val="1"/>
          <w:color w:val="auto"/>
        </w:rPr>
        <w:t>provided</w:t>
      </w:r>
      <w:r>
        <w:rPr>
          <w:rFonts w:ascii="Arial" w:cs="Arial" w:eastAsia="Arial" w:hAnsi="Arial"/>
          <w:sz w:val="22"/>
          <w:szCs w:val="22"/>
          <w:color w:val="auto"/>
        </w:rPr>
        <w:t>, that if the Administrative Agent decides that any such convention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2"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administratively feasible, the Administrative Agent may establish another convention in its reasonable discretion.</w:t>
      </w:r>
    </w:p>
    <w:p>
      <w:pPr>
        <w:spacing w:after="0" w:line="16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Debtor Relief Laws</w:t>
      </w:r>
      <w:r>
        <w:rPr>
          <w:rFonts w:ascii="Arial" w:cs="Arial" w:eastAsia="Arial" w:hAnsi="Arial"/>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Declining Lender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xml:space="preserve">” means an event described in </w:t>
      </w:r>
      <w:r>
        <w:rPr>
          <w:rFonts w:ascii="Arial" w:cs="Arial" w:eastAsia="Arial" w:hAnsi="Arial"/>
          <w:sz w:val="22"/>
          <w:szCs w:val="22"/>
          <w:u w:val="single" w:color="auto"/>
          <w:color w:val="auto"/>
        </w:rPr>
        <w:t>Article 7</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2.21(g)</w:t>
      </w:r>
      <w:r>
        <w:rPr>
          <w:rFonts w:ascii="Arial" w:cs="Arial" w:eastAsia="Arial" w:hAnsi="Arial"/>
          <w:sz w:val="19"/>
          <w:szCs w:val="19"/>
          <w:color w:val="auto"/>
        </w:rPr>
        <w:t xml:space="preserve">, any Lender that (a) has failed to (i) perform any of its funding obligations hereunder, including in respect of its Loans, within three (3) Business Days of the date required to be funded by it hereunder unless such Lender notifies the Administrative Agent in writing that such failure is the result of such Lender’s good faith determination that one or more conditions precedent to funding has not been satisfied (which conditions precedent, together with the applicable default, if any, will be specifically identified in such writing) or (ii) pay to the Administrative Agent, any Issuing Lender or any other Lender any other amount required to be paid by it hereunder (including in respect of its participation in Letters of Credit) within three (3) Business Days of the date when due, (b) has notified the Borrower, the Administrative Agent or any Issuing Lender in writing that it does not intend to comply with its funding obligations or has made a public statement to that effect with respect to its funding obligations hereunder, or generally under other agreements in which it commits to extend credit, unless such notification or public statement relates to such Lender’s obligation to fund a Loan hereunder and states that such position is based on such Lender’s determination that a condition precedent to funding cannot be satisfied (which conditions precedent, together with the applicable default, if any, will be specifically identified in such writing or public statement), (c) has failed, within three (3) Business Days after written request by the Administrative Agent or the Borrower to confirm in a manner satisfactory to the Administrative Agent or the Borrower, as applicable, that it will comply with its funding obligations, which request was made because of a reasonable concern by the Administrative Agent or the Borrower that such Lender may not be able to comply with its funding obligations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or the Borrower,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become the subject of a Bail-In Action or (iv) taken any action in furtherance of, or indicated its consent to, approval of or acquiescence in any such proceeding or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unless such ownership or equity results in or provides such Lender with immunity from the jurisdiction of courts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21" w:name="page222"/>
    <w:bookmarkEnd w:id="221"/>
    <w:p>
      <w:pPr>
        <w:jc w:val="both"/>
        <w:spacing w:after="0" w:line="292" w:lineRule="auto"/>
        <w:rPr>
          <w:sz w:val="20"/>
          <w:szCs w:val="20"/>
          <w:color w:val="auto"/>
        </w:rPr>
      </w:pPr>
      <w:r>
        <w:rPr>
          <w:rFonts w:ascii="Arial" w:cs="Arial" w:eastAsia="Arial" w:hAnsi="Arial"/>
          <w:sz w:val="19"/>
          <w:szCs w:val="19"/>
          <w:color w:val="auto"/>
        </w:rPr>
        <w:t xml:space="preserve">United States or any other nation or from the enforcement of judgments or writs of attachment on its assets or permits such Lender (or such Governmental Authority or instrumentality) to reject, repudiate, disavow or disaffirm any contracts or agreements made by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2.21(g)</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each Issuing Lender and each other Lender promptly following such determination.</w:t>
      </w:r>
    </w:p>
    <w:p>
      <w:pPr>
        <w:spacing w:after="0" w:line="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Jurisdiction</w:t>
      </w:r>
      <w:r>
        <w:rPr>
          <w:rFonts w:ascii="Arial" w:cs="Arial" w:eastAsia="Arial" w:hAnsi="Arial"/>
          <w:sz w:val="22"/>
          <w:szCs w:val="22"/>
          <w:color w:val="auto"/>
        </w:rPr>
        <w:t>” means any country or territory to the extent that such country or territory itself is, or its government is, the subject or target of any Sanction.</w:t>
      </w:r>
    </w:p>
    <w:p>
      <w:pPr>
        <w:spacing w:after="0" w:line="1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any sale, transfer or other disposition, or series of related sales, transfers, or dispositions (including pursuant to any merger, amalgamation or consolidation or by means of a “plan of division” under the Delaware Limited Liability Company Act or any comparable transaction under any similar law), of all or substantially all of the assets of the Borrower and its Subsidiaries, taken as a whole.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Disqualified Stock</w:t>
      </w:r>
      <w:r>
        <w:rPr>
          <w:rFonts w:ascii="Arial" w:cs="Arial" w:eastAsia="Arial" w:hAnsi="Arial"/>
          <w:sz w:val="22"/>
          <w:szCs w:val="22"/>
          <w:color w:val="auto"/>
        </w:rPr>
        <w:t>” means any capital stock that, by its terms (or by the terms of any security into which it is convertible or for which it is exchangeable), or upon the happening of any event, matures or is mandatorily redeemable, pursuant to a sinking fund obligation or otherwise, or redeemable at the option of the holder thereof, in whole or in part, on or prior to the date that is ninety-one (91) days after the Facility Termination Date.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 means dollars in the lawful currency of the United States of America.</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 Equivalent</w:t>
      </w:r>
      <w:r>
        <w:rPr>
          <w:rFonts w:ascii="Arial" w:cs="Arial" w:eastAsia="Arial" w:hAnsi="Arial"/>
          <w:sz w:val="22"/>
          <w:szCs w:val="22"/>
          <w:color w:val="auto"/>
        </w:rPr>
        <w:t>” means, at any time, (a) with respect to any amount denominated in Dollars, such amount, and (b) with respect to any amount denominated in any Foreign Currency or Additional L/C Currency, the equivalent amount thereof in Dollars as determined by the Administrative Agent or the applicable Issuing Lender, as the case may be, at such time on the basis of the Exchange Rate (determined in respect of the most recent Revaluation Date) for the purchase of Dollars with such Foreign Currency or Additional L/C Currency.</w:t>
      </w:r>
    </w:p>
    <w:p>
      <w:pPr>
        <w:spacing w:after="0" w:line="13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Early Opt-in Effective Date</w:t>
      </w:r>
      <w:r>
        <w:rPr>
          <w:rFonts w:ascii="Arial" w:cs="Arial" w:eastAsia="Arial" w:hAnsi="Arial"/>
          <w:sz w:val="19"/>
          <w:szCs w:val="19"/>
          <w:color w:val="auto"/>
        </w:rPr>
        <w:t>” means, with respect to any Early Opt-in Election, the sixth (6th) Business Day after the date notice of such Early Opt-in Election is provided to the Lenders, so long as the Administrative Agent has not received, by 5:00 p.m. (New York time) on the fifth (5th) Business Day after the date notice of such Early Opt-in Election is provided to the Lenders, written notice of objection to such Early Opt-in Election from Lenders comprising the Required Lenders.</w:t>
      </w:r>
    </w:p>
    <w:p>
      <w:pPr>
        <w:spacing w:after="0" w:line="8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Early Opt-in Election</w:t>
      </w:r>
      <w:r>
        <w:rPr>
          <w:rFonts w:ascii="Arial" w:cs="Arial" w:eastAsia="Arial" w:hAnsi="Arial"/>
          <w:sz w:val="22"/>
          <w:szCs w:val="22"/>
          <w:color w:val="auto"/>
        </w:rPr>
        <w:t>” means if the then-current Benchmark is LIBOR, CDOR or EURIBOR, the occurrence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22" w:name="page223"/>
    <w:bookmarkEnd w:id="222"/>
    <w:p>
      <w:pPr>
        <w:jc w:val="both"/>
        <w:ind w:left="660" w:hanging="652"/>
        <w:spacing w:after="0" w:line="247" w:lineRule="auto"/>
        <w:tabs>
          <w:tab w:leader="none" w:pos="689"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with respect to Dollars, a notification by the Administrative Agent to (or the request by the Borrower to the Administrative Agent to notify) each of the other parties hereto that at least five currently outstanding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 or</w:t>
      </w:r>
    </w:p>
    <w:p>
      <w:pPr>
        <w:spacing w:after="0" w:line="138" w:lineRule="exact"/>
        <w:rPr>
          <w:rFonts w:ascii="Arial" w:cs="Arial" w:eastAsia="Arial" w:hAnsi="Arial"/>
          <w:sz w:val="22"/>
          <w:szCs w:val="22"/>
          <w:color w:val="auto"/>
        </w:rPr>
      </w:pPr>
    </w:p>
    <w:p>
      <w:pPr>
        <w:jc w:val="both"/>
        <w:ind w:left="660"/>
        <w:spacing w:after="0" w:line="261" w:lineRule="auto"/>
        <w:rPr>
          <w:rFonts w:ascii="Arial" w:cs="Arial" w:eastAsia="Arial" w:hAnsi="Arial"/>
          <w:sz w:val="22"/>
          <w:szCs w:val="22"/>
          <w:color w:val="auto"/>
        </w:rPr>
      </w:pPr>
      <w:r>
        <w:rPr>
          <w:rFonts w:ascii="Arial" w:cs="Arial" w:eastAsia="Arial" w:hAnsi="Arial"/>
          <w:sz w:val="21"/>
          <w:szCs w:val="21"/>
          <w:color w:val="auto"/>
        </w:rPr>
        <w:t>(b) with respect to any Foreign Currency, a notification by the Administrative Agent to (or the request by the Borrower to the Administrative Agent to notify) each of the other parties hereto that at least five currently outstanding syndicated credit facilities which include such Foreign Currency at such time in the U.S. syndicated loan market contain (as a result of amendment or as originally executed) a new benchmark interest rate to replace the then current Benchmark with respect to such Foreign Currency as a benchmark rate (and such syndicated credit facilities are identified in such notice and are publicly available for review), and</w:t>
      </w:r>
    </w:p>
    <w:p>
      <w:pPr>
        <w:spacing w:after="0" w:line="125" w:lineRule="exact"/>
        <w:rPr>
          <w:rFonts w:ascii="Arial" w:cs="Arial" w:eastAsia="Arial" w:hAnsi="Arial"/>
          <w:sz w:val="22"/>
          <w:szCs w:val="22"/>
          <w:color w:val="auto"/>
        </w:rPr>
      </w:pPr>
    </w:p>
    <w:p>
      <w:pPr>
        <w:jc w:val="right"/>
        <w:ind w:left="660" w:hanging="652"/>
        <w:spacing w:after="0" w:line="343" w:lineRule="auto"/>
        <w:tabs>
          <w:tab w:leader="none" w:pos="51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each case, the joint election by the Administrative Agent and the Borrower to trigger a fallback from LIBOR, CDOR or EURIBOR, as applicable, and the provision by the Administrative Agent of written notice of such election to the Lenders.</w:t>
      </w:r>
    </w:p>
    <w:p>
      <w:pPr>
        <w:spacing w:after="0" w:line="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means the date on which all of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shall first be satisfied (or waived).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 12.01(b)(v)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w:t>
      </w:r>
    </w:p>
    <w:p>
      <w:pPr>
        <w:spacing w:after="0" w:line="62" w:lineRule="exact"/>
        <w:rPr>
          <w:sz w:val="20"/>
          <w:szCs w:val="20"/>
          <w:color w:val="auto"/>
        </w:rPr>
      </w:pPr>
    </w:p>
    <w:p>
      <w:pPr>
        <w:ind w:left="440" w:hanging="432"/>
        <w:spacing w:after="0"/>
        <w:tabs>
          <w:tab w:leader="none" w:pos="440" w:val="left"/>
        </w:tabs>
        <w:numPr>
          <w:ilvl w:val="0"/>
          <w:numId w:val="162"/>
        </w:numPr>
        <w:rPr>
          <w:rFonts w:ascii="Arial" w:cs="Arial" w:eastAsia="Arial" w:hAnsi="Arial"/>
          <w:sz w:val="22"/>
          <w:szCs w:val="22"/>
          <w:u w:val="single" w:color="auto"/>
          <w:color w:val="auto"/>
        </w:rPr>
      </w:pPr>
      <w:r>
        <w:rPr>
          <w:rFonts w:ascii="Arial" w:cs="Arial" w:eastAsia="Arial" w:hAnsi="Arial"/>
          <w:sz w:val="22"/>
          <w:szCs w:val="22"/>
          <w:color w:val="auto"/>
        </w:rPr>
        <w:t xml:space="preserve">(subject to such consents, if any, as may be required under </w:t>
      </w:r>
      <w:r>
        <w:rPr>
          <w:rFonts w:ascii="Arial" w:cs="Arial" w:eastAsia="Arial" w:hAnsi="Arial"/>
          <w:sz w:val="22"/>
          <w:szCs w:val="22"/>
          <w:u w:val="single" w:color="auto"/>
          <w:color w:val="auto"/>
        </w:rPr>
        <w:t>Section 12.01(b)(iii)</w:t>
      </w:r>
      <w:r>
        <w:rPr>
          <w:rFonts w:ascii="Arial" w:cs="Arial" w:eastAsia="Arial" w:hAnsi="Arial"/>
          <w:sz w:val="22"/>
          <w:szCs w:val="22"/>
          <w:color w:val="auto"/>
        </w:rPr>
        <w:t>).</w:t>
      </w:r>
    </w:p>
    <w:p>
      <w:pPr>
        <w:spacing w:after="0" w:line="14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any and all federal, state, local and foreign statutes, laws, judicial decisions, regulations, ordinances, rules, judgments, orders, decrees,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23" w:name="page224"/>
    <w:bookmarkEnd w:id="223"/>
    <w:p>
      <w:pPr>
        <w:jc w:val="both"/>
        <w:spacing w:after="0" w:line="248" w:lineRule="auto"/>
        <w:rPr>
          <w:sz w:val="20"/>
          <w:szCs w:val="20"/>
          <w:color w:val="auto"/>
        </w:rPr>
      </w:pPr>
      <w:r>
        <w:rPr>
          <w:rFonts w:ascii="Arial" w:cs="Arial" w:eastAsia="Arial" w:hAnsi="Arial"/>
          <w:sz w:val="22"/>
          <w:szCs w:val="22"/>
          <w:color w:val="auto"/>
        </w:rPr>
        <w:t>injunctions, permits, concessions, grants, franchises, licenses, agreements and other governmental restrictions relating to (a) the protection of the environment, (b) the effect of the environment on human health, (c) emissions, discharges or releases of pollutants, contaminants, hazardous substances or wastes into surface water, ground water or land, or (d) the manufacture, processing, distribution, use, treatment, storage, disposal, transport or handling of pollutants, contaminants, hazardous substances or wastes or the clean-up or other remediation thereof.</w:t>
      </w:r>
    </w:p>
    <w:p>
      <w:pPr>
        <w:spacing w:after="0" w:line="1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Liability</w:t>
      </w:r>
      <w:r>
        <w:rPr>
          <w:rFonts w:ascii="Arial" w:cs="Arial" w:eastAsia="Arial" w:hAnsi="Arial"/>
          <w:sz w:val="22"/>
          <w:szCs w:val="22"/>
          <w:color w:val="auto"/>
        </w:rPr>
        <w:t>” means any liability, contingent or otherwise (including any liability for damages, cost of environmental remediation, fines, penalties or indemnities),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 from time to time, including (unless the context otherwise requires) the rules or regulations promulgated thereunder.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Erroneous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10.11(a)</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Erroneous Payment Return Deficiency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10.11(d)</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EURIBOR</w:t>
      </w:r>
      <w:r>
        <w:rPr>
          <w:rFonts w:ascii="Arial" w:cs="Arial" w:eastAsia="Arial" w:hAnsi="Arial"/>
          <w:sz w:val="22"/>
          <w:szCs w:val="22"/>
          <w:color w:val="auto"/>
        </w:rPr>
        <w:t>” is defined in the definition of “Eurocurrency Base Rate.”</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w:t>
      </w:r>
      <w:r>
        <w:rPr>
          <w:rFonts w:ascii="Arial" w:cs="Arial" w:eastAsia="Arial" w:hAnsi="Arial"/>
          <w:sz w:val="22"/>
          <w:szCs w:val="22"/>
          <w:color w:val="auto"/>
        </w:rPr>
        <w:t>” means the single currency of the European Union as constituted by the Treaty on European Union and as referred to in the legislative measures of the European Union for the introduction of, changeover to or operation of the Euros in one or more member states, being in part legislative measures to implement the European and Monetary Union as contemplated in the Treaty on European Union.</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Advance</w:t>
      </w:r>
      <w:r>
        <w:rPr>
          <w:rFonts w:ascii="Arial" w:cs="Arial" w:eastAsia="Arial" w:hAnsi="Arial"/>
          <w:sz w:val="22"/>
          <w:szCs w:val="22"/>
          <w:color w:val="auto"/>
        </w:rPr>
        <w:t>” or “</w:t>
      </w:r>
      <w:r>
        <w:rPr>
          <w:rFonts w:ascii="Arial" w:cs="Arial" w:eastAsia="Arial" w:hAnsi="Arial"/>
          <w:sz w:val="22"/>
          <w:szCs w:val="22"/>
          <w:b w:val="1"/>
          <w:bCs w:val="1"/>
          <w:color w:val="auto"/>
        </w:rPr>
        <w:t>Eurocurrency Loan</w:t>
      </w:r>
      <w:r>
        <w:rPr>
          <w:rFonts w:ascii="Arial" w:cs="Arial" w:eastAsia="Arial" w:hAnsi="Arial"/>
          <w:sz w:val="22"/>
          <w:szCs w:val="22"/>
          <w:color w:val="auto"/>
        </w:rPr>
        <w:t xml:space="preserve">” means an Advance or Loan which, except as otherwise provided in </w:t>
      </w:r>
      <w:r>
        <w:rPr>
          <w:rFonts w:ascii="Arial" w:cs="Arial" w:eastAsia="Arial" w:hAnsi="Arial"/>
          <w:sz w:val="22"/>
          <w:szCs w:val="22"/>
          <w:u w:val="single" w:color="auto"/>
          <w:color w:val="auto"/>
        </w:rPr>
        <w:t>Section 2.11</w:t>
      </w:r>
      <w:r>
        <w:rPr>
          <w:rFonts w:ascii="Arial" w:cs="Arial" w:eastAsia="Arial" w:hAnsi="Arial"/>
          <w:sz w:val="22"/>
          <w:szCs w:val="22"/>
          <w:color w:val="auto"/>
        </w:rPr>
        <w:t>, bears interest based on the applicable Eurocurrency Rate. Eurocurrency Advances and Eurocurrency Loans shall be denominated in Dollars or a Foreign Currency. All Revolving Loans denominated in a Foreign Currency must be Eurocurrency Loans.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Base Rate</w:t>
      </w:r>
      <w:r>
        <w:rPr>
          <w:rFonts w:ascii="Arial" w:cs="Arial" w:eastAsia="Arial" w:hAnsi="Arial"/>
          <w:sz w:val="22"/>
          <w:szCs w:val="22"/>
          <w:color w:val="auto"/>
        </w:rPr>
        <w:t>” means</w:t>
      </w:r>
    </w:p>
    <w:p>
      <w:pPr>
        <w:spacing w:after="0" w:line="172" w:lineRule="exact"/>
        <w:rPr>
          <w:sz w:val="20"/>
          <w:szCs w:val="20"/>
          <w:color w:val="auto"/>
        </w:rPr>
      </w:pPr>
    </w:p>
    <w:p>
      <w:pPr>
        <w:ind w:left="1120" w:hanging="464"/>
        <w:spacing w:after="0"/>
        <w:tabs>
          <w:tab w:leader="none" w:pos="112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for any Interest Period with respect to a Eurocurrency Loan,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24" w:name="page225"/>
    <w:bookmarkEnd w:id="224"/>
    <w:p>
      <w:pPr>
        <w:jc w:val="both"/>
        <w:ind w:left="660" w:firstLine="644"/>
        <w:spacing w:after="0" w:line="260" w:lineRule="auto"/>
        <w:tabs>
          <w:tab w:leader="none" w:pos="157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denominated in Dollars, the rate per annum equal to the London Interbank Offered Rate administered by the ICE Benchmark Administration (or the successor thereto if the ICE Benchmark Administration is no longer making a London Interbank Offered Rate available) (“</w:t>
      </w:r>
      <w:r>
        <w:rPr>
          <w:rFonts w:ascii="Arial" w:cs="Arial" w:eastAsia="Arial" w:hAnsi="Arial"/>
          <w:sz w:val="21"/>
          <w:szCs w:val="21"/>
          <w:b w:val="1"/>
          <w:bCs w:val="1"/>
          <w:color w:val="auto"/>
        </w:rPr>
        <w:t>LIBOR</w:t>
      </w:r>
      <w:r>
        <w:rPr>
          <w:rFonts w:ascii="Arial" w:cs="Arial" w:eastAsia="Arial" w:hAnsi="Arial"/>
          <w:sz w:val="21"/>
          <w:szCs w:val="21"/>
          <w:color w:val="auto"/>
        </w:rPr>
        <w:t>”) as published on the applicable Reuters screen page as the London interbank offered rate for deposits in dollars (or such other comparable commercially available source providing such quotations as may be designated by the Administrative Agent from time to time in its reasonable discretion) at approximately 11:00 a.m., (London, England time) on the Rate Determination Date (for delivery on the first day of such Interest Period) with a term equivalent to such Interest Period;</w:t>
      </w:r>
    </w:p>
    <w:p>
      <w:pPr>
        <w:spacing w:after="0" w:line="120" w:lineRule="exact"/>
        <w:rPr>
          <w:rFonts w:ascii="Arial" w:cs="Arial" w:eastAsia="Arial" w:hAnsi="Arial"/>
          <w:sz w:val="21"/>
          <w:szCs w:val="21"/>
          <w:color w:val="auto"/>
        </w:rPr>
      </w:pPr>
    </w:p>
    <w:p>
      <w:pPr>
        <w:jc w:val="both"/>
        <w:ind w:left="660" w:firstLine="644"/>
        <w:spacing w:after="0" w:line="247" w:lineRule="auto"/>
        <w:tabs>
          <w:tab w:leader="none" w:pos="1693" w:val="left"/>
        </w:tabs>
        <w:numPr>
          <w:ilvl w:val="0"/>
          <w:numId w:val="164"/>
        </w:numPr>
        <w:rPr>
          <w:rFonts w:ascii="Arial" w:cs="Arial" w:eastAsia="Arial" w:hAnsi="Arial"/>
          <w:sz w:val="22"/>
          <w:szCs w:val="22"/>
          <w:color w:val="auto"/>
        </w:rPr>
      </w:pPr>
      <w:r>
        <w:rPr>
          <w:rFonts w:ascii="Arial" w:cs="Arial" w:eastAsia="Arial" w:hAnsi="Arial"/>
          <w:sz w:val="22"/>
          <w:szCs w:val="22"/>
          <w:color w:val="auto"/>
        </w:rPr>
        <w:t>denominated in Euros, the rate per annum equal to the Euro Interbank Offered Rate (“</w:t>
      </w:r>
      <w:r>
        <w:rPr>
          <w:rFonts w:ascii="Arial" w:cs="Arial" w:eastAsia="Arial" w:hAnsi="Arial"/>
          <w:sz w:val="22"/>
          <w:szCs w:val="22"/>
          <w:b w:val="1"/>
          <w:bCs w:val="1"/>
          <w:color w:val="auto"/>
        </w:rPr>
        <w:t>EURIBOR</w:t>
      </w:r>
      <w:r>
        <w:rPr>
          <w:rFonts w:ascii="Arial" w:cs="Arial" w:eastAsia="Arial" w:hAnsi="Arial"/>
          <w:sz w:val="22"/>
          <w:szCs w:val="22"/>
          <w:color w:val="auto"/>
        </w:rPr>
        <w:t>”) determined by the European Money Market Institute (or any other Person that takes over the administration of such rate) as the rate at which interbank deposits in Euros are being offered by one prime bank to another within the Euros zone for such Interest Periods), as published on the applicable Reuters screen page (or such other comparable commercially available source providing such quotations as may be designated by the Administrative Agent from time to time in its reasonable discretion) at approximately 11:00 a.m. (Brussels, Belgium time) on the Rate Determination Date with a term equivalent to such Interest Period;</w:t>
      </w:r>
    </w:p>
    <w:p>
      <w:pPr>
        <w:spacing w:after="0" w:line="135" w:lineRule="exact"/>
        <w:rPr>
          <w:rFonts w:ascii="Arial" w:cs="Arial" w:eastAsia="Arial" w:hAnsi="Arial"/>
          <w:sz w:val="22"/>
          <w:szCs w:val="22"/>
          <w:color w:val="auto"/>
        </w:rPr>
      </w:pPr>
    </w:p>
    <w:p>
      <w:pPr>
        <w:jc w:val="both"/>
        <w:ind w:left="660" w:firstLine="644"/>
        <w:spacing w:after="0" w:line="249" w:lineRule="auto"/>
        <w:tabs>
          <w:tab w:leader="none" w:pos="168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denominated in Canadian dollars, the rate per annum equal to the Canadian Dealer Offered Rate (“</w:t>
      </w:r>
      <w:r>
        <w:rPr>
          <w:rFonts w:ascii="Arial" w:cs="Arial" w:eastAsia="Arial" w:hAnsi="Arial"/>
          <w:sz w:val="22"/>
          <w:szCs w:val="22"/>
          <w:b w:val="1"/>
          <w:bCs w:val="1"/>
          <w:color w:val="auto"/>
        </w:rPr>
        <w:t>CDOR</w:t>
      </w:r>
      <w:r>
        <w:rPr>
          <w:rFonts w:ascii="Arial" w:cs="Arial" w:eastAsia="Arial" w:hAnsi="Arial"/>
          <w:sz w:val="22"/>
          <w:szCs w:val="22"/>
          <w:color w:val="auto"/>
        </w:rPr>
        <w:t>”), as published on the applicable Reuters screen page (or such other comparable commercially available source providing such quotations as may be designated by the Administrative Agent from time to time in its reasonable discretion) at approximately 11:00 a.m. (Toronto, Ontario time) on the Rate Determination Date with a term equivalent to such Interest Period; and</w:t>
      </w:r>
    </w:p>
    <w:p>
      <w:pPr>
        <w:spacing w:after="0" w:line="138" w:lineRule="exact"/>
        <w:rPr>
          <w:sz w:val="20"/>
          <w:szCs w:val="20"/>
          <w:color w:val="auto"/>
        </w:rPr>
      </w:pPr>
    </w:p>
    <w:p>
      <w:pPr>
        <w:jc w:val="both"/>
        <w:ind w:right="20" w:firstLine="656"/>
        <w:spacing w:after="0" w:line="271" w:lineRule="auto"/>
        <w:tabs>
          <w:tab w:leader="none" w:pos="1186" w:val="left"/>
        </w:tabs>
        <w:numPr>
          <w:ilvl w:val="0"/>
          <w:numId w:val="165"/>
        </w:numPr>
        <w:rPr>
          <w:rFonts w:ascii="Arial" w:cs="Arial" w:eastAsia="Arial" w:hAnsi="Arial"/>
          <w:sz w:val="21"/>
          <w:szCs w:val="21"/>
          <w:color w:val="auto"/>
        </w:rPr>
      </w:pPr>
      <w:r>
        <w:rPr>
          <w:rFonts w:ascii="Arial" w:cs="Arial" w:eastAsia="Arial" w:hAnsi="Arial"/>
          <w:sz w:val="21"/>
          <w:szCs w:val="21"/>
          <w:color w:val="auto"/>
        </w:rPr>
        <w:t>for any interest calculation with respect to an Alternate Base Rate Loan on any date, the rate per annum equal to LIBOR, at approximately 11:00 a.m., London time determined two (2) London Banking Days prior to such date for Dollar deposits being delivered in the London interbank market for a term of one month commencing that day.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Eurocurrency Base Rate shall be less than zero, such rate shall be deemed zero for all purposes of this Agreement.</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Rate</w:t>
      </w:r>
      <w:r>
        <w:rPr>
          <w:rFonts w:ascii="Arial" w:cs="Arial" w:eastAsia="Arial" w:hAnsi="Arial"/>
          <w:sz w:val="22"/>
          <w:szCs w:val="22"/>
          <w:color w:val="auto"/>
        </w:rPr>
        <w:t xml:space="preserve">” means, with respect to a Eurocurrency Advance for the relevant Interest Period, the quotient of (i) the Eurocurrency Base Rate applicable to such Interest Period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(ii) one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the Reserve Requirement (expressed as a decimal) applicable to such Interest Period.</w:t>
      </w:r>
    </w:p>
    <w:p>
      <w:pPr>
        <w:spacing w:after="0" w:line="1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Rate</w:t>
      </w:r>
      <w:r>
        <w:rPr>
          <w:rFonts w:ascii="Arial" w:cs="Arial" w:eastAsia="Arial" w:hAnsi="Arial"/>
          <w:sz w:val="21"/>
          <w:szCs w:val="21"/>
          <w:color w:val="auto"/>
        </w:rPr>
        <w:t>” for a currency means the rate determined by the Administrative Agent or an Issuing Lender, as applicable, for the purchase of such currency with another currency, as published on the applicable Reuters screen page (or such other source as may be agreed upon by the Administrative Agent or any Issuing Lender, as applicable,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25" w:name="page226"/>
    <w:bookmarkEnd w:id="225"/>
    <w:p>
      <w:pPr>
        <w:jc w:val="both"/>
        <w:spacing w:after="0" w:line="287" w:lineRule="auto"/>
        <w:rPr>
          <w:sz w:val="20"/>
          <w:szCs w:val="20"/>
          <w:color w:val="auto"/>
        </w:rPr>
      </w:pPr>
      <w:r>
        <w:rPr>
          <w:rFonts w:ascii="Arial" w:cs="Arial" w:eastAsia="Arial" w:hAnsi="Arial"/>
          <w:sz w:val="19"/>
          <w:szCs w:val="19"/>
          <w:color w:val="auto"/>
        </w:rPr>
        <w:t>Borrower) at or about 11:00 a.m. (New York time) on the date two Business Days prior to the date as of which the foreign exchange computation is made. In the event that such rate does not appear on the applicable Reuters screen page (or such other source as may be agreed upon by the Administrative Agent or any Issuing Lender, as applicable, and the Borrower), the “</w:t>
      </w:r>
      <w:r>
        <w:rPr>
          <w:rFonts w:ascii="Arial" w:cs="Arial" w:eastAsia="Arial" w:hAnsi="Arial"/>
          <w:sz w:val="19"/>
          <w:szCs w:val="19"/>
          <w:b w:val="1"/>
          <w:bCs w:val="1"/>
          <w:color w:val="auto"/>
        </w:rPr>
        <w:t>Exchange Rate</w:t>
      </w:r>
      <w:r>
        <w:rPr>
          <w:rFonts w:ascii="Arial" w:cs="Arial" w:eastAsia="Arial" w:hAnsi="Arial"/>
          <w:sz w:val="19"/>
          <w:szCs w:val="19"/>
          <w:color w:val="auto"/>
        </w:rPr>
        <w:t>” with respect to the purchase of such currency with another currency shall be determined by reference to such other publicly available service for displaying exchange rates as may be agreed upon by the Administrative Agent or any Issuing Lender, as applicable, and the Borrower, or, in the absence of such agreement, such “</w:t>
      </w:r>
      <w:r>
        <w:rPr>
          <w:rFonts w:ascii="Arial" w:cs="Arial" w:eastAsia="Arial" w:hAnsi="Arial"/>
          <w:sz w:val="19"/>
          <w:szCs w:val="19"/>
          <w:b w:val="1"/>
          <w:bCs w:val="1"/>
          <w:color w:val="auto"/>
        </w:rPr>
        <w:t>Exchange Rate</w:t>
      </w:r>
      <w:r>
        <w:rPr>
          <w:rFonts w:ascii="Arial" w:cs="Arial" w:eastAsia="Arial" w:hAnsi="Arial"/>
          <w:sz w:val="19"/>
          <w:szCs w:val="19"/>
          <w:color w:val="auto"/>
        </w:rPr>
        <w:t xml:space="preserve">” shall instead be the rate determined by the Administrative Agent or an Issuing Lender, as applicable, to be the rate quoted by the Person acting in such capacity as the spot rate for the purchase by such Person of such currency with another currency through its principal foreign exchange trading office in respect of such currency at approximately 11:00 a.m. (local time) on the date two Business Days prior to the date as of which the foreign exchange computation is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at the time of any such determination, no such spot rate can reasonably be quoted, the Administrative Agent or an Issuing Lender, as applicable, may use any reasonable method as it deems applicable to determine such rate, and such determination shall be conclusive absent manifest error.</w:t>
      </w:r>
    </w:p>
    <w:p>
      <w:pPr>
        <w:spacing w:after="0" w:line="9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xml:space="preserve">” means any of the following Taxes imposed on, with respect to, or required to be withheld or deduction from a payment a payment to, the Administrative Agent, any Lender or any other recipient of any payment to be made by or on account of any obligation of the Borrower hereunder, (a) Taxes imposed on or measured by its net income (however denominated), franchise Taxes, and branch profits or similar Taxes, in each case, imposed by the jurisdiction (or any political subdivision thereof) (i) under the laws of which such recipient is organized or in which its principal office is located or, in the case of any Lender, in which its applicable Lending Installation is located, or (ii) that are Other Connection Taxes, (b) any backup withholding Tax that is required by the Code to be withheld from amounts payable to a Lender that has failed to comply with </w:t>
      </w:r>
      <w:r>
        <w:rPr>
          <w:rFonts w:ascii="Arial" w:cs="Arial" w:eastAsia="Arial" w:hAnsi="Arial"/>
          <w:sz w:val="19"/>
          <w:szCs w:val="19"/>
          <w:u w:val="single" w:color="auto"/>
          <w:color w:val="auto"/>
        </w:rPr>
        <w:t>Section 3.05(e)(ii)</w:t>
      </w:r>
      <w:r>
        <w:rPr>
          <w:rFonts w:ascii="Arial" w:cs="Arial" w:eastAsia="Arial" w:hAnsi="Arial"/>
          <w:sz w:val="19"/>
          <w:szCs w:val="19"/>
          <w:color w:val="auto"/>
        </w:rPr>
        <w:t xml:space="preserve">, (c) in the case of a Lender, any U.S. federal withholding Tax that is required to be imposed on amounts payable to such Lender (other than an assignee pursuant to a request by the Borrower under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pursuant to the laws in force at the time such Lender becomes a party hereto (or designates a new Lending Installation), except to the extent that such Lender (or its assignor, if any) was entitled, at the time of designation of a new Lending Installation (or assignment), to receive additional amounts from the Borrower with respect to such withholding Tax pursuant to </w:t>
      </w:r>
      <w:r>
        <w:rPr>
          <w:rFonts w:ascii="Arial" w:cs="Arial" w:eastAsia="Arial" w:hAnsi="Arial"/>
          <w:sz w:val="19"/>
          <w:szCs w:val="19"/>
          <w:u w:val="single" w:color="auto"/>
          <w:color w:val="auto"/>
        </w:rPr>
        <w:t>Section 3.05(a)(i)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(d) any withholding Tax that is attributable to such Lender’s failure to comply with </w:t>
      </w:r>
      <w:r>
        <w:rPr>
          <w:rFonts w:ascii="Arial" w:cs="Arial" w:eastAsia="Arial" w:hAnsi="Arial"/>
          <w:sz w:val="19"/>
          <w:szCs w:val="19"/>
          <w:u w:val="single" w:color="auto"/>
          <w:color w:val="auto"/>
        </w:rPr>
        <w:t>Section 3.05(e)</w:t>
      </w:r>
      <w:r>
        <w:rPr>
          <w:rFonts w:ascii="Arial" w:cs="Arial" w:eastAsia="Arial" w:hAnsi="Arial"/>
          <w:sz w:val="19"/>
          <w:szCs w:val="19"/>
          <w:color w:val="auto"/>
        </w:rPr>
        <w:t xml:space="preserve"> and (e) any U.S. withholding Taxes imposed under FATCA.</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Exhibit</w:t>
      </w:r>
      <w:r>
        <w:rPr>
          <w:rFonts w:ascii="Arial" w:cs="Arial" w:eastAsia="Arial" w:hAnsi="Arial"/>
          <w:sz w:val="22"/>
          <w:szCs w:val="22"/>
          <w:color w:val="auto"/>
        </w:rPr>
        <w:t>” refers to an exhibit to this Agreement, unless another document is specifically referenced.</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Letter of Credit</w:t>
      </w:r>
      <w:r>
        <w:rPr>
          <w:rFonts w:ascii="Arial" w:cs="Arial" w:eastAsia="Arial" w:hAnsi="Arial"/>
          <w:sz w:val="22"/>
          <w:szCs w:val="22"/>
          <w:color w:val="auto"/>
        </w:rPr>
        <w:t>” means each letter of credit listed on Schedule 2.03 issued prior to the Closing Date by a Person that is a Lender as of the Closing Date, which schedule shall be delivered to the Administrative Agent on or prior to the Closing Date (subject, for the avoidance of doubt, to the satisfaction (or waiver) of the conditions set forth in the first proviso to Section 2.03(a)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26" w:name="page227"/>
    <w:bookmarkEnd w:id="22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Stated Maturity Date</w:t>
      </w:r>
      <w:r>
        <w:rPr>
          <w:rFonts w:ascii="Arial" w:cs="Arial" w:eastAsia="Arial" w:hAnsi="Arial"/>
          <w:sz w:val="22"/>
          <w:szCs w:val="22"/>
          <w:color w:val="auto"/>
        </w:rPr>
        <w:t>” is defined in Section 2.23.</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Termination Date</w:t>
      </w:r>
      <w:r>
        <w:rPr>
          <w:rFonts w:ascii="Arial" w:cs="Arial" w:eastAsia="Arial" w:hAnsi="Arial"/>
          <w:sz w:val="22"/>
          <w:szCs w:val="22"/>
          <w:color w:val="auto"/>
        </w:rPr>
        <w:t xml:space="preserve">” means the earliest of (a) five years following the Closing Date, or any later date to which this date may be extended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case, if such date is not a Business Day, such date shall be the immediately preceding Business Day (this clause (a), the “</w:t>
      </w:r>
      <w:r>
        <w:rPr>
          <w:rFonts w:ascii="Arial" w:cs="Arial" w:eastAsia="Arial" w:hAnsi="Arial"/>
          <w:sz w:val="22"/>
          <w:szCs w:val="22"/>
          <w:b w:val="1"/>
          <w:bCs w:val="1"/>
          <w:color w:val="auto"/>
        </w:rPr>
        <w:t>Stated Maturity Date</w:t>
      </w:r>
      <w:r>
        <w:rPr>
          <w:rFonts w:ascii="Arial" w:cs="Arial" w:eastAsia="Arial" w:hAnsi="Arial"/>
          <w:sz w:val="22"/>
          <w:szCs w:val="22"/>
          <w:color w:val="auto"/>
        </w:rPr>
        <w:t xml:space="preserve">”), (b) if the GXO Distribution Condition has not been satisfied on or prior to such date, December 9, 2021 (or, if agreed to by Lenders holding Commitments representing more than 75% of the Aggregate Commitments, January 8, 2022, or such later date as agreed to by Lenders holding 100% of the Aggregate Commitments) and (c) the date of termination in whole of the Aggregate Commitment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8.01</w:t>
      </w:r>
      <w:r>
        <w:rPr>
          <w:rFonts w:ascii="Arial" w:cs="Arial" w:eastAsia="Arial" w:hAnsi="Arial"/>
          <w:sz w:val="22"/>
          <w:szCs w:val="22"/>
          <w:color w:val="auto"/>
        </w:rPr>
        <w:t xml:space="preserve"> hereof.</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w:t>
      </w:r>
      <w:r>
        <w:rPr>
          <w:rFonts w:ascii="Arial" w:cs="Arial" w:eastAsia="Arial" w:hAnsi="Arial"/>
          <w:sz w:val="22"/>
          <w:szCs w:val="22"/>
          <w:color w:val="auto"/>
        </w:rPr>
        <w:t>” means Sections 1471-1474 of the Code as of the date of this Agreement (or any amended or successor version that is substantively comparable and not materially more onerous to comply with) and any current or future regulations promulgated thereunder or official interpretations thereof and any agreements entered into pursuant to Section 1471(b) of the Code, any intergovernmental agreements, treaty or convention entered into in connection with the implementation of the foregoing and any laws, rules and regulations adopted by a non-U.S. jurisdiction to effect any such intergovernmental agreement, treaty or convention.</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Citibank on such day on such transactions as determined by the Administrative Agent.</w:t>
      </w:r>
    </w:p>
    <w:p>
      <w:pPr>
        <w:spacing w:after="0" w:line="9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Letters</w:t>
      </w:r>
      <w:r>
        <w:rPr>
          <w:rFonts w:ascii="Arial" w:cs="Arial" w:eastAsia="Arial" w:hAnsi="Arial"/>
          <w:sz w:val="19"/>
          <w:szCs w:val="19"/>
          <w:color w:val="auto"/>
        </w:rPr>
        <w:t>” means (a) the Citi Fee Letter, dated as of May 24, 2021, between the Borrower and the Administrative Agent, (b) the Barclays Fee Letter, dated as of May 24, 2021, between the Borrower and Barclays Bank PLC and (c) the Crédit Agricole Fee Letter, dated as of May 24, 2021, between the Borrower and Crédit Agricole Corporate and Investment Bank.</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Fitch</w:t>
      </w:r>
      <w:r>
        <w:rPr>
          <w:rFonts w:ascii="Arial" w:cs="Arial" w:eastAsia="Arial" w:hAnsi="Arial"/>
          <w:sz w:val="22"/>
          <w:szCs w:val="22"/>
          <w:color w:val="auto"/>
        </w:rPr>
        <w:t>” means Fitch, Inc. (or any successor thereto).</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the initial Benchmark for Dollars and for each Foreign Currency provided for hereunder.</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Currency</w:t>
      </w:r>
      <w:r>
        <w:rPr>
          <w:rFonts w:ascii="Arial" w:cs="Arial" w:eastAsia="Arial" w:hAnsi="Arial"/>
          <w:sz w:val="22"/>
          <w:szCs w:val="22"/>
          <w:color w:val="auto"/>
        </w:rPr>
        <w:t>” means Canadian Dollars, Euros or any other currency (other than Canadian Dollars and Euros) which is approved in accordance with Section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2" w:right="339" w:bottom="1440" w:gutter="0" w:footer="0" w:header="0"/>
        </w:sectPr>
      </w:pPr>
    </w:p>
    <w:bookmarkStart w:id="227" w:name="page228"/>
    <w:bookmarkEnd w:id="227"/>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any Lender that is not organized under the laws of the United States, any State thereof or the District of Columbia.</w:t>
      </w:r>
    </w:p>
    <w:p>
      <w:pPr>
        <w:spacing w:after="0" w:line="10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Pension Plan</w:t>
      </w:r>
      <w:r>
        <w:rPr>
          <w:rFonts w:ascii="Arial" w:cs="Arial" w:eastAsia="Arial" w:hAnsi="Arial"/>
          <w:sz w:val="19"/>
          <w:szCs w:val="19"/>
          <w:color w:val="auto"/>
        </w:rPr>
        <w:t>” means any defined benefit plan as described in Section 3(35) of ERISA for which the Borrower, any Subsidiary or any member of the Controlled Group is a sponsor or administrator or to which the Borrower, any Subsidiary or any member of the Controlled Group has any liability, and which (a) is maintained or contributed to for the benefit of employees of the Borrower, any of its respective Subsidiaries or any member of its Controlled Group, (b) is not covered by ERISA pursuant to Section 4(b)(4) of ERISA, and (c) under applicable local law, is required to be funded through a trust or other funding vehicle.</w:t>
      </w:r>
    </w:p>
    <w:p>
      <w:pPr>
        <w:spacing w:after="0" w:line="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Fronting Exposure</w:t>
      </w:r>
      <w:r>
        <w:rPr>
          <w:rFonts w:ascii="Arial" w:cs="Arial" w:eastAsia="Arial" w:hAnsi="Arial"/>
          <w:sz w:val="22"/>
          <w:szCs w:val="22"/>
          <w:color w:val="auto"/>
        </w:rPr>
        <w:t>” means, at any time there is a Defaulting Lender, with respect to any Issuing Lender, such Defaulting Lender’s Pro Rata Share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w:t>
      </w:r>
    </w:p>
    <w:p>
      <w:pPr>
        <w:spacing w:after="0" w:line="12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w:t>
      </w:r>
      <w:r>
        <w:rPr>
          <w:rFonts w:ascii="Arial" w:cs="Arial" w:eastAsia="Arial" w:hAnsi="Arial"/>
          <w:sz w:val="21"/>
          <w:szCs w:val="21"/>
          <w:color w:val="auto"/>
        </w:rPr>
        <w:t>” means any Person (other than a natural person) that is (or will be) engaged in making, purchasing, holding or otherwise investing in commercial loans and similar extensions of credit in the ordinary course of its business.</w:t>
      </w:r>
    </w:p>
    <w:p>
      <w:pPr>
        <w:spacing w:after="0" w:line="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 of America, as in effect from time to time, subject to the Agreement Accounting Principles.</w:t>
      </w:r>
    </w:p>
    <w:p>
      <w:pPr>
        <w:spacing w:after="0" w:line="10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Guarantors</w:t>
      </w:r>
      <w:r>
        <w:rPr>
          <w:rFonts w:ascii="Arial" w:cs="Arial" w:eastAsia="Arial" w:hAnsi="Arial"/>
          <w:sz w:val="22"/>
          <w:szCs w:val="22"/>
          <w:color w:val="auto"/>
        </w:rPr>
        <w:t xml:space="preserve">” means after the Effective Date, any Subsidiary of the Borrower that becomes a Guarantor pursuant to </w:t>
      </w:r>
      <w:r>
        <w:rPr>
          <w:rFonts w:ascii="Arial" w:cs="Arial" w:eastAsia="Arial" w:hAnsi="Arial"/>
          <w:sz w:val="22"/>
          <w:szCs w:val="22"/>
          <w:u w:val="single" w:color="auto"/>
          <w:color w:val="auto"/>
        </w:rPr>
        <w:t>Section 16.01</w:t>
      </w:r>
      <w:r>
        <w:rPr>
          <w:rFonts w:ascii="Arial" w:cs="Arial" w:eastAsia="Arial" w:hAnsi="Arial"/>
          <w:sz w:val="22"/>
          <w:szCs w:val="22"/>
          <w:color w:val="auto"/>
        </w:rPr>
        <w:t>; provided that upon the release or discharge of any Subsidiary from its Guarantee in accordance with the terms of this Agreement, such Person shall cease to be a Guarantor; provided, further, that as of the Effective Date, there shall be no Guarantors under this Agreement or any other Loan Document.</w:t>
      </w:r>
    </w:p>
    <w:p>
      <w:pPr>
        <w:spacing w:after="0" w:line="1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GXO Distribution Condition</w:t>
      </w:r>
      <w:r>
        <w:rPr>
          <w:rFonts w:ascii="Arial" w:cs="Arial" w:eastAsia="Arial" w:hAnsi="Arial"/>
          <w:sz w:val="22"/>
          <w:szCs w:val="22"/>
          <w:color w:val="auto"/>
        </w:rPr>
        <w:t>” shall be satisfied if the distribution of all shares of common stock of the Borrower to the shareholders of XPO Logistics, Inc. (the “</w:t>
      </w:r>
      <w:r>
        <w:rPr>
          <w:rFonts w:ascii="Arial" w:cs="Arial" w:eastAsia="Arial" w:hAnsi="Arial"/>
          <w:sz w:val="22"/>
          <w:szCs w:val="22"/>
          <w:b w:val="1"/>
          <w:bCs w:val="1"/>
          <w:color w:val="auto"/>
        </w:rPr>
        <w:t>Spinoff</w:t>
      </w:r>
      <w:r>
        <w:rPr>
          <w:rFonts w:ascii="Arial" w:cs="Arial" w:eastAsia="Arial" w:hAnsi="Arial"/>
          <w:sz w:val="22"/>
          <w:szCs w:val="22"/>
          <w:color w:val="auto"/>
        </w:rPr>
        <w:t>”) shall have been consummated in a manner substantially consistent in all material respects with the description thereof in the Borrower Form 10, except any failure or failures to be so consistent (i) to the extent relating to (A) any updates to the financial statements, other financial information, notes thereto and other information contained or to be contained therein in respect of subsequent periods in accordance with the rules and regulations of the SEC or otherwise relating to the passage of time, (B) information previously omitted, in whole or in part, in the Borrower Form 10 that is added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2" w:right="339" w:bottom="1440" w:gutter="0" w:footer="0" w:header="0"/>
        </w:sectPr>
      </w:pPr>
    </w:p>
    <w:bookmarkStart w:id="228" w:name="page229"/>
    <w:bookmarkEnd w:id="228"/>
    <w:p>
      <w:pPr>
        <w:jc w:val="both"/>
        <w:spacing w:after="0" w:line="250" w:lineRule="auto"/>
        <w:rPr>
          <w:sz w:val="20"/>
          <w:szCs w:val="20"/>
          <w:color w:val="auto"/>
        </w:rPr>
      </w:pPr>
      <w:r>
        <w:rPr>
          <w:rFonts w:ascii="Arial" w:cs="Arial" w:eastAsia="Arial" w:hAnsi="Arial"/>
          <w:sz w:val="22"/>
          <w:szCs w:val="22"/>
          <w:color w:val="auto"/>
        </w:rPr>
        <w:t>with the completion of the disclosures contained in the final Borrower Form 10 or (C) information required to be included therein by applicable law or regulation or included therein in response to any comment issued by the SEC or (ii) that, in the aggregate, are not material and adverse to the interests of the Lenders (in their capacity as such) (except as otherwise agreed by the Required Lenders).</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Materials</w:t>
      </w:r>
      <w:r>
        <w:rPr>
          <w:rFonts w:ascii="Arial" w:cs="Arial" w:eastAsia="Arial" w:hAnsi="Arial"/>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Hong Kong Dollars</w:t>
      </w:r>
      <w:r>
        <w:rPr>
          <w:rFonts w:ascii="Arial" w:cs="Arial" w:eastAsia="Arial" w:hAnsi="Arial"/>
          <w:sz w:val="22"/>
          <w:szCs w:val="22"/>
          <w:color w:val="auto"/>
        </w:rPr>
        <w:t>” means the lawful currency of the Hong Kong Special Administrative Region of the People's Republic of China.</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Amount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Revolving Credit Commitment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Indebtedness</w:t>
      </w:r>
      <w:r>
        <w:rPr>
          <w:rFonts w:ascii="Arial" w:cs="Arial" w:eastAsia="Arial" w:hAnsi="Arial"/>
          <w:sz w:val="21"/>
          <w:szCs w:val="21"/>
          <w:color w:val="auto"/>
        </w:rPr>
        <w:t>” of a Person means, without duplication, (a) the obligations of such Person (i) for borrowed money, (ii) under or with respect to notes payable which represent extensions of credit (whether or not representing obligations for borrowed money) to such Person, (iii) constituting reimbursement obligations with respect to letters of credit and banker’s acceptances issued for the account of such Person, (iv) for the deferred purchase price of property or services (other than current accounts payable arising in the ordinary course of such Person’s business payable on terms customary in the trade), (v) for its Contingent Obligations, (vi) for its Net Mark-to-Market Exposure under Rate Management Transactions, (vii) for its Capitalized Lease Obligations, (viii) [Reserved], (ix) [Reserved] and (x) with respect to Disqualified Stock, (b) the obligations of others, whether or not assumed, secured by Liens on property of such Person or payable out of the proceeds of, or production from, property or assets now or hereafter owned or acquired by such Person and (c) any other obligation or other financial accommodation which in accordance with Agreement Accounting Principles would be shown as a liability on the consolidated balance sheet of such Person.</w:t>
      </w:r>
    </w:p>
    <w:p>
      <w:pPr>
        <w:spacing w:after="0" w:line="1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 for Borrowed Money</w:t>
      </w:r>
      <w:r>
        <w:rPr>
          <w:rFonts w:ascii="Arial" w:cs="Arial" w:eastAsia="Arial" w:hAnsi="Arial"/>
          <w:sz w:val="19"/>
          <w:szCs w:val="19"/>
          <w:color w:val="auto"/>
        </w:rPr>
        <w:t>” of a Person means, without duplication, (a) the outstanding principal amount of indebtedness for borrowed money (whether or not evidenced by bonds, debentures, notes or similar instruments), (b) obligations for the deferred purchase price of property or services (other than (i) trade accounts payable, intercompany charges and expenses, deferred revenue and other accrued liabilities (including deferred payments in respect of services by employees), in each case incurred in the ordinary course of business and (ii) any earn-out obligation or other post-closing balance sheet adjustment prior to such time as it becomes a liability on the balance sheet of the Borrower in accordance with GAAP), (c) Capitalized Lease Obligations, (d) unpaid reimbursement obligations with respect to drawn letters of credit and banker’s acceptances issued for the account of such Person (to the extent not already cash collateralized) and (e) obligations under direct or indirect guaranties in respect of, and obligations (contingent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29" w:name="page230"/>
    <w:bookmarkEnd w:id="229"/>
    <w:p>
      <w:pPr>
        <w:spacing w:after="0" w:line="291" w:lineRule="auto"/>
        <w:rPr>
          <w:sz w:val="20"/>
          <w:szCs w:val="20"/>
          <w:color w:val="auto"/>
        </w:rPr>
      </w:pPr>
      <w:r>
        <w:rPr>
          <w:rFonts w:ascii="Arial" w:cs="Arial" w:eastAsia="Arial" w:hAnsi="Arial"/>
          <w:sz w:val="19"/>
          <w:szCs w:val="19"/>
          <w:color w:val="auto"/>
        </w:rPr>
        <w:t>otherwise) to purchase or otherwise acquire, or otherwise to assure a creditor against loss in respect of, indebtedness or obligations of any other Person of the kinds referred to in clause (a), (b), (c) or (d) above. Notwithstanding the foregoing, clause</w:t>
      </w:r>
    </w:p>
    <w:p>
      <w:pPr>
        <w:spacing w:after="0" w:line="1" w:lineRule="exact"/>
        <w:rPr>
          <w:sz w:val="20"/>
          <w:szCs w:val="20"/>
          <w:color w:val="auto"/>
        </w:rPr>
      </w:pPr>
    </w:p>
    <w:p>
      <w:pPr>
        <w:jc w:val="both"/>
        <w:ind w:firstLine="8"/>
        <w:spacing w:after="0" w:line="245" w:lineRule="auto"/>
        <w:tabs>
          <w:tab w:leader="none" w:pos="303" w:val="left"/>
        </w:tabs>
        <w:numPr>
          <w:ilvl w:val="0"/>
          <w:numId w:val="166"/>
        </w:numPr>
        <w:rPr>
          <w:rFonts w:ascii="Arial" w:cs="Arial" w:eastAsia="Arial" w:hAnsi="Arial"/>
          <w:sz w:val="22"/>
          <w:szCs w:val="22"/>
          <w:color w:val="auto"/>
        </w:rPr>
      </w:pPr>
      <w:r>
        <w:rPr>
          <w:rFonts w:ascii="Arial" w:cs="Arial" w:eastAsia="Arial" w:hAnsi="Arial"/>
          <w:sz w:val="22"/>
          <w:szCs w:val="22"/>
          <w:color w:val="auto"/>
        </w:rPr>
        <w:t>shall not include any obligations of the Borrower or any Subsidiary classified as Capitalized Lease Obligations under GAAP or for other accounting purposes, but for which the Borrower and its Subsidiaries do not make and are not required to make any cash payment.</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Taxes (other than Excluded Taxes) imposed on or with respect to any payment made by or on account of any obligation of the Borrower hereunder.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9.06(b)</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9.10</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xml:space="preserve">” means, with respect to a Eurocurrency Advance, a period of one week, one, two, three or six months or such other period agreed to by the Lenders and the Borrower, commencing on a Borrowing Date or on the date on which a Eurocurrency Advance is continued or an Alternate Base Rate Advance is converted into a Eurocurrency Advance;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Interest Periods of one week and two months for Eurocurrency Advances based on LIBOR shall not be available and Interest Periods of six months for Eurocurrency Advances based on CDOR shall not be available. Such Interest Period shall end on but exclude the day which corresponds numerically to such date one, two, three or six months or such other agreed upon period thereafter, or, in the case of an Interest Period of one week shall end on but exclude the day that is one week thereafter;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there is no such numerically corresponding day in such next, second, third or sixth succeeding month or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 succeeding period, such Interest Period shall end on the last Business Day of such next, second, third or sixth succeeding month or such other succeeding period. If an Interest Period would otherwise end on a day which is not a Business Day, such Interest Period shall end on the next succeeding Business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said next succeeding Business Day falls in a new calendar month, such Interest Period shall end on the immediately preceding Business Day.</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26"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ISP</w:t>
      </w:r>
      <w:r>
        <w:rPr>
          <w:rFonts w:ascii="Arial" w:cs="Arial" w:eastAsia="Arial" w:hAnsi="Arial"/>
          <w:sz w:val="21"/>
          <w:szCs w:val="21"/>
          <w:color w:val="auto"/>
        </w:rPr>
        <w:t>” means the “International Standby Practices 1998” published by the Institute of International Banking Law &amp; Practice, Inc. (or such later version thereof as may be in effect at the time of issuance of the relevant Letter of Credit).</w:t>
      </w:r>
    </w:p>
    <w:p>
      <w:pPr>
        <w:spacing w:after="0" w:line="8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Issuing Lender</w:t>
      </w:r>
      <w:r>
        <w:rPr>
          <w:rFonts w:ascii="Arial" w:cs="Arial" w:eastAsia="Arial" w:hAnsi="Arial"/>
          <w:sz w:val="19"/>
          <w:szCs w:val="19"/>
          <w:color w:val="auto"/>
        </w:rPr>
        <w:t>” means each of (a) Citibank, (b) Barclays Bank PLC, (c) Crédit Agricole Corporate and Investment Bank, (d) solely with respect to any Existing Letter of Credit, to the extent such person is not already an Issuing Lender, the Lender or Affiliate of a Lender that issued such Existing Letter of Credit and (e) any other Lender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30" w:name="page231"/>
    <w:bookmarkEnd w:id="230"/>
    <w:p>
      <w:pPr>
        <w:jc w:val="both"/>
        <w:ind w:right="20"/>
        <w:spacing w:after="0" w:line="271" w:lineRule="auto"/>
        <w:rPr>
          <w:sz w:val="20"/>
          <w:szCs w:val="20"/>
          <w:color w:val="auto"/>
        </w:rPr>
      </w:pPr>
      <w:r>
        <w:rPr>
          <w:rFonts w:ascii="Arial" w:cs="Arial" w:eastAsia="Arial" w:hAnsi="Arial"/>
          <w:sz w:val="21"/>
          <w:szCs w:val="21"/>
          <w:color w:val="auto"/>
        </w:rPr>
        <w:t>it has agreed in its sole discretion to act as an “Issuing Lender” hereunder and that has been approved in writing by the Borrower and the Administrative Agent (such approval by the Administrative Agent not to be unreasonably withheld, conditioned or delayed) as an “Issuing Lender” hereunder, in each case in its capacity as issuer of any Letter of Credit.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Judgment Currency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15.06</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L/C Commitment</w:t>
      </w:r>
      <w:r>
        <w:rPr>
          <w:rFonts w:ascii="Arial" w:cs="Arial" w:eastAsia="Arial" w:hAnsi="Arial"/>
          <w:sz w:val="19"/>
          <w:szCs w:val="19"/>
          <w:color w:val="auto"/>
        </w:rPr>
        <w:t xml:space="preserve">” means, as to (i) any Issuing Lender as of the Effective Date (other than pursuant to clause (d) of the definition thereof), the obligation of such Issuing Lender to issue Letters of Credit for the account of the Borrower or one or more of its Subsidiaries from time to time in an aggregate amount equal to the amount set forth opposite the name of each such Issuing Lender on the Commitment Schedule, (ii) any Issuing Lender in respect of any Existing Lender of Credit, the amount of such Existing Letter of Credit and (iii) for any Issuing Lender becoming an Issuing Lender after the Effective Date, such amount as is separately agreed to in a written agreement between the Borrower and such Issuing Lender (which such agreement shall be promptly delivered to the Administrative Agent upon execution), in each case, as such amount may be changed after the Effective Date in a written agreement between the Borrower and such Issuing Lender (which such agreement shall be promptly delivered to the Administrative Agent upon execution);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9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Obligations</w:t>
      </w:r>
      <w:r>
        <w:rPr>
          <w:rFonts w:ascii="Arial" w:cs="Arial" w:eastAsia="Arial" w:hAnsi="Arial"/>
          <w:sz w:val="21"/>
          <w:szCs w:val="21"/>
          <w:color w:val="auto"/>
        </w:rPr>
        <w:t xml:space="preserve">” means at any time, an amount equal to the sum of (a) the aggregate undrawn and unexpired amount of the then outstanding Letters of Credit </w:t>
      </w:r>
      <w:r>
        <w:rPr>
          <w:rFonts w:ascii="Arial" w:cs="Arial" w:eastAsia="Arial" w:hAnsi="Arial"/>
          <w:sz w:val="21"/>
          <w:szCs w:val="21"/>
          <w:i w:val="1"/>
          <w:iCs w:val="1"/>
          <w:color w:val="auto"/>
        </w:rPr>
        <w:t>plus</w:t>
      </w:r>
      <w:r>
        <w:rPr>
          <w:rFonts w:ascii="Arial" w:cs="Arial" w:eastAsia="Arial" w:hAnsi="Arial"/>
          <w:sz w:val="21"/>
          <w:szCs w:val="21"/>
          <w:color w:val="auto"/>
        </w:rPr>
        <w:t xml:space="preserve"> (b) the aggregate amount of drawings under Letters of Credit which have not then been reimbursed pursuant to </w:t>
      </w:r>
      <w:r>
        <w:rPr>
          <w:rFonts w:ascii="Arial" w:cs="Arial" w:eastAsia="Arial" w:hAnsi="Arial"/>
          <w:sz w:val="21"/>
          <w:szCs w:val="21"/>
          <w:u w:val="single" w:color="auto"/>
          <w:color w:val="auto"/>
        </w:rPr>
        <w:t>Section 2.03(f)</w:t>
      </w:r>
      <w:r>
        <w:rPr>
          <w:rFonts w:ascii="Arial" w:cs="Arial" w:eastAsia="Arial" w:hAnsi="Arial"/>
          <w:sz w:val="21"/>
          <w:szCs w:val="21"/>
          <w:color w:val="auto"/>
        </w:rPr>
        <w:t xml:space="preserve">. For purposes of computing the amount available to be drawn under any Letter of Credit, the amount of such Letter of Credit shall be determined in accordance with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Participants</w:t>
      </w:r>
      <w:r>
        <w:rPr>
          <w:rFonts w:ascii="Arial" w:cs="Arial" w:eastAsia="Arial" w:hAnsi="Arial"/>
          <w:sz w:val="22"/>
          <w:szCs w:val="22"/>
          <w:color w:val="auto"/>
        </w:rPr>
        <w:t>” means, with respect to any Letter of Credit, the collective reference to all of the Lenders other than the applicable Issuing Lender.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L/C Sublimit</w:t>
      </w:r>
      <w:r>
        <w:rPr>
          <w:rFonts w:ascii="Arial" w:cs="Arial" w:eastAsia="Arial" w:hAnsi="Arial"/>
          <w:sz w:val="22"/>
          <w:szCs w:val="22"/>
          <w:color w:val="auto"/>
        </w:rPr>
        <w:t>” means the lesser of (a) $100,000,000 and (b) the Aggregate Commitment.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Lenders</w:t>
      </w:r>
      <w:r>
        <w:rPr>
          <w:rFonts w:ascii="Arial" w:cs="Arial" w:eastAsia="Arial" w:hAnsi="Arial"/>
          <w:sz w:val="22"/>
          <w:szCs w:val="22"/>
          <w:color w:val="auto"/>
        </w:rPr>
        <w:t xml:space="preserve">” means the lending institutions listed on the signature pages of this Agreement and their respective successors and assigns, as well as any Person that becomes a “Lender” hereunder pursuant to an Assignment and Assumption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2.22</w:t>
      </w:r>
      <w:r>
        <w:rPr>
          <w:rFonts w:ascii="Arial" w:cs="Arial" w:eastAsia="Arial" w:hAnsi="Arial"/>
          <w:sz w:val="22"/>
          <w:szCs w:val="22"/>
          <w:color w:val="auto"/>
        </w:rPr>
        <w:t>.</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Lending Installation</w:t>
      </w:r>
      <w:r>
        <w:rPr>
          <w:rFonts w:ascii="Arial" w:cs="Arial" w:eastAsia="Arial" w:hAnsi="Arial"/>
          <w:sz w:val="22"/>
          <w:szCs w:val="22"/>
          <w:color w:val="auto"/>
        </w:rPr>
        <w:t xml:space="preserve">” means, with respect to a Lender or the Agents, the office, branch, subsidiary or affiliate of such Lender or Agent listed on the administrative information sheets provided to the Administrative Agent in connection herewith, or otherwise selected by such Lender or Agent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2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“Lender Joinder Agreement</w:t>
      </w:r>
      <w:r>
        <w:rPr>
          <w:rFonts w:ascii="Arial" w:cs="Arial" w:eastAsia="Arial" w:hAnsi="Arial"/>
          <w:sz w:val="22"/>
          <w:szCs w:val="22"/>
          <w:color w:val="auto"/>
        </w:rPr>
        <w:t>” means a joinder agreement in a form reasonably satisfactory to the Administrative Agent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delivered in connection with Section </w:t>
      </w:r>
      <w:r>
        <w:rPr>
          <w:rFonts w:ascii="Arial" w:cs="Arial" w:eastAsia="Arial" w:hAnsi="Arial"/>
          <w:sz w:val="22"/>
          <w:szCs w:val="22"/>
          <w:u w:val="single" w:color="auto"/>
          <w:color w:val="auto"/>
        </w:rPr>
        <w:t>2.22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31" w:name="page232"/>
    <w:bookmarkEnd w:id="231"/>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 of Credit Application</w:t>
      </w:r>
      <w:r>
        <w:rPr>
          <w:rFonts w:ascii="Arial" w:cs="Arial" w:eastAsia="Arial" w:hAnsi="Arial"/>
          <w:sz w:val="22"/>
          <w:szCs w:val="22"/>
          <w:color w:val="auto"/>
        </w:rPr>
        <w:t>” means an application, in the form specified by the applicable Issuing Lender from time to time, requesting such Issuing Lender to issue, extend or increase a Letter of Credit. In the event of any inconsistency between the terms and conditions of this Agreement and the terms and conditions of any form of letter of credit application or other agreement submitted by the Borrower to, or entered into by the Borrower with, the Issuing Lender relating to any Letter of Credit, the terms and conditions of this Agreement shall control.</w:t>
      </w:r>
    </w:p>
    <w:p>
      <w:pPr>
        <w:spacing w:after="0" w:line="1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Letters of Credit</w:t>
      </w:r>
      <w:r>
        <w:rPr>
          <w:rFonts w:ascii="Arial" w:cs="Arial" w:eastAsia="Arial" w:hAnsi="Arial"/>
          <w:sz w:val="22"/>
          <w:szCs w:val="22"/>
          <w:color w:val="auto"/>
        </w:rPr>
        <w:t xml:space="preserve">” means the collective reference to letters of credit issued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including each Existing Letter of Credit. Notwithstanding anything to the contrary contained herein, a letter of credit issued by any Issuing Lender (other than Citibank at any time it is also acting as Administrative Agent)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shall not be a “Letter of Credit” for purposes of the Loan Documents until such time as the Administrative Agent has been notified in writing of the issuance thereof by the applicable Issuing Lender. A Letter of Credit may be denominated, at the option of the Borrower, in Dollars, any Foreign Currency, or, with respect to Letters of Credit issued by Citibank and any other Issuing Lender who so agrees, any Additional L/C Currency.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w:t>
      </w:r>
      <w:r>
        <w:rPr>
          <w:rFonts w:ascii="Arial" w:cs="Arial" w:eastAsia="Arial" w:hAnsi="Arial"/>
          <w:sz w:val="22"/>
          <w:szCs w:val="22"/>
          <w:color w:val="auto"/>
        </w:rPr>
        <w:t>” is defined in the definition of “Eurocurrency Base Rate.”</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(statutory or other), mortgage, pledge, hypothecation, assignment, deposit arrangement, encumbrance or preference, priority or other security agreement or preferential arrangement of any kind or nature whatsoever (including, without limitation, the interest of a vendor or lessor under any conditional sale, Capitalized Lease or other title retention agreement).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means an extension of credit by a Lender to the Borrower in the form of a Revolving Loan.</w:t>
      </w:r>
    </w:p>
    <w:p>
      <w:pPr>
        <w:spacing w:after="0" w:line="16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xml:space="preserve">” means this Agreement, each Letter of Credit Application, any joinder document pursuant to which a Subsidiary of the Borrower joins this Agreement as a Guarantor, each Lender Joinder Agreement, any Notes issued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(if requested) and each other document jointly designated as a “Loan Document” in writing by the Borrower and the Administrative Agent, as the same may be amended, restated or otherwise modified and in effect from time to time.</w:t>
      </w:r>
    </w:p>
    <w:p>
      <w:pPr>
        <w:spacing w:after="0" w:line="8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London Banking Day</w:t>
      </w:r>
      <w:r>
        <w:rPr>
          <w:rFonts w:ascii="Arial" w:cs="Arial" w:eastAsia="Arial" w:hAnsi="Arial"/>
          <w:sz w:val="22"/>
          <w:szCs w:val="22"/>
          <w:color w:val="auto"/>
        </w:rPr>
        <w:t>” means any day on which dealings in Dollar deposits are conducted by and between banks in the London interbank eurodollar market.</w:t>
      </w:r>
    </w:p>
    <w:p>
      <w:pPr>
        <w:spacing w:after="0" w:line="10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Subsidiary</w:t>
      </w:r>
      <w:r>
        <w:rPr>
          <w:rFonts w:ascii="Arial" w:cs="Arial" w:eastAsia="Arial" w:hAnsi="Arial"/>
          <w:sz w:val="22"/>
          <w:szCs w:val="22"/>
          <w:color w:val="auto"/>
        </w:rPr>
        <w:t>” means any Subsidiary of the Borrower which has at any time total assets (after intercompany eliminations) exceeding 10% of Consolidated Assets.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Malaysian Ringgits</w:t>
      </w:r>
      <w:r>
        <w:rPr>
          <w:rFonts w:ascii="Arial" w:cs="Arial" w:eastAsia="Arial" w:hAnsi="Arial"/>
          <w:sz w:val="22"/>
          <w:szCs w:val="22"/>
          <w:color w:val="auto"/>
        </w:rPr>
        <w:t>” means the lawful currency of Malaysia.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Acquisition</w:t>
      </w:r>
      <w:r>
        <w:rPr>
          <w:rFonts w:ascii="Arial" w:cs="Arial" w:eastAsia="Arial" w:hAnsi="Arial"/>
          <w:sz w:val="19"/>
          <w:szCs w:val="19"/>
          <w:color w:val="auto"/>
        </w:rPr>
        <w:t>” means any Acquisition the total consideration for which is equal to or greater than $400,000,000.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2" w:right="339" w:bottom="1440" w:gutter="0" w:footer="0" w:header="0"/>
        </w:sectPr>
      </w:pPr>
    </w:p>
    <w:bookmarkStart w:id="232" w:name="page233"/>
    <w:bookmarkEnd w:id="232"/>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 material adverse effect on (a) the financial condition, results of operations, business or Property of the Borrower and its Subsidiaries taken as a whole or (b) the rights of or remedies available to the Lenders or the Administrative Agent against the Borrower under the Loan Documents, taken as a whole.</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Minimum Collateral Amount</w:t>
      </w:r>
      <w:r>
        <w:rPr>
          <w:rFonts w:ascii="Arial" w:cs="Arial" w:eastAsia="Arial" w:hAnsi="Arial"/>
          <w:sz w:val="22"/>
          <w:szCs w:val="22"/>
          <w:color w:val="auto"/>
        </w:rPr>
        <w:t>” means, at any time, (a) with respect to Cash Collateral consisting of cash or deposit account balances, an amount equal to 100% of the Fronting Exposure of the Issuing Lenders with respect to Letters of Credit issued and outstanding at such time and (b) otherwise, an amount reasonably determined by the Administrative Agent and the Issuing Lenders in their sole discretion.</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 multiemployer plan as defined in Section 3(37) of ERISA that is subject to Title IV of ERISA and to which the Borrower, any Subsidiary or any member of the Controlled Group makes contributions, is obligated to make contributions or has any liability.</w:t>
      </w:r>
    </w:p>
    <w:p>
      <w:pPr>
        <w:spacing w:after="0" w:line="12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Mark-to-Market Exposure</w:t>
      </w:r>
      <w:r>
        <w:rPr>
          <w:rFonts w:ascii="Arial" w:cs="Arial" w:eastAsia="Arial" w:hAnsi="Arial"/>
          <w:sz w:val="19"/>
          <w:szCs w:val="19"/>
          <w:color w:val="auto"/>
        </w:rPr>
        <w:t>” of a Person means, as of any date of determination, the excess (if any) of all unrealized losses over all unrealized profits of such Person arising from Rate Management Transactions. “</w:t>
      </w:r>
      <w:r>
        <w:rPr>
          <w:rFonts w:ascii="Arial" w:cs="Arial" w:eastAsia="Arial" w:hAnsi="Arial"/>
          <w:sz w:val="19"/>
          <w:szCs w:val="19"/>
          <w:b w:val="1"/>
          <w:bCs w:val="1"/>
          <w:color w:val="auto"/>
        </w:rPr>
        <w:t>Unrealized losses</w:t>
      </w:r>
      <w:r>
        <w:rPr>
          <w:rFonts w:ascii="Arial" w:cs="Arial" w:eastAsia="Arial" w:hAnsi="Arial"/>
          <w:sz w:val="19"/>
          <w:szCs w:val="19"/>
          <w:color w:val="auto"/>
        </w:rPr>
        <w:t>” means the fair market value of the cost to such Person of replacing such Rate Management Transaction as of the date of determination (assuming the Rate Management Transaction were to be terminated as of that date), and “unrealized profits” means the fair market value of the gain to such Person of replacing such Rate Management Transaction as of the date of determination (assuming such Rate Management Transaction were to be terminated as of that date).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2.13(e)</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Non-Defaulting Lender</w:t>
      </w:r>
      <w:r>
        <w:rPr>
          <w:rFonts w:ascii="Arial" w:cs="Arial" w:eastAsia="Arial" w:hAnsi="Arial"/>
          <w:sz w:val="22"/>
          <w:szCs w:val="22"/>
          <w:color w:val="auto"/>
        </w:rPr>
        <w:t>” means, at any time, a Lender that is not a Defaulting Lender.</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xml:space="preserve">” means all Loans, L/C Obligations, debts, liabilities, obligations, covenants and duties owing by the Borrower to any of the Agents, any Lender, any Issuing Lender, the Arrangers, any affiliate of the Agents or any Lender, any Issuing Lender, the Arrangers, or any indemnitee under the provisions of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or any other provisions of the Loan Documents, in each case of any kind or nature, present or future, arising under this Agreement or any other Loan Document, whether or not evidenced by any note, guaranty or other instrument, whether or not for the payment of money, whether arising by reason of an extension of credit, loan, foreign exchange risk, guaranty, indemnification, or in any other manner, whether direct or indirect (including those acquired by assignment), absolute or contingent, due or to become due, now existing or hereafter arising and however acquired (including, for the avoidance of doubt, interest accruing after the maturity of the Loans and interest accruing after the filing of any petition in bankruptcy, or the commencement of any proceeding under any Debtor Relief Law, whether or not a claim for post-filing or post-petition interest is allowed in such proceeding). The term includes, without limitation, all interest, charges, expenses, fees, attorneys’ fees and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2" w:right="339" w:bottom="1440" w:gutter="0" w:footer="0" w:header="0"/>
        </w:sectPr>
      </w:pPr>
    </w:p>
    <w:bookmarkStart w:id="233" w:name="page234"/>
    <w:bookmarkEnd w:id="233"/>
    <w:p>
      <w:pPr>
        <w:spacing w:after="0"/>
        <w:rPr>
          <w:sz w:val="20"/>
          <w:szCs w:val="20"/>
          <w:color w:val="auto"/>
        </w:rPr>
      </w:pPr>
      <w:r>
        <w:rPr>
          <w:rFonts w:ascii="Arial" w:cs="Arial" w:eastAsia="Arial" w:hAnsi="Arial"/>
          <w:sz w:val="21"/>
          <w:szCs w:val="21"/>
          <w:color w:val="auto"/>
        </w:rPr>
        <w:t>paralegals’ fees, and any other sum chargeable to the Borrower under this Agreement or any other Loan Document.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Office of Foreign Assets Control of the U.S. Department of the Treasury.</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Connection Taxes</w:t>
      </w:r>
      <w:r>
        <w:rPr>
          <w:rFonts w:ascii="Arial" w:cs="Arial" w:eastAsia="Arial" w:hAnsi="Arial"/>
          <w:sz w:val="19"/>
          <w:szCs w:val="19"/>
          <w:color w:val="auto"/>
        </w:rPr>
        <w:t>” means, with respect to the Administrative Agent or any Lender, Taxes imposed as a result of a present or former connection between the Administrative Agent or such Lender and the jurisdiction imposing such Tax (other than connections arising from the Administrative Agent’s or such Lender’s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Rate Early Opt-in Election</w:t>
      </w:r>
      <w:r>
        <w:rPr>
          <w:rFonts w:ascii="Arial" w:cs="Arial" w:eastAsia="Arial" w:hAnsi="Arial"/>
          <w:sz w:val="22"/>
          <w:szCs w:val="22"/>
          <w:color w:val="auto"/>
        </w:rPr>
        <w:t xml:space="preserve">” means, an Early Opt-in Election has occurred under </w:t>
      </w:r>
      <w:r>
        <w:rPr>
          <w:rFonts w:ascii="Arial" w:cs="Arial" w:eastAsia="Arial" w:hAnsi="Arial"/>
          <w:sz w:val="22"/>
          <w:szCs w:val="22"/>
          <w:u w:val="single" w:color="auto"/>
          <w:color w:val="auto"/>
        </w:rPr>
        <w:t>clause (1)(b)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w:t>
      </w:r>
      <w:r>
        <w:rPr>
          <w:rFonts w:ascii="Arial" w:cs="Arial" w:eastAsia="Arial" w:hAnsi="Arial"/>
          <w:sz w:val="22"/>
          <w:szCs w:val="22"/>
          <w:color w:val="auto"/>
        </w:rPr>
        <w:t xml:space="preserve"> of the definition of “Early Opt-in Election” with respect to any Foreign Currency.</w:t>
      </w:r>
    </w:p>
    <w:p>
      <w:pPr>
        <w:spacing w:after="0" w:line="1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Taxes</w:t>
      </w:r>
      <w:r>
        <w:rPr>
          <w:rFonts w:ascii="Arial" w:cs="Arial" w:eastAsia="Arial" w:hAnsi="Arial"/>
          <w:sz w:val="22"/>
          <w:szCs w:val="22"/>
          <w:color w:val="auto"/>
        </w:rPr>
        <w:t xml:space="preserve">” means all present or future stamp, documentary, intangible, recording or filing taxes or any similar taxes, charges or levies arising from the execution, delivery or enforcement of, or otherwise with respect to, this Agreement or any other Loan Document, except any such Taxes that are Other Connection Taxes imposed with respect to an assignment (other than an assignment made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Outstanding Credit Exposure</w:t>
      </w:r>
      <w:r>
        <w:rPr>
          <w:rFonts w:ascii="Arial" w:cs="Arial" w:eastAsia="Arial" w:hAnsi="Arial"/>
          <w:sz w:val="22"/>
          <w:szCs w:val="22"/>
          <w:color w:val="auto"/>
        </w:rPr>
        <w:t>” means, as to any Lender at any time, (a) the Dollar Equivalent of the aggregate principal amount of its outstanding Revolving Loans at such time and (b) the Dollar Equivalent of such Lender’s Pro Rata Share of the aggregate L/C Obligations at such time.</w:t>
      </w:r>
    </w:p>
    <w:p>
      <w:pPr>
        <w:spacing w:after="0" w:line="1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Overnight Rate</w:t>
      </w:r>
      <w:r>
        <w:rPr>
          <w:rFonts w:ascii="Arial" w:cs="Arial" w:eastAsia="Arial" w:hAnsi="Arial"/>
          <w:sz w:val="19"/>
          <w:szCs w:val="19"/>
          <w:color w:val="auto"/>
        </w:rPr>
        <w:t>” means, for any day, (a) with respect to any amount denominated in Dollars, the greater of (i) the Federal Funds Rate and (ii) an overnight rate determined by the Administrative Agent or any Issuing Lender, as the case may be, in accordance with banking industry rules on interbank compensation, and (b) with respect to any amount denominated in a Foreign Currency or Additional L/C Currency, the rate of interest per annum at which overnight deposits in the applicable Foreign Currency or Additional L/C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12.01(d)</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 Register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12.01(d)</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Date</w:t>
      </w:r>
      <w:r>
        <w:rPr>
          <w:rFonts w:ascii="Arial" w:cs="Arial" w:eastAsia="Arial" w:hAnsi="Arial"/>
          <w:sz w:val="22"/>
          <w:szCs w:val="22"/>
          <w:color w:val="auto"/>
        </w:rPr>
        <w:t>” means the last Business Day of each March, June, September and December and the Facility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34" w:name="page235"/>
    <w:bookmarkEnd w:id="23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Payment Recipient</w:t>
      </w:r>
      <w:r>
        <w:rPr>
          <w:rFonts w:ascii="Arial" w:cs="Arial" w:eastAsia="Arial" w:hAnsi="Arial"/>
          <w:sz w:val="22"/>
          <w:szCs w:val="22"/>
          <w:color w:val="auto"/>
        </w:rPr>
        <w:t>” is defined in Section 10.11(a).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or any successor thereto.</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525252"/>
        </w:rPr>
        <w:t>“</w:t>
      </w:r>
      <w:r>
        <w:rPr>
          <w:rFonts w:ascii="Arial" w:cs="Arial" w:eastAsia="Arial" w:hAnsi="Arial"/>
          <w:sz w:val="22"/>
          <w:szCs w:val="22"/>
          <w:b w:val="1"/>
          <w:bCs w:val="1"/>
          <w:color w:val="000000"/>
        </w:rPr>
        <w:t>Permitted Refinancing</w:t>
      </w:r>
      <w:r>
        <w:rPr>
          <w:rFonts w:ascii="Arial" w:cs="Arial" w:eastAsia="Arial" w:hAnsi="Arial"/>
          <w:sz w:val="22"/>
          <w:szCs w:val="22"/>
          <w:color w:val="000000"/>
        </w:rPr>
        <w:t>” means, with respect to any Specified Indebtedness for Borrowed Money, any Specified</w:t>
      </w:r>
      <w:r>
        <w:rPr>
          <w:rFonts w:ascii="Arial" w:cs="Arial" w:eastAsia="Arial" w:hAnsi="Arial"/>
          <w:sz w:val="22"/>
          <w:szCs w:val="22"/>
          <w:color w:val="525252"/>
        </w:rPr>
        <w:t xml:space="preserve"> </w:t>
      </w:r>
      <w:r>
        <w:rPr>
          <w:rFonts w:ascii="Arial" w:cs="Arial" w:eastAsia="Arial" w:hAnsi="Arial"/>
          <w:sz w:val="22"/>
          <w:szCs w:val="22"/>
          <w:color w:val="000000"/>
        </w:rPr>
        <w:t>Indebtedness for Borrowed Money issued in exchange for, or the net proceeds of which are used to extend, refinance, renew, replace, defease or refund (collectively, to “</w:t>
      </w:r>
      <w:r>
        <w:rPr>
          <w:rFonts w:ascii="Arial" w:cs="Arial" w:eastAsia="Arial" w:hAnsi="Arial"/>
          <w:sz w:val="22"/>
          <w:szCs w:val="22"/>
          <w:u w:val="single" w:color="auto"/>
          <w:color w:val="000000"/>
        </w:rPr>
        <w:t>Refinance</w:t>
      </w:r>
      <w:r>
        <w:rPr>
          <w:rFonts w:ascii="Arial" w:cs="Arial" w:eastAsia="Arial" w:hAnsi="Arial"/>
          <w:sz w:val="22"/>
          <w:szCs w:val="22"/>
          <w:color w:val="000000"/>
        </w:rPr>
        <w:t xml:space="preserve">”), the Specified Indebtedness for Borrowed Money being Refinanced (or previous refinancings thereof constituting a Permitted Refinancing); </w:t>
      </w:r>
      <w:r>
        <w:rPr>
          <w:rFonts w:ascii="Arial" w:cs="Arial" w:eastAsia="Arial" w:hAnsi="Arial"/>
          <w:sz w:val="22"/>
          <w:szCs w:val="22"/>
          <w:i w:val="1"/>
          <w:iCs w:val="1"/>
          <w:color w:val="000000"/>
        </w:rPr>
        <w:t>provided</w:t>
      </w:r>
      <w:r>
        <w:rPr>
          <w:rFonts w:ascii="Arial" w:cs="Arial" w:eastAsia="Arial" w:hAnsi="Arial"/>
          <w:sz w:val="22"/>
          <w:szCs w:val="22"/>
          <w:color w:val="000000"/>
        </w:rPr>
        <w:t xml:space="preserve"> that the principal amount thereof does not exceed the sum of (a) the principal amount of the Specified Indebtedness for Borrowed Money being Refinanced, plus (b) prepayment premiums (including tender premiums) and penalties, accrued interest, defeasance costs, and fees, costs and expenses incurred in connection therewith.</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an employee benefit plan other than a Multiemployer Plan which is covered by Title IV of ERISA or subject to the minimum funding standards under Section 412 of the Code as to which the Borrower, any Subsidiary or any member of the Controlled Group may have liability.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Pricing Schedule</w:t>
      </w:r>
      <w:r>
        <w:rPr>
          <w:rFonts w:ascii="Arial" w:cs="Arial" w:eastAsia="Arial" w:hAnsi="Arial"/>
          <w:sz w:val="21"/>
          <w:szCs w:val="21"/>
          <w:color w:val="auto"/>
        </w:rPr>
        <w:t>” means the Schedule identifying the Applicable Margin attached hereto identified as such.</w:t>
      </w:r>
    </w:p>
    <w:p>
      <w:pPr>
        <w:spacing w:after="0" w:line="1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of a Person means any and all property, whether real, personal, tangible, intangible, or mixed, of such Person, or other assets owned, leased or operated by such Person.</w:t>
      </w:r>
    </w:p>
    <w:p>
      <w:pPr>
        <w:spacing w:after="0" w:line="1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Rata Share</w:t>
      </w:r>
      <w:r>
        <w:rPr>
          <w:rFonts w:ascii="Arial" w:cs="Arial" w:eastAsia="Arial" w:hAnsi="Arial"/>
          <w:sz w:val="21"/>
          <w:szCs w:val="21"/>
          <w:color w:val="auto"/>
        </w:rPr>
        <w:t>” means, with respect to a Lender, a portion equal to a fraction the numerator of which is such Lender’s Commitment at such time (in each case, as adjusted from time to time in accordance with the provisions of this Agreement) and the denominator of which is the Aggregate Commitment at such time, or, if the Aggregate Commitment has been terminated, a portion equal to a fraction the numerator of which is such Lender’s Outstanding Credit Exposure at such time and the denominator of which is the sum of the Aggregate Outstanding Credit Exposure at such time.</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Debt Rating</w:t>
      </w:r>
      <w:r>
        <w:rPr>
          <w:rFonts w:ascii="Arial" w:cs="Arial" w:eastAsia="Arial" w:hAnsi="Arial"/>
          <w:sz w:val="22"/>
          <w:szCs w:val="22"/>
          <w:color w:val="auto"/>
        </w:rPr>
        <w:t>” means the public credit rating for the Borrower’s senior unsecured, long-term debt without third-party credit enhancement by S&amp;P and Fitch.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2" w:right="339" w:bottom="1440" w:gutter="0" w:footer="0" w:header="0"/>
        </w:sectPr>
      </w:pPr>
    </w:p>
    <w:bookmarkStart w:id="235" w:name="page236"/>
    <w:bookmarkEnd w:id="23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Lender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Rate Determination Date</w:t>
      </w:r>
      <w:r>
        <w:rPr>
          <w:rFonts w:ascii="Arial" w:cs="Arial" w:eastAsia="Arial" w:hAnsi="Arial"/>
          <w:sz w:val="22"/>
          <w:szCs w:val="22"/>
          <w:color w:val="auto"/>
        </w:rPr>
        <w:t xml:space="preserve">” means, with respect to any Interest Period, the date that is two (2) Business Days prior to the first day of such Interest Period (or such other day as is generally treated as the rate fixing day by market practice in such interbank market, as reasonably determined by the Administrative Agent; </w:t>
      </w:r>
      <w:r>
        <w:rPr>
          <w:rFonts w:ascii="Arial" w:cs="Arial" w:eastAsia="Arial" w:hAnsi="Arial"/>
          <w:sz w:val="22"/>
          <w:szCs w:val="22"/>
          <w:i w:val="1"/>
          <w:iCs w:val="1"/>
          <w:color w:val="auto"/>
        </w:rPr>
        <w:t>provided</w:t>
      </w:r>
      <w:r>
        <w:rPr>
          <w:rFonts w:ascii="Arial" w:cs="Arial" w:eastAsia="Arial" w:hAnsi="Arial"/>
          <w:sz w:val="22"/>
          <w:szCs w:val="22"/>
          <w:color w:val="auto"/>
        </w:rPr>
        <w:t>, that if the Administrative Agent decides that any such market practice is not administratively feasible for the Administrative Agent, such other day as otherwise reasonably determined by the Administrative Agent.</w:t>
      </w:r>
    </w:p>
    <w:p>
      <w:pPr>
        <w:spacing w:after="0" w:line="1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Rate Management Transaction</w:t>
      </w:r>
      <w:r>
        <w:rPr>
          <w:rFonts w:ascii="Arial" w:cs="Arial" w:eastAsia="Arial" w:hAnsi="Arial"/>
          <w:sz w:val="19"/>
          <w:szCs w:val="19"/>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b w:val="1"/>
          <w:bCs w:val="1"/>
          <w:color w:val="auto"/>
        </w:rPr>
        <w:t>Master Agreement</w:t>
      </w:r>
      <w:r>
        <w:rPr>
          <w:rFonts w:ascii="Arial" w:cs="Arial" w:eastAsia="Arial" w:hAnsi="Arial"/>
          <w:sz w:val="19"/>
          <w:szCs w:val="19"/>
          <w:color w:val="auto"/>
        </w:rPr>
        <w:t>”), including any such obligations or liabilities under any Master Agreement. For the avoidance of doubt, the following shall not be deemed a “Rate Management Transaction”: (i) any phantom stock or similar plan (including any stock option plan) providing for payments only on account of services provided by current or former directors, officers, employees or consultants of the Borrower or its Subsidiaries, (ii) any stock option or warrant agreement for the purchase of equity interests of the Borrower, (iii) the purchase of equity interests or Indebtedness (including securities convertible into equity interests) of the Borrower pursuant to delayed delivery contracts or (iv) any of the foregoing to the extent that it constitutes a derivative embedded in a convertible security issued by the Borrower.</w:t>
      </w:r>
    </w:p>
    <w:p>
      <w:pPr>
        <w:spacing w:after="0" w:line="3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12.01(c)</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D</w:t>
      </w:r>
      <w:r>
        <w:rPr>
          <w:rFonts w:ascii="Arial" w:cs="Arial" w:eastAsia="Arial" w:hAnsi="Arial"/>
          <w:sz w:val="22"/>
          <w:szCs w:val="22"/>
          <w:color w:val="auto"/>
        </w:rPr>
        <w:t>” means Regulation D of the Board of Governors of the Federal Reserve System as from time to time in effect and any successor thereto or other regulation or official interpretation of said Board of Governors.</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U</w:t>
      </w:r>
      <w:r>
        <w:rPr>
          <w:rFonts w:ascii="Arial" w:cs="Arial" w:eastAsia="Arial" w:hAnsi="Arial"/>
          <w:sz w:val="22"/>
          <w:szCs w:val="22"/>
          <w:color w:val="auto"/>
        </w:rPr>
        <w:t>” means Regulation U of the Board of Governors of the Federal Reserve System as from time to time in effect and any successor or other regulation or official interpretation of said Board of Governors.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2" w:right="339" w:bottom="1440" w:gutter="0" w:footer="0" w:header="0"/>
        </w:sectPr>
      </w:pPr>
    </w:p>
    <w:bookmarkStart w:id="236" w:name="page237"/>
    <w:bookmarkEnd w:id="236"/>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Regulation X</w:t>
      </w:r>
      <w:r>
        <w:rPr>
          <w:rFonts w:ascii="Arial" w:cs="Arial" w:eastAsia="Arial" w:hAnsi="Arial"/>
          <w:sz w:val="22"/>
          <w:szCs w:val="22"/>
          <w:color w:val="auto"/>
        </w:rPr>
        <w:t>” means Regulation X of the Board of Governors of the Federal Reserve System as from time to time in effect and any successor or other regulation or official interpretation of said Board of Governors.</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Reimbursement Obligation</w:t>
      </w:r>
      <w:r>
        <w:rPr>
          <w:rFonts w:ascii="Arial" w:cs="Arial" w:eastAsia="Arial" w:hAnsi="Arial"/>
          <w:sz w:val="22"/>
          <w:szCs w:val="22"/>
          <w:color w:val="auto"/>
        </w:rPr>
        <w:t xml:space="preserve">” means the obligation of the Borrower to reimburse any Issuing Lender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2.03(f)</w:t>
      </w:r>
      <w:r>
        <w:rPr>
          <w:rFonts w:ascii="Arial" w:cs="Arial" w:eastAsia="Arial" w:hAnsi="Arial"/>
          <w:sz w:val="22"/>
          <w:szCs w:val="22"/>
          <w:color w:val="auto"/>
        </w:rPr>
        <w:t xml:space="preserve"> for amounts drawn under Letters of Credit issued by such Issuing Lender.</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Parties</w:t>
      </w:r>
      <w:r>
        <w:rPr>
          <w:rFonts w:ascii="Arial" w:cs="Arial" w:eastAsia="Arial" w:hAnsi="Arial"/>
          <w:sz w:val="22"/>
          <w:szCs w:val="22"/>
          <w:color w:val="auto"/>
        </w:rPr>
        <w:t>” means, with respect to any Person, such Person’s Affiliates, controlling Persons, successors and assigns, and the directors, officers, employees, agents and advisors of the foregoing.</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Governmental Body</w:t>
      </w:r>
      <w:r>
        <w:rPr>
          <w:rFonts w:ascii="Arial" w:cs="Arial" w:eastAsia="Arial" w:hAnsi="Arial"/>
          <w:sz w:val="22"/>
          <w:szCs w:val="22"/>
          <w:color w:val="auto"/>
        </w:rPr>
        <w:t>” means</w:t>
      </w:r>
    </w:p>
    <w:p>
      <w:pPr>
        <w:spacing w:after="0" w:line="172" w:lineRule="exact"/>
        <w:rPr>
          <w:sz w:val="20"/>
          <w:szCs w:val="20"/>
          <w:color w:val="auto"/>
        </w:rPr>
      </w:pPr>
    </w:p>
    <w:p>
      <w:pPr>
        <w:jc w:val="both"/>
        <w:ind w:firstLine="656"/>
        <w:spacing w:after="0" w:line="271" w:lineRule="auto"/>
        <w:tabs>
          <w:tab w:leader="none" w:pos="978"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with respect to a Benchmark Replacement in respect of Dollars, the Board of Governors of the Federal Reserve System or the Federal Reserve Bank of New York, or a committee officially endorsed or convened by the Board of Governors of the Federal Reserve System or the Federal Reserve Bank of New York, or any successor thereto, and</w:t>
      </w:r>
    </w:p>
    <w:p>
      <w:pPr>
        <w:spacing w:after="0" w:line="113" w:lineRule="exact"/>
        <w:rPr>
          <w:rFonts w:ascii="Arial" w:cs="Arial" w:eastAsia="Arial" w:hAnsi="Arial"/>
          <w:sz w:val="21"/>
          <w:szCs w:val="21"/>
          <w:color w:val="auto"/>
        </w:rPr>
      </w:pPr>
    </w:p>
    <w:p>
      <w:pPr>
        <w:ind w:left="960" w:hanging="304"/>
        <w:spacing w:after="0"/>
        <w:tabs>
          <w:tab w:leader="none" w:pos="9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with respect to a Benchmark Replacement in respect of any Foreign Currency,</w:t>
      </w:r>
    </w:p>
    <w:p>
      <w:pPr>
        <w:spacing w:after="0" w:line="165" w:lineRule="exact"/>
        <w:rPr>
          <w:rFonts w:ascii="Arial" w:cs="Arial" w:eastAsia="Arial" w:hAnsi="Arial"/>
          <w:sz w:val="22"/>
          <w:szCs w:val="22"/>
          <w:color w:val="auto"/>
        </w:rPr>
      </w:pPr>
    </w:p>
    <w:p>
      <w:pPr>
        <w:ind w:left="660" w:right="20" w:firstLine="644"/>
        <w:spacing w:after="0" w:line="263" w:lineRule="auto"/>
        <w:tabs>
          <w:tab w:leader="none" w:pos="1591"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central bank for the currency in which such amounts are denominated hereunder or any central bank or other supervisor which is responsible for supervising either</w:t>
      </w:r>
    </w:p>
    <w:p>
      <w:pPr>
        <w:spacing w:after="0" w:line="120" w:lineRule="exact"/>
        <w:rPr>
          <w:rFonts w:ascii="Arial" w:cs="Arial" w:eastAsia="Arial" w:hAnsi="Arial"/>
          <w:sz w:val="22"/>
          <w:szCs w:val="22"/>
          <w:color w:val="auto"/>
        </w:rPr>
      </w:pPr>
    </w:p>
    <w:p>
      <w:pPr>
        <w:ind w:left="2300" w:hanging="348"/>
        <w:spacing w:after="0"/>
        <w:tabs>
          <w:tab w:leader="none" w:pos="230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such Benchmark Replacement or</w:t>
      </w:r>
    </w:p>
    <w:p>
      <w:pPr>
        <w:spacing w:after="0" w:line="165" w:lineRule="exact"/>
        <w:rPr>
          <w:rFonts w:ascii="Arial" w:cs="Arial" w:eastAsia="Arial" w:hAnsi="Arial"/>
          <w:sz w:val="22"/>
          <w:szCs w:val="22"/>
          <w:color w:val="auto"/>
        </w:rPr>
      </w:pPr>
    </w:p>
    <w:p>
      <w:pPr>
        <w:ind w:left="2300" w:hanging="348"/>
        <w:spacing w:after="0"/>
        <w:tabs>
          <w:tab w:leader="none" w:pos="230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the administrator of such Benchmark Replacement or</w:t>
      </w:r>
    </w:p>
    <w:p>
      <w:pPr>
        <w:spacing w:after="0" w:line="165" w:lineRule="exact"/>
        <w:rPr>
          <w:rFonts w:ascii="Arial" w:cs="Arial" w:eastAsia="Arial" w:hAnsi="Arial"/>
          <w:sz w:val="22"/>
          <w:szCs w:val="22"/>
          <w:color w:val="auto"/>
        </w:rPr>
      </w:pPr>
    </w:p>
    <w:p>
      <w:pPr>
        <w:ind w:left="1620" w:hanging="316"/>
        <w:spacing w:after="0"/>
        <w:tabs>
          <w:tab w:leader="none" w:pos="16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any working group or committee officially endorsed or convened by:</w:t>
      </w:r>
    </w:p>
    <w:p>
      <w:pPr>
        <w:spacing w:after="0" w:line="165" w:lineRule="exact"/>
        <w:rPr>
          <w:rFonts w:ascii="Arial" w:cs="Arial" w:eastAsia="Arial" w:hAnsi="Arial"/>
          <w:sz w:val="22"/>
          <w:szCs w:val="22"/>
          <w:color w:val="auto"/>
        </w:rPr>
      </w:pPr>
    </w:p>
    <w:p>
      <w:pPr>
        <w:ind w:left="2300" w:hanging="348"/>
        <w:spacing w:after="0"/>
        <w:tabs>
          <w:tab w:leader="none" w:pos="230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the central bank for the currency in which such amounts are denominated,</w:t>
      </w:r>
    </w:p>
    <w:p>
      <w:pPr>
        <w:spacing w:after="0" w:line="165" w:lineRule="exact"/>
        <w:rPr>
          <w:rFonts w:ascii="Arial" w:cs="Arial" w:eastAsia="Arial" w:hAnsi="Arial"/>
          <w:sz w:val="22"/>
          <w:szCs w:val="22"/>
          <w:color w:val="auto"/>
        </w:rPr>
      </w:pPr>
    </w:p>
    <w:p>
      <w:pPr>
        <w:ind w:left="1300" w:right="20" w:firstLine="652"/>
        <w:spacing w:after="0" w:line="263" w:lineRule="auto"/>
        <w:tabs>
          <w:tab w:leader="none" w:pos="2323" w:val="left"/>
        </w:tabs>
        <w:numPr>
          <w:ilvl w:val="2"/>
          <w:numId w:val="167"/>
        </w:numPr>
        <w:rPr>
          <w:rFonts w:ascii="Arial" w:cs="Arial" w:eastAsia="Arial" w:hAnsi="Arial"/>
          <w:sz w:val="22"/>
          <w:szCs w:val="22"/>
          <w:color w:val="auto"/>
        </w:rPr>
      </w:pPr>
      <w:r>
        <w:rPr>
          <w:rFonts w:ascii="Arial" w:cs="Arial" w:eastAsia="Arial" w:hAnsi="Arial"/>
          <w:sz w:val="22"/>
          <w:szCs w:val="22"/>
          <w:color w:val="auto"/>
        </w:rPr>
        <w:t>any central bank or other supervisor that is responsible for supervising either (x) such Benchmark Replacement or (y) the administrator of such Benchmark Replacement,</w:t>
      </w:r>
    </w:p>
    <w:p>
      <w:pPr>
        <w:spacing w:after="0" w:line="121" w:lineRule="exact"/>
        <w:rPr>
          <w:sz w:val="20"/>
          <w:szCs w:val="20"/>
          <w:color w:val="auto"/>
        </w:rPr>
      </w:pPr>
    </w:p>
    <w:p>
      <w:pPr>
        <w:ind w:left="1640" w:hanging="336"/>
        <w:spacing w:after="0"/>
        <w:tabs>
          <w:tab w:leader="none" w:pos="16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 group of those central banks or other supervisors or</w:t>
      </w:r>
    </w:p>
    <w:p>
      <w:pPr>
        <w:spacing w:after="0" w:line="165" w:lineRule="exact"/>
        <w:rPr>
          <w:rFonts w:ascii="Arial" w:cs="Arial" w:eastAsia="Arial" w:hAnsi="Arial"/>
          <w:sz w:val="22"/>
          <w:szCs w:val="22"/>
          <w:color w:val="auto"/>
        </w:rPr>
      </w:pPr>
    </w:p>
    <w:p>
      <w:pPr>
        <w:ind w:left="1660" w:hanging="356"/>
        <w:spacing w:after="0"/>
        <w:tabs>
          <w:tab w:leader="none" w:pos="16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Financial Stability Board, or any part thereof or successor thereto.</w:t>
      </w:r>
    </w:p>
    <w:p>
      <w:pPr>
        <w:spacing w:after="0" w:line="1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Reportable Event</w:t>
      </w:r>
      <w:r>
        <w:rPr>
          <w:rFonts w:ascii="Arial" w:cs="Arial" w:eastAsia="Arial" w:hAnsi="Arial"/>
          <w:sz w:val="22"/>
          <w:szCs w:val="22"/>
          <w:color w:val="auto"/>
        </w:rPr>
        <w:t xml:space="preserve">” means a reportable event, as defined in Section 4043 of ERISA and the regulations issued under such Section, with respect to a Plan, excluding, however, such events as to which the PBGC has by regulation or otherwise waived the requirement of Section 4043(a) of ERISA that it be notified within thirty (30) days of the occurrence of such event;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a failure to meet the minimum funding standard of Section 412 of the Code or of Section 302 of ERISA</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 Reportable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2" w:right="339" w:bottom="1440" w:gutter="0" w:footer="0" w:header="0"/>
        </w:sectPr>
      </w:pPr>
    </w:p>
    <w:bookmarkStart w:id="237" w:name="page238"/>
    <w:bookmarkEnd w:id="237"/>
    <w:p>
      <w:pPr>
        <w:jc w:val="both"/>
        <w:ind w:right="20"/>
        <w:spacing w:after="0" w:line="263" w:lineRule="auto"/>
        <w:rPr>
          <w:sz w:val="20"/>
          <w:szCs w:val="20"/>
          <w:color w:val="auto"/>
        </w:rPr>
      </w:pPr>
      <w:r>
        <w:rPr>
          <w:rFonts w:ascii="Arial" w:cs="Arial" w:eastAsia="Arial" w:hAnsi="Arial"/>
          <w:sz w:val="22"/>
          <w:szCs w:val="22"/>
          <w:color w:val="auto"/>
        </w:rPr>
        <w:t>Event regardless of the issuance of any such waiver of the notice requirement in accordance with either Section 4043(a) of ERISA or Section 412(c) of the Code.</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Request for Credit Extension</w:t>
      </w:r>
      <w:r>
        <w:rPr>
          <w:rFonts w:ascii="Arial" w:cs="Arial" w:eastAsia="Arial" w:hAnsi="Arial"/>
          <w:sz w:val="22"/>
          <w:szCs w:val="22"/>
          <w:color w:val="auto"/>
        </w:rPr>
        <w:t>” means (a) with respect to a Revolving Borrowing, a Borrowing Notice and (b) with respect to the issuance of a Letter of Credit, a Letter of Credit Application.</w:t>
      </w:r>
    </w:p>
    <w:p>
      <w:pPr>
        <w:spacing w:after="0" w:line="1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Required Lenders</w:t>
      </w:r>
      <w:r>
        <w:rPr>
          <w:rFonts w:ascii="Arial" w:cs="Arial" w:eastAsia="Arial" w:hAnsi="Arial"/>
          <w:sz w:val="21"/>
          <w:szCs w:val="21"/>
          <w:color w:val="auto"/>
        </w:rPr>
        <w:t xml:space="preserve">” means, on any date of determination, Lenders in the aggregate having greater than fifty percent (50%) of the Aggregate Commitment on such date or, if the Aggregate Commitment has been terminated, Lenders in the aggregate holding greater than fifty percent (50%) of the Aggregate Outstanding Credit Exposure on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Commitment of, and the portion of the Aggregate Outstanding Credit Exposure held or deemed held by, any Defaulting Lender shall be excluded for purposes of making a determination of Required Lenders.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Requisite Amount</w:t>
      </w:r>
      <w:r>
        <w:rPr>
          <w:rFonts w:ascii="Arial" w:cs="Arial" w:eastAsia="Arial" w:hAnsi="Arial"/>
          <w:sz w:val="22"/>
          <w:szCs w:val="22"/>
          <w:color w:val="auto"/>
        </w:rPr>
        <w:t>” means $100,000,000.</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 Requirement</w:t>
      </w:r>
      <w:r>
        <w:rPr>
          <w:rFonts w:ascii="Arial" w:cs="Arial" w:eastAsia="Arial" w:hAnsi="Arial"/>
          <w:sz w:val="22"/>
          <w:szCs w:val="22"/>
          <w:color w:val="auto"/>
        </w:rPr>
        <w:t>” means, with respect to an Interest Period, the maximum aggregate reserve requirement (including all basic, supplemental, marginal and other reserves) which is imposed under Regulation D on “Eurocurrency liabilities” (as defined in Regulation D).</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0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Revaluation Date</w:t>
      </w:r>
      <w:r>
        <w:rPr>
          <w:rFonts w:ascii="Arial" w:cs="Arial" w:eastAsia="Arial" w:hAnsi="Arial"/>
          <w:sz w:val="22"/>
          <w:szCs w:val="22"/>
          <w:color w:val="auto"/>
        </w:rPr>
        <w:t>” means (a) with respect to any Revolving Loan denominated in a Foreign Currency (i) the first day of each Interest Period applicable to such Revolving Loan, (ii) with an Interest Period longer than three months, at three-month intervals after the first day of such Interest Period and (iii) such additional dates as the Administrative Agent shall reasonably require and (b) with respect to any Letter of Credit issued in a Foreign Currency or Additional L/C Currency, each of the following: (i) the date of the issuance of such Letter of Credit (or amendment of a Letter of Credit that increases the face amount thereof), (ii) the first Business Day of every calendar quarter after the date of issuance thereof while such Letter of Credit is outstanding, (iii) such additional dates as the Administrative Agent shall reasonably require and (iv) the date of each drawing thereunder.</w:t>
      </w:r>
    </w:p>
    <w:p>
      <w:pPr>
        <w:spacing w:after="0" w:line="13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Borrowing</w:t>
      </w:r>
      <w:r>
        <w:rPr>
          <w:rFonts w:ascii="Arial" w:cs="Arial" w:eastAsia="Arial" w:hAnsi="Arial"/>
          <w:sz w:val="21"/>
          <w:szCs w:val="21"/>
          <w:color w:val="auto"/>
        </w:rPr>
        <w:t>” means a borrowing hereunder (a) consisting of the aggregate amount of several Revolving Loans made by the Lenders on the same Borrowing Date or (b) converted or continued by the Lenders on the same date of conversion or continuation, consisting, in either case, of the aggregate amount of the several Revolving Loans of the same Type and in the same currency and, in the case of Eurocurrency Loans, for the same Interest Period.</w:t>
      </w:r>
    </w:p>
    <w:p>
      <w:pPr>
        <w:spacing w:after="0" w:line="11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Credit Facility</w:t>
      </w:r>
      <w:r>
        <w:rPr>
          <w:rFonts w:ascii="Arial" w:cs="Arial" w:eastAsia="Arial" w:hAnsi="Arial"/>
          <w:sz w:val="22"/>
          <w:szCs w:val="22"/>
          <w:color w:val="auto"/>
        </w:rPr>
        <w:t xml:space="preserve">” means the revolving credit facility established pursuant to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(including any increase in such revolving credit facility established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238" w:name="page239"/>
    <w:bookmarkEnd w:id="238"/>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Loan</w:t>
      </w:r>
      <w:r>
        <w:rPr>
          <w:rFonts w:ascii="Arial" w:cs="Arial" w:eastAsia="Arial" w:hAnsi="Arial"/>
          <w:sz w:val="22"/>
          <w:szCs w:val="22"/>
          <w:color w:val="auto"/>
        </w:rPr>
        <w:t xml:space="preserve">” means, with respect to a Lender, such Lender’s loan made pursuant to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(and any conversion or continuation thereof pursuant to </w:t>
      </w:r>
      <w:r>
        <w:rPr>
          <w:rFonts w:ascii="Arial" w:cs="Arial" w:eastAsia="Arial" w:hAnsi="Arial"/>
          <w:sz w:val="22"/>
          <w:szCs w:val="22"/>
          <w:u w:val="single" w:color="auto"/>
          <w:color w:val="auto"/>
        </w:rPr>
        <w:t>Section 2.09</w:t>
      </w:r>
      <w:r>
        <w:rPr>
          <w:rFonts w:ascii="Arial" w:cs="Arial" w:eastAsia="Arial" w:hAnsi="Arial"/>
          <w:sz w:val="22"/>
          <w:szCs w:val="22"/>
          <w:color w:val="auto"/>
        </w:rPr>
        <w: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S&amp;P Global Ratings, a division of S&amp;P Global Inc. (or any successor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Same Day Funds</w:t>
      </w:r>
      <w:r>
        <w:rPr>
          <w:rFonts w:ascii="Arial" w:cs="Arial" w:eastAsia="Arial" w:hAnsi="Arial"/>
          <w:sz w:val="19"/>
          <w:szCs w:val="19"/>
          <w:color w:val="auto"/>
        </w:rPr>
        <w:t>” means (a) with respect to disbursements and payments in Dollars, immediately available funds, and</w:t>
      </w:r>
    </w:p>
    <w:p>
      <w:pPr>
        <w:spacing w:after="0" w:line="62" w:lineRule="exact"/>
        <w:rPr>
          <w:sz w:val="20"/>
          <w:szCs w:val="20"/>
          <w:color w:val="auto"/>
        </w:rPr>
      </w:pPr>
    </w:p>
    <w:p>
      <w:pPr>
        <w:jc w:val="both"/>
        <w:ind w:firstLine="8"/>
        <w:spacing w:after="0" w:line="244" w:lineRule="auto"/>
        <w:tabs>
          <w:tab w:leader="none" w:pos="32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with respect to disbursements and payments in a Foreign Currency or Additional L/C Currency, same day or other funds as may be determined by the Administrative Agent or any Issuing Lender, as the case may be, to be customary in the place of disbursement or payment for the settlement of international banking transactions in the relevant Foreign Currency or Additional L/C Currency.</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means any economic or financial sanctions or trade embargoes imposed, administered or enforced by the United States Government (including, without limitation, OFAC or the U.S. Department of State), the United Nations Security Council, the European Union or Her Majesty’s Treasury.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Schedule</w:t>
      </w:r>
      <w:r>
        <w:rPr>
          <w:rFonts w:ascii="Arial" w:cs="Arial" w:eastAsia="Arial" w:hAnsi="Arial"/>
          <w:sz w:val="21"/>
          <w:szCs w:val="21"/>
          <w:color w:val="auto"/>
        </w:rPr>
        <w:t>” refers to a specific schedule to this Agreement, unless another document is specifically referenced.</w:t>
      </w:r>
    </w:p>
    <w:p>
      <w:pPr>
        <w:spacing w:after="0" w:line="1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Section</w:t>
      </w:r>
      <w:r>
        <w:rPr>
          <w:rFonts w:ascii="Arial" w:cs="Arial" w:eastAsia="Arial" w:hAnsi="Arial"/>
          <w:sz w:val="21"/>
          <w:szCs w:val="21"/>
          <w:color w:val="auto"/>
        </w:rPr>
        <w:t>” means a numbered Section of this Agreement, unless another document is specifically referenced.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Singaporean Dollars</w:t>
      </w:r>
      <w:r>
        <w:rPr>
          <w:rFonts w:ascii="Arial" w:cs="Arial" w:eastAsia="Arial" w:hAnsi="Arial"/>
          <w:sz w:val="22"/>
          <w:szCs w:val="22"/>
          <w:color w:val="auto"/>
        </w:rPr>
        <w:t>” means the lawful currency of the Republic of Singapore.</w:t>
      </w:r>
    </w:p>
    <w:p>
      <w:pPr>
        <w:spacing w:after="0" w:line="16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w:t>
      </w:r>
      <w:r>
        <w:rPr>
          <w:rFonts w:ascii="Arial" w:cs="Arial" w:eastAsia="Arial" w:hAnsi="Arial"/>
          <w:sz w:val="19"/>
          <w:szCs w:val="19"/>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8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22"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Subject Related Parties</w:t>
      </w:r>
      <w:r>
        <w:rPr>
          <w:rFonts w:ascii="Arial" w:cs="Arial" w:eastAsia="Arial" w:hAnsi="Arial"/>
          <w:sz w:val="19"/>
          <w:szCs w:val="19"/>
          <w:color w:val="auto"/>
        </w:rPr>
        <w:t>” means, with respect to any Person, such Person’s (a) controlling Persons, controlled Affiliates or subsidiaries, (b) directors, officers or employees of such Person or of any of its subsidiaries, controlled Affiliates or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2" w:right="339" w:bottom="1440" w:gutter="0" w:footer="0" w:header="0"/>
        </w:sectPr>
      </w:pPr>
    </w:p>
    <w:bookmarkStart w:id="239" w:name="page240"/>
    <w:bookmarkEnd w:id="239"/>
    <w:p>
      <w:pPr>
        <w:spacing w:after="0"/>
        <w:rPr>
          <w:sz w:val="20"/>
          <w:szCs w:val="20"/>
          <w:color w:val="auto"/>
        </w:rPr>
      </w:pPr>
      <w:r>
        <w:rPr>
          <w:rFonts w:ascii="Arial" w:cs="Arial" w:eastAsia="Arial" w:hAnsi="Arial"/>
          <w:sz w:val="19"/>
          <w:szCs w:val="19"/>
          <w:color w:val="auto"/>
        </w:rPr>
        <w:t>Persons or (c) agents and advisors of such Person or of any of its subsidiaries, controlled Affiliates or controlling Persons.</w:t>
      </w:r>
    </w:p>
    <w:p>
      <w:pPr>
        <w:spacing w:after="0" w:line="1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Indebtedness for Borrowed Money</w:t>
      </w:r>
      <w:r>
        <w:rPr>
          <w:rFonts w:ascii="Arial" w:cs="Arial" w:eastAsia="Arial" w:hAnsi="Arial"/>
          <w:sz w:val="22"/>
          <w:szCs w:val="22"/>
          <w:color w:val="auto"/>
        </w:rPr>
        <w:t>” means (a) Indebtedness for Borrowed Money described under clause (a) of the definition of Indebtedness for Borrowed Money of any Major Subsidiary that is not a Guarantor and (b) guarantees by any Major Subsidiary that is not a Guarantor of any Indebtedness for Borrowed Money described under clause (a) of the definition thereof.</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 is defined in the definition of “GXO Distribution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Stated Maturity Date</w:t>
      </w:r>
      <w:r>
        <w:rPr>
          <w:rFonts w:ascii="Arial" w:cs="Arial" w:eastAsia="Arial" w:hAnsi="Arial"/>
          <w:sz w:val="22"/>
          <w:szCs w:val="22"/>
          <w:color w:val="auto"/>
        </w:rPr>
        <w:t>” is defined in the definition of “Facility Termination Date.”</w:t>
      </w:r>
    </w:p>
    <w:p>
      <w:pPr>
        <w:spacing w:after="0" w:line="16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of a Person means (a) any corporation more than fifty percent (50%) of the outstanding securities having ordinary voting power of which shall at the time be owned or controlled, directly or indirectly, by such Person or by one or more of its Subsidiaries or by such Person and one or more of its Subsidiaries, or (b) any partnership, limited liability company, association, joint venture or similar business organization more than fifty percent (50%) of the ownership interests having ordinary voting power of which shall at the time be so owned or controlled. Unless otherwise expressly provided, all references herein to a “Subsidiary” shall mean a Subsidiary of the Borrower.</w:t>
      </w:r>
    </w:p>
    <w:p>
      <w:pPr>
        <w:spacing w:after="0" w:line="11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Substantial Portion</w:t>
      </w:r>
      <w:r>
        <w:rPr>
          <w:rFonts w:ascii="Arial" w:cs="Arial" w:eastAsia="Arial" w:hAnsi="Arial"/>
          <w:sz w:val="22"/>
          <w:szCs w:val="22"/>
          <w:color w:val="auto"/>
        </w:rPr>
        <w:t>” means, on any date of determination, with respect to the Property of the Borrower and its Subsidiaries, Property which represents more than fifteen percent (15%) of the Consolidated Assets of the Borrower and its Subsidiaries on such date.</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Day</w:t>
      </w:r>
      <w:r>
        <w:rPr>
          <w:rFonts w:ascii="Arial" w:cs="Arial" w:eastAsia="Arial" w:hAnsi="Arial"/>
          <w:sz w:val="22"/>
          <w:szCs w:val="22"/>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TARGET2</w:t>
      </w:r>
      <w:r>
        <w:rPr>
          <w:rFonts w:ascii="Arial" w:cs="Arial" w:eastAsia="Arial" w:hAnsi="Arial"/>
          <w:sz w:val="22"/>
          <w:szCs w:val="22"/>
          <w:color w:val="auto"/>
        </w:rPr>
        <w:t>” means the Trans-European Automated Real-time Gross Settlement Express Transfer payment system which utilizes a single shared platform and which was launched on November 19, 2007.</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w:t>
      </w:r>
      <w:r>
        <w:rPr>
          <w:rFonts w:ascii="Arial" w:cs="Arial" w:eastAsia="Arial" w:hAnsi="Arial"/>
          <w:sz w:val="22"/>
          <w:szCs w:val="22"/>
          <w:color w:val="auto"/>
        </w:rPr>
        <w:t>” means, for the applicable Corresponding Tenor, the forward-looking term rate based on SOFR that has been selected or recommended by the Relevant Governmental Body.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Type</w:t>
      </w:r>
      <w:r>
        <w:rPr>
          <w:rFonts w:ascii="Arial" w:cs="Arial" w:eastAsia="Arial" w:hAnsi="Arial"/>
          <w:sz w:val="19"/>
          <w:szCs w:val="19"/>
          <w:color w:val="auto"/>
        </w:rPr>
        <w:t>” means, with respect to any Advance, its nature as an Alternate Base Rate Advance or a Eurocurrency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240" w:name="page241"/>
    <w:bookmarkEnd w:id="240"/>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0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Unfunded Liabilities</w:t>
      </w:r>
      <w:r>
        <w:rPr>
          <w:rFonts w:ascii="Arial" w:cs="Arial" w:eastAsia="Arial" w:hAnsi="Arial"/>
          <w:sz w:val="19"/>
          <w:szCs w:val="19"/>
          <w:color w:val="auto"/>
        </w:rPr>
        <w:t>” means the amount (if any) by which the present value of all vested and unvested accrued benefits under all Plans exceeds the fair market value of all such Plan assets allocable to such benefits, all determined as of the then most recent valuation date for such Plans using PBGC actuarial assumptions for single-employer plan terminations.</w:t>
      </w:r>
    </w:p>
    <w:p>
      <w:pPr>
        <w:spacing w:after="0" w:line="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Unmatured Default</w:t>
      </w:r>
      <w:r>
        <w:rPr>
          <w:rFonts w:ascii="Arial" w:cs="Arial" w:eastAsia="Arial" w:hAnsi="Arial"/>
          <w:sz w:val="22"/>
          <w:szCs w:val="22"/>
          <w:color w:val="auto"/>
        </w:rPr>
        <w:t>” means an event which but for the lapse of time or the giving of notice, or both, would constitute a Default.</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Patriot Act</w:t>
      </w:r>
      <w:r>
        <w:rPr>
          <w:rFonts w:ascii="Arial" w:cs="Arial" w:eastAsia="Arial" w:hAnsi="Arial"/>
          <w:sz w:val="22"/>
          <w:szCs w:val="22"/>
          <w:color w:val="auto"/>
        </w:rPr>
        <w:t>” means the Uniting and Strengthening America by Providing Appropriate Tools Required to Intercept and Obstruct Terrorism Act (Title III of Pub. L. 107-56 (signed into law October 26, 2001)), as amended.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Tax Compliance Certificate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3.05(e)(ii)(B)(3)</w:t>
      </w:r>
      <w:r>
        <w:rPr>
          <w:rFonts w:ascii="Arial" w:cs="Arial" w:eastAsia="Arial" w:hAnsi="Arial"/>
          <w:sz w:val="22"/>
          <w:szCs w:val="22"/>
          <w:color w:val="auto"/>
        </w:rPr>
        <w:t>.</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foregoing definitions shall be equally applicable to both the singular and plural forms of the defined terms.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accounting terms used in this Agreement which are not specifically defined herein shall have the meanings customarily given them in accordance with Agreement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2" w:right="339" w:bottom="1440" w:gutter="0" w:footer="0" w:header="0"/>
        </w:sectPr>
      </w:pPr>
    </w:p>
    <w:bookmarkStart w:id="241" w:name="page242"/>
    <w:bookmarkEnd w:id="241"/>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i w:val="1"/>
          <w:iCs w:val="1"/>
          <w:color w:val="auto"/>
        </w:rPr>
        <w:t>Letter of Credit Amounts</w:t>
      </w:r>
      <w:r>
        <w:rPr>
          <w:rFonts w:ascii="Arial" w:cs="Arial" w:eastAsia="Arial" w:hAnsi="Arial"/>
          <w:sz w:val="22"/>
          <w:szCs w:val="22"/>
          <w:color w:val="auto"/>
        </w:rPr>
        <w:t>. Unless otherwise specified, all references herein to the amount of a Letter of</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at any time shall be deemed to mean the Dollar Equivalent of the maximum face amount of such Letter of Credit after giving effect to all automatic increases, if any, thereof contemplated by such Letter of Credit or the Letter of Credit Application therefor (at the time specified therefor in such applicable Letter of Credit or Letter of Credit Application and as such amount may be reduced by (a) any permanent reduction of such Letter of Credit or (b) any amount which is drawn, reimbursed and no longer available under such Letter of Credit).</w:t>
      </w:r>
    </w:p>
    <w:p>
      <w:pPr>
        <w:spacing w:after="0" w:line="1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i w:val="1"/>
          <w:iCs w:val="1"/>
          <w:color w:val="auto"/>
        </w:rPr>
        <w:t>Exchange Rates, Basket Calculations.</w:t>
      </w:r>
    </w:p>
    <w:p>
      <w:pPr>
        <w:spacing w:after="0" w:line="172" w:lineRule="exact"/>
        <w:rPr>
          <w:sz w:val="20"/>
          <w:szCs w:val="20"/>
          <w:color w:val="auto"/>
        </w:rPr>
      </w:pPr>
    </w:p>
    <w:p>
      <w:pPr>
        <w:jc w:val="both"/>
        <w:ind w:firstLine="656"/>
        <w:spacing w:after="0" w:line="258" w:lineRule="auto"/>
        <w:tabs>
          <w:tab w:leader="none" w:pos="122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Administrative Agent or the applicable Issuing Lender, respectively, shall determine the Exchange Rate in respect of each Revaluation Date to be used for calculating the Dollar Equivalent amounts of Revolving Loans and L/C Obligations, respectively, denominated in Foreign Currencies or Additional L/C Currencies, as applicable. Such Exchange Rates shall become effective as of such Revaluation Date and shall be the Exchange Rates employed in converting any amounts between the applicable currencies until the next Revaluation Date to occur. Except for purposes of financial statements delivered by the Borrower hereunder, calculating the financial covenant and making calculations under the other covenants and Defaults hereunder, or except as otherwise provided herein, the applicable amount of any currency (other than Dollars) for purposes of the Loan Documents shall be such Dollar Equivalent amount as so determined by the Administrative Agent, or the applicable Issuing Lender, as applicable, based on the Exchange Rate in respect of the date of such determination as if such date were the Revaluation Date.</w:t>
      </w:r>
    </w:p>
    <w:p>
      <w:pPr>
        <w:spacing w:after="0" w:line="131" w:lineRule="exact"/>
        <w:rPr>
          <w:rFonts w:ascii="Arial" w:cs="Arial" w:eastAsia="Arial" w:hAnsi="Arial"/>
          <w:sz w:val="21"/>
          <w:szCs w:val="21"/>
          <w:color w:val="auto"/>
        </w:rPr>
      </w:pPr>
    </w:p>
    <w:p>
      <w:pPr>
        <w:jc w:val="both"/>
        <w:ind w:firstLine="656"/>
        <w:spacing w:after="0" w:line="292" w:lineRule="auto"/>
        <w:tabs>
          <w:tab w:leader="none" w:pos="133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Wherever in this Agreement in connection with an Advance, conversion, continuation or prepayment of a Eurocurrency Loan or the issuance, amendment or extension of a Letter of Credit, an amount, such as a required minimum or multiple amount, is expressed in Dollars, but such Advance, Eurocurrency Loan or Letter of Credit is denominated in a Foreign Currency or Additional L/C Currency, such amount shall be the relevant Foreign Currency or Additional L/C Currency equivalent of such Dollar amount (rounded to the nearest unit of such Foreign Currency or Additional L/C Currency, with 0.5 of a unit being rounded upward), as determined by the Administrative Agent or the applicable Issuing Lender, as the case may be, on the basis of the Exchange Rate (determined in respect of the most recent Revaluation Date).</w:t>
      </w:r>
    </w:p>
    <w:p>
      <w:pPr>
        <w:spacing w:after="0" w:line="96" w:lineRule="exact"/>
        <w:rPr>
          <w:rFonts w:ascii="Arial" w:cs="Arial" w:eastAsia="Arial" w:hAnsi="Arial"/>
          <w:sz w:val="19"/>
          <w:szCs w:val="19"/>
          <w:color w:val="auto"/>
        </w:rPr>
      </w:pPr>
    </w:p>
    <w:p>
      <w:pPr>
        <w:jc w:val="both"/>
        <w:ind w:firstLine="656"/>
        <w:spacing w:after="0" w:line="253" w:lineRule="auto"/>
        <w:tabs>
          <w:tab w:leader="none" w:pos="112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For purposes of determining compliance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6.11</w:t>
      </w:r>
      <w:r>
        <w:rPr>
          <w:rFonts w:ascii="Arial" w:cs="Arial" w:eastAsia="Arial" w:hAnsi="Arial"/>
          <w:sz w:val="22"/>
          <w:szCs w:val="22"/>
          <w:color w:val="auto"/>
        </w:rPr>
        <w:t>, no Unmatured Default or Default shall be deemed to have occurred solely as a result of changes in Exchange Rates occurring after the time any Specified Indebtedness for Borrowed Money or Lien, as applicable, is created or incurred.</w:t>
      </w:r>
    </w:p>
    <w:p>
      <w:pPr>
        <w:spacing w:after="0" w:line="131" w:lineRule="exact"/>
        <w:rPr>
          <w:rFonts w:ascii="Arial" w:cs="Arial" w:eastAsia="Arial" w:hAnsi="Arial"/>
          <w:sz w:val="22"/>
          <w:szCs w:val="22"/>
          <w:color w:val="auto"/>
        </w:rPr>
      </w:pPr>
    </w:p>
    <w:p>
      <w:pPr>
        <w:jc w:val="both"/>
        <w:ind w:firstLine="656"/>
        <w:spacing w:after="0" w:line="253" w:lineRule="auto"/>
        <w:tabs>
          <w:tab w:leader="none" w:pos="126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For purposes of determining compliance with </w:t>
      </w:r>
      <w:r>
        <w:rPr>
          <w:rFonts w:ascii="Arial" w:cs="Arial" w:eastAsia="Arial" w:hAnsi="Arial"/>
          <w:sz w:val="22"/>
          <w:szCs w:val="22"/>
          <w:u w:val="single" w:color="auto"/>
          <w:color w:val="auto"/>
        </w:rPr>
        <w:t>Section 6.12</w:t>
      </w:r>
      <w:r>
        <w:rPr>
          <w:rFonts w:ascii="Arial" w:cs="Arial" w:eastAsia="Arial" w:hAnsi="Arial"/>
          <w:sz w:val="22"/>
          <w:szCs w:val="22"/>
          <w:color w:val="auto"/>
        </w:rPr>
        <w:t>, the amount of Indebtedness for Borrowed Money denominated in any currency other than Dollars will be converted into Dollars based on the relevant Exchange Rate(s) in effect as of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2" w:right="3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of the fiscal quarter of the Borrower for which the Consolidated Leverage Ratio is calculated.</w:t>
      </w:r>
    </w:p>
    <w:p>
      <w:pPr>
        <w:spacing w:after="0" w:line="166" w:lineRule="exact"/>
        <w:rPr>
          <w:sz w:val="20"/>
          <w:szCs w:val="20"/>
          <w:color w:val="auto"/>
        </w:rPr>
      </w:pPr>
    </w:p>
    <w:p>
      <w:pPr>
        <w:ind w:firstLine="656"/>
        <w:spacing w:after="0" w:line="263" w:lineRule="auto"/>
        <w:tabs>
          <w:tab w:leader="none" w:pos="110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Administrative Agent shall provide written notice to the Borrower of each applicable Exchange Rate on, and the occurrence of, each Revaluation Date.</w:t>
      </w:r>
    </w:p>
    <w:p>
      <w:pPr>
        <w:spacing w:after="0" w:line="1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i w:val="1"/>
          <w:iCs w:val="1"/>
          <w:color w:val="auto"/>
        </w:rPr>
        <w:t>Additional Foreign Currencies.</w:t>
      </w:r>
    </w:p>
    <w:p>
      <w:pPr>
        <w:spacing w:after="0" w:line="172" w:lineRule="exact"/>
        <w:rPr>
          <w:sz w:val="20"/>
          <w:szCs w:val="20"/>
          <w:color w:val="auto"/>
        </w:rPr>
      </w:pPr>
    </w:p>
    <w:p>
      <w:pPr>
        <w:jc w:val="both"/>
        <w:ind w:firstLine="656"/>
        <w:spacing w:after="0" w:line="261" w:lineRule="auto"/>
        <w:tabs>
          <w:tab w:leader="none" w:pos="111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Borrower may from time to time request that Eurocurrency Loans be made and/or Letters of Credit be issued in a currency other than those specifically listed in the definitions of “Foreign Currency” and “Additional L/C Currency”; provided that such requested currency is a lawful currency (other than Dollars) that is readily transferable and readily convertible into Dollars in the London interbank market. Such request shall be subject to the approval of the Administrative Agent and the Lenders; or in the case of any such request with respect to the issuance of Letters of Credit, such request shall be subject to the approval of the Administrative Agent and applicable Issuing Lender.</w:t>
      </w:r>
    </w:p>
    <w:p>
      <w:pPr>
        <w:spacing w:after="0" w:line="125" w:lineRule="exact"/>
        <w:rPr>
          <w:rFonts w:ascii="Arial" w:cs="Arial" w:eastAsia="Arial" w:hAnsi="Arial"/>
          <w:sz w:val="21"/>
          <w:szCs w:val="21"/>
          <w:color w:val="auto"/>
        </w:rPr>
      </w:pPr>
    </w:p>
    <w:p>
      <w:pPr>
        <w:jc w:val="both"/>
        <w:ind w:firstLine="656"/>
        <w:spacing w:after="0" w:line="258" w:lineRule="auto"/>
        <w:tabs>
          <w:tab w:leader="none" w:pos="118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Any such request shall be made to the Administrative Agent not later than 11:00 a.m. (New York time), ten (10) Business Days prior to the date of the desired Advance or the issuance of the applicable Letter of Credit (or such shorter period as may be agreed by the Administrative Agent and, in the case of any such request pertaining to Letters of Credit, the applicable Issuing Lender, in its or their sole discretion). In the case of any such request pertaining to Eurocurrency Loans, the Administrative Agent shall promptly notify each Lender thereof; and in the case of any such request pertaining to Letters of Credit, the Administrative Agent shall promptly notify the applicable Issuing Lender thereof. Each Lender (in the case of any such request pertaining to Eurocurrency Loans) or the applicable Issuing Lender (in the case of a request pertaining to Letters of Credit) shall notify the Administrative Agent, not later than 11:00 a.m. (New York time), five (5) Business Days after receipt of such request (or such other time or date as may be agreed by the Administrative Agent in its sole discretion and notified to the Lenders) whether it consents, in its sole discretion, to the making of Eurocurrency Loans or the issuance of Letters of Credit, as the case may be, in such requested currency.</w:t>
      </w:r>
    </w:p>
    <w:p>
      <w:pPr>
        <w:spacing w:after="0" w:line="127" w:lineRule="exact"/>
        <w:rPr>
          <w:rFonts w:ascii="Arial" w:cs="Arial" w:eastAsia="Arial" w:hAnsi="Arial"/>
          <w:sz w:val="21"/>
          <w:szCs w:val="21"/>
          <w:color w:val="auto"/>
        </w:rPr>
      </w:pPr>
    </w:p>
    <w:p>
      <w:pPr>
        <w:jc w:val="both"/>
        <w:ind w:firstLine="656"/>
        <w:spacing w:after="0" w:line="288" w:lineRule="auto"/>
        <w:tabs>
          <w:tab w:leader="none" w:pos="112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failure by a Lender or an Issuing Lender, as the case may be, to respond to such request within the time period specified in the preceding sentence shall be deemed to be a refusal by such Lender or Issuing Lender, as the case may be, to permit Eurocurrency Loans to be made or Letters of Credit to be issued in such requested currency. If the Administrative Agent and all the Lenders consent to making Eurocurrency Loans in such requested currency, the Administrative Agent shall so notify the Borrower and such currency shall thereupon be deemed for all purposes to be a Foreign Currency hereunder for purposes of any Advance of Eurocurrency Loans; and if the Administrative Agent and the applicable Issuing Lender consent to the issuance of Letters of Credit in such requested currency, the Administrative Agent shall so notify the Borrower and such currency shall thereupon be deemed for all purposes to be a Foreign Currency (if also approved for purposes of any Advance of Eurocurrency Loans or if approved by all Issuing Lenders) or Additional L/C Currency (if not so approved), as applicable, hereunder for purposes of any Letter of Credit issuances by such Issuing Lender. If the Administrative Agent shall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243" w:name="page244"/>
    <w:bookmarkEnd w:id="243"/>
    <w:p>
      <w:pPr>
        <w:spacing w:after="0" w:line="263" w:lineRule="auto"/>
        <w:rPr>
          <w:sz w:val="20"/>
          <w:szCs w:val="20"/>
          <w:color w:val="auto"/>
        </w:rPr>
      </w:pPr>
      <w:r>
        <w:rPr>
          <w:rFonts w:ascii="Arial" w:cs="Arial" w:eastAsia="Arial" w:hAnsi="Arial"/>
          <w:sz w:val="22"/>
          <w:szCs w:val="22"/>
          <w:color w:val="auto"/>
        </w:rPr>
        <w:t>obtain consent to any request for an additional currency under this Section 1.05, the Administrative Agent shall promptly so notify the Borrower.</w:t>
      </w:r>
    </w:p>
    <w:p>
      <w:pPr>
        <w:spacing w:after="0" w:line="11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i w:val="1"/>
          <w:iCs w:val="1"/>
          <w:color w:val="auto"/>
        </w:rPr>
        <w:t>Change of Currency.</w:t>
      </w:r>
    </w:p>
    <w:p>
      <w:pPr>
        <w:spacing w:after="0" w:line="172" w:lineRule="exact"/>
        <w:rPr>
          <w:sz w:val="20"/>
          <w:szCs w:val="20"/>
          <w:color w:val="auto"/>
        </w:rPr>
      </w:pPr>
    </w:p>
    <w:p>
      <w:pPr>
        <w:jc w:val="both"/>
        <w:ind w:firstLine="656"/>
        <w:spacing w:after="0" w:line="287" w:lineRule="auto"/>
        <w:tabs>
          <w:tab w:leader="none" w:pos="111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obligation of the Borrower under this Agreement to make a payment denominated in the national currency unit of any member state of the European Union that adopts the Euro in accordance with the legislation of the European Union relating to Economic and Monetary Union as its lawful currency after the date hereof shall be redenominated into Euros at the time of such adoption, provided that if and to the extent that such legislation or member state provides that any such obligation may be paid by debtors in either the Euro or such other currency, then the Borrower shall be permitted to repay such amount either in the Euro or such other currency.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then-current Interest Period.</w:t>
      </w:r>
    </w:p>
    <w:p>
      <w:pPr>
        <w:spacing w:after="0" w:line="109" w:lineRule="exact"/>
        <w:rPr>
          <w:rFonts w:ascii="Arial" w:cs="Arial" w:eastAsia="Arial" w:hAnsi="Arial"/>
          <w:sz w:val="19"/>
          <w:szCs w:val="19"/>
          <w:color w:val="auto"/>
        </w:rPr>
      </w:pPr>
    </w:p>
    <w:p>
      <w:pPr>
        <w:jc w:val="both"/>
        <w:ind w:firstLine="656"/>
        <w:spacing w:after="0" w:line="253" w:lineRule="auto"/>
        <w:tabs>
          <w:tab w:leader="none" w:pos="114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provision of this Agreement shall be subject to such reasonable changes of construction as the Administrative Agent may from time to time specify to be reasonably necessary to reflect the adoption of the Euro by any member state of the European Union and any relevant market conventions or practices relating to the Euro.</w:t>
      </w:r>
    </w:p>
    <w:p>
      <w:pPr>
        <w:spacing w:after="0" w:line="131" w:lineRule="exact"/>
        <w:rPr>
          <w:rFonts w:ascii="Arial" w:cs="Arial" w:eastAsia="Arial" w:hAnsi="Arial"/>
          <w:sz w:val="22"/>
          <w:szCs w:val="22"/>
          <w:color w:val="auto"/>
        </w:rPr>
      </w:pPr>
    </w:p>
    <w:p>
      <w:pPr>
        <w:jc w:val="both"/>
        <w:ind w:firstLine="656"/>
        <w:spacing w:after="0" w:line="253" w:lineRule="auto"/>
        <w:tabs>
          <w:tab w:leader="none" w:pos="1325"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Each provision of this Agreement also shall be subject to such reasonable changes of construction as the Administrative Agent may from time to time specify to be reasonably necessary to reflect a change in currency of any other country and any relevant market conventions or practices relating to the change in currency.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C</w:t>
      </w:r>
      <w:r>
        <w:rPr>
          <w:rFonts w:ascii="Arial" w:cs="Arial" w:eastAsia="Arial" w:hAnsi="Arial"/>
          <w:sz w:val="17"/>
          <w:szCs w:val="17"/>
          <w:color w:val="auto"/>
        </w:rPr>
        <w:t>REDITS</w:t>
      </w:r>
    </w:p>
    <w:p>
      <w:pPr>
        <w:spacing w:after="0" w:line="14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i w:val="1"/>
          <w:iCs w:val="1"/>
          <w:color w:val="auto"/>
        </w:rPr>
        <w:t>Description of Facility; Commitment.</w:t>
      </w:r>
    </w:p>
    <w:p>
      <w:pPr>
        <w:spacing w:after="0" w:line="172" w:lineRule="exact"/>
        <w:rPr>
          <w:sz w:val="20"/>
          <w:szCs w:val="20"/>
          <w:color w:val="auto"/>
        </w:rPr>
      </w:pPr>
    </w:p>
    <w:p>
      <w:pPr>
        <w:jc w:val="both"/>
        <w:ind w:firstLine="656"/>
        <w:spacing w:after="0" w:line="292" w:lineRule="auto"/>
        <w:tabs>
          <w:tab w:leader="none" w:pos="1266"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Revolving Loans</w:t>
      </w:r>
      <w:r>
        <w:rPr>
          <w:rFonts w:ascii="Arial" w:cs="Arial" w:eastAsia="Arial" w:hAnsi="Arial"/>
          <w:sz w:val="19"/>
          <w:szCs w:val="19"/>
          <w:color w:val="auto"/>
        </w:rPr>
        <w:t>. From and including the Closing Date and prior to the Facility Termination Date, upon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satisfaction of the conditions precedent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each Lender severally and not jointly agrees, on the terms and conditions set forth in this Agreement, to make Revolving Loans to the Borrower in (at the Borrower’s election) Dollars or (other than in the case of Alternate Base Rate Loans) a Foreign Currency from time to time in amounts not to exceed in the aggregate at any one time outstanding its Pro Rata Share of the Aggregate Commitment;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after giving effect to such Revolving Loan, (i) the Aggregate Outstanding Credit Exposure shall not exceed the Aggregate Commitment at such time and (ii) the Outstanding Credit Exposure of such Lender shall not exceed such Lender’s Commitment at such time.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244" w:name="page245"/>
    <w:bookmarkEnd w:id="244"/>
    <w:p>
      <w:pPr>
        <w:jc w:val="both"/>
        <w:spacing w:after="0" w:line="250" w:lineRule="auto"/>
        <w:rPr>
          <w:sz w:val="20"/>
          <w:szCs w:val="20"/>
          <w:color w:val="auto"/>
        </w:rPr>
      </w:pPr>
      <w:r>
        <w:rPr>
          <w:rFonts w:ascii="Arial" w:cs="Arial" w:eastAsia="Arial" w:hAnsi="Arial"/>
          <w:sz w:val="22"/>
          <w:szCs w:val="22"/>
          <w:color w:val="auto"/>
        </w:rPr>
        <w:t xml:space="preserve">terms of this Agreement, the Borrower may borrow, repay and re-borrow Revolving Loans at any time prior to the Facility Termination Date. The Commitments to lend hereunder shall expire automatically on the Facility Termination Date. Each Revolving Borrowing made under this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shall consist of Revolving Loans made from the several Lenders in accordance with their respective Pro Rata Shares of the Aggregate Commitment.</w:t>
      </w:r>
    </w:p>
    <w:p>
      <w:pPr>
        <w:spacing w:after="0" w:line="134" w:lineRule="exact"/>
        <w:rPr>
          <w:sz w:val="20"/>
          <w:szCs w:val="20"/>
          <w:color w:val="auto"/>
        </w:rPr>
      </w:pPr>
    </w:p>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firstLine="656"/>
        <w:spacing w:after="0" w:line="263" w:lineRule="auto"/>
        <w:tabs>
          <w:tab w:leader="none" w:pos="1104"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Defaulting Lenders</w:t>
      </w:r>
      <w:r>
        <w:rPr>
          <w:rFonts w:ascii="Arial" w:cs="Arial" w:eastAsia="Arial" w:hAnsi="Arial"/>
          <w:sz w:val="22"/>
          <w:szCs w:val="22"/>
          <w:color w:val="auto"/>
        </w:rPr>
        <w:t>. Notwithstanding anything to the contrary contained in this Agreement,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2.01</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subject to the terms and conditions of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i w:val="1"/>
          <w:iCs w:val="1"/>
          <w:color w:val="auto"/>
        </w:rPr>
        <w:t>Facility Termination Date</w:t>
      </w:r>
      <w:r>
        <w:rPr>
          <w:rFonts w:ascii="Arial" w:cs="Arial" w:eastAsia="Arial" w:hAnsi="Arial"/>
          <w:sz w:val="22"/>
          <w:szCs w:val="22"/>
          <w:color w:val="auto"/>
        </w:rPr>
        <w:t>. Any outstanding Loans and all other unpaid Obligations (other than contingent</w:t>
      </w:r>
      <w:r>
        <w:rPr>
          <w:rFonts w:ascii="Arial" w:cs="Arial" w:eastAsia="Arial" w:hAnsi="Arial"/>
          <w:sz w:val="22"/>
          <w:szCs w:val="22"/>
          <w:b w:val="1"/>
          <w:bCs w:val="1"/>
          <w:color w:val="auto"/>
        </w:rPr>
        <w:t xml:space="preserve"> </w:t>
      </w:r>
      <w:r>
        <w:rPr>
          <w:rFonts w:ascii="Arial" w:cs="Arial" w:eastAsia="Arial" w:hAnsi="Arial"/>
          <w:sz w:val="22"/>
          <w:szCs w:val="22"/>
          <w:color w:val="auto"/>
        </w:rPr>
        <w:t>indemnity obligations) shall be paid in full by the Borrower on the Facility Termination Date. Notwithstanding the termination of this Agreement on the Facility Termination Date, until all of the Obligations (other than contingent indemnity obligations) shall have been fully paid and satisfied and all financing arrangements among the Borrower and the Lenders hereunder and under the other Loan Documents shall have been terminated, all of the rights and remedies under this Agreement and the other Loan Documents shall survive.</w:t>
      </w:r>
    </w:p>
    <w:p>
      <w:pPr>
        <w:spacing w:after="0" w:line="1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2.03</w:t>
      </w:r>
      <w:r>
        <w:rPr>
          <w:sz w:val="20"/>
          <w:szCs w:val="20"/>
          <w:color w:val="auto"/>
        </w:rPr>
        <w:tab/>
      </w:r>
      <w:r>
        <w:rPr>
          <w:rFonts w:ascii="Arial" w:cs="Arial" w:eastAsia="Arial" w:hAnsi="Arial"/>
          <w:sz w:val="19"/>
          <w:szCs w:val="19"/>
          <w:i w:val="1"/>
          <w:iCs w:val="1"/>
          <w:color w:val="auto"/>
        </w:rPr>
        <w:t>Letters of Credit.</w:t>
      </w:r>
    </w:p>
    <w:p>
      <w:pPr>
        <w:spacing w:after="0" w:line="172" w:lineRule="exact"/>
        <w:rPr>
          <w:sz w:val="20"/>
          <w:szCs w:val="20"/>
          <w:color w:val="auto"/>
        </w:rPr>
      </w:pPr>
    </w:p>
    <w:p>
      <w:pPr>
        <w:jc w:val="both"/>
        <w:ind w:firstLine="656"/>
        <w:spacing w:after="0" w:line="285" w:lineRule="auto"/>
        <w:tabs>
          <w:tab w:leader="none" w:pos="1212"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Availability</w:t>
      </w:r>
      <w:r>
        <w:rPr>
          <w:rFonts w:ascii="Arial" w:cs="Arial" w:eastAsia="Arial" w:hAnsi="Arial"/>
          <w:sz w:val="19"/>
          <w:szCs w:val="19"/>
          <w:color w:val="auto"/>
        </w:rPr>
        <w:t>. From and including the Closing Date and subject to the terms and conditions hereof, each Issuing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Lender, in reliance on the agreements of the Lenders set forth in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agrees to issue standby Letters of Credit in an aggregate amount not to exceed its L/C Commitment for the account of the Borrower or, subject to </w:t>
      </w:r>
      <w:r>
        <w:rPr>
          <w:rFonts w:ascii="Arial" w:cs="Arial" w:eastAsia="Arial" w:hAnsi="Arial"/>
          <w:sz w:val="19"/>
          <w:szCs w:val="19"/>
          <w:u w:val="single" w:color="auto"/>
          <w:color w:val="auto"/>
        </w:rPr>
        <w:t>Section 2.03(k)</w:t>
      </w:r>
      <w:r>
        <w:rPr>
          <w:rFonts w:ascii="Arial" w:cs="Arial" w:eastAsia="Arial" w:hAnsi="Arial"/>
          <w:sz w:val="19"/>
          <w:szCs w:val="19"/>
          <w:color w:val="auto"/>
        </w:rPr>
        <w:t xml:space="preserve">, any Subsidiary thereof. Letters of Credit may be issued on any Business Day from the Closing Date to but not including five (5) Business Days prior to the Facility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Issuing Lender shall issue any Letter of Credit if, after giving effect to such issuance, (a) the Aggregate Outstanding Credit Exposure would exceed the Aggregate Commitment, (b) the L/C Obligations would exceed the L/C Sublimit or (c) the L/C Obligations attributable to Letters of Credit issued by such Issuing Lender would exceed such Issuing Lender’s L/C Commitment. Each Letter of Credit shall (i) be denominated in (at the Borrower’s election) Dollars, any Foreign Currency or (solely with respect to Citibank and any other Issuing Lender who agrees to issue Letters of Credit in the applicable currency) any Additional L/C Currency in a minimum amount of $100,000 (or such lesser amount as agreed to by the applicable Issuing Lender), (ii) expire on a date no more than twelve (12) months after the date of issuance or last renewal of such Letter of Credit (subject to automatic renewal for additional one (1) year periods pursuant to the terms of the Letter of Credit Application or other documentation reasonably acceptable to the applicable Issuing Lender), which date shall be no later than the fifth (5th) Business Day prior to the Facility Termination Date provided, further that a Letter of Credit may, upon the request of the Borrower and the consent of the applicable Issuing Lender, be issued or renewed for a period beyond the date that is five (5) Business Days prior to the Facility Termination Date (it being understood that the Lenders shall automatically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245" w:name="page246"/>
    <w:bookmarkEnd w:id="245"/>
    <w:p>
      <w:pPr>
        <w:jc w:val="both"/>
        <w:spacing w:after="0" w:line="283" w:lineRule="auto"/>
        <w:rPr>
          <w:sz w:val="20"/>
          <w:szCs w:val="20"/>
          <w:color w:val="auto"/>
        </w:rPr>
      </w:pPr>
      <w:r>
        <w:rPr>
          <w:rFonts w:ascii="Arial" w:cs="Arial" w:eastAsia="Arial" w:hAnsi="Arial"/>
          <w:sz w:val="19"/>
          <w:szCs w:val="19"/>
          <w:color w:val="auto"/>
        </w:rPr>
        <w:t>released from their participation obligations with respect to any such Letter of Credit from and after the Facility Termination Date), and (iii) unless otherwise agreed by the applicable Issuing Lender and the Borrower, be subject to ISP 98 and, to the extent not inconsistent therewith, the laws of the State of New York. No Issuing Lender shall at any time be obligated to issue any Letter of Credit hereunder if (A) any order, judgment or decree of any Governmental Authority or arbitrator shall by its terms purport to enjoin or restrain such Issuing Lender from issuing such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Effective Date, or any unreimbursed loss, cost or expense that was not applicable, in effect or known to such Issuing Lender as of the Effective Date and that such Issuing Lender in good faith deems material to it, (B) the issuance of the Letter of Credit would violate one or more policies of such Issuing Lender applicable to letters of credit generally,</w:t>
      </w:r>
    </w:p>
    <w:p>
      <w:pPr>
        <w:spacing w:after="0" w:line="4" w:lineRule="exact"/>
        <w:rPr>
          <w:sz w:val="20"/>
          <w:szCs w:val="20"/>
          <w:color w:val="auto"/>
        </w:rPr>
      </w:pPr>
    </w:p>
    <w:p>
      <w:pPr>
        <w:jc w:val="both"/>
        <w:ind w:firstLine="8"/>
        <w:spacing w:after="0" w:line="259" w:lineRule="auto"/>
        <w:tabs>
          <w:tab w:leader="none" w:pos="358" w:val="left"/>
        </w:tabs>
        <w:numPr>
          <w:ilvl w:val="0"/>
          <w:numId w:val="177"/>
        </w:numPr>
        <w:rPr>
          <w:rFonts w:ascii="Arial" w:cs="Arial" w:eastAsia="Arial" w:hAnsi="Arial"/>
          <w:sz w:val="21"/>
          <w:szCs w:val="21"/>
          <w:color w:val="auto"/>
        </w:rPr>
      </w:pPr>
      <w:r>
        <w:rPr>
          <w:rFonts w:ascii="Arial" w:cs="Arial" w:eastAsia="Arial" w:hAnsi="Arial"/>
          <w:sz w:val="21"/>
          <w:szCs w:val="21"/>
          <w:color w:val="auto"/>
        </w:rPr>
        <w:t xml:space="preserve">the conditions set forth in </w:t>
      </w:r>
      <w:r>
        <w:rPr>
          <w:rFonts w:ascii="Arial" w:cs="Arial" w:eastAsia="Arial" w:hAnsi="Arial"/>
          <w:sz w:val="21"/>
          <w:szCs w:val="21"/>
          <w:u w:val="single" w:color="auto"/>
          <w:color w:val="auto"/>
        </w:rPr>
        <w:t>Section 4.03</w:t>
      </w:r>
      <w:r>
        <w:rPr>
          <w:rFonts w:ascii="Arial" w:cs="Arial" w:eastAsia="Arial" w:hAnsi="Arial"/>
          <w:sz w:val="21"/>
          <w:szCs w:val="21"/>
          <w:color w:val="auto"/>
        </w:rPr>
        <w:t xml:space="preserve"> are not satisfied or (D) such Issuing Lender does not as of the issuance date of the requested Letter of Credit issue Letters of Credit in the requested Foreign Currency or Additional L/C Currency, if applicable. References herein to “issue” and derivations thereof with respect to Letters of Credit shall also include extensions, increases or modifications of any outstanding Letters of Credit, unless the context otherwise requires.</w:t>
      </w:r>
    </w:p>
    <w:p>
      <w:pPr>
        <w:spacing w:after="0" w:line="127" w:lineRule="exact"/>
        <w:rPr>
          <w:rFonts w:ascii="Arial" w:cs="Arial" w:eastAsia="Arial" w:hAnsi="Arial"/>
          <w:sz w:val="21"/>
          <w:szCs w:val="21"/>
          <w:color w:val="auto"/>
        </w:rPr>
      </w:pPr>
    </w:p>
    <w:p>
      <w:pPr>
        <w:ind w:firstLine="656"/>
        <w:spacing w:after="0" w:line="263" w:lineRule="auto"/>
        <w:tabs>
          <w:tab w:leader="none" w:pos="1116" w:val="left"/>
        </w:tabs>
        <w:numPr>
          <w:ilvl w:val="1"/>
          <w:numId w:val="177"/>
        </w:numPr>
        <w:rPr>
          <w:rFonts w:ascii="Arial" w:cs="Arial" w:eastAsia="Arial" w:hAnsi="Arial"/>
          <w:sz w:val="22"/>
          <w:szCs w:val="22"/>
          <w:color w:val="auto"/>
        </w:rPr>
      </w:pPr>
      <w:r>
        <w:rPr>
          <w:rFonts w:ascii="Arial" w:cs="Arial" w:eastAsia="Arial" w:hAnsi="Arial"/>
          <w:sz w:val="22"/>
          <w:szCs w:val="22"/>
          <w:i w:val="1"/>
          <w:iCs w:val="1"/>
          <w:color w:val="auto"/>
        </w:rPr>
        <w:t>Defaulting Lenders</w:t>
      </w:r>
      <w:r>
        <w:rPr>
          <w:rFonts w:ascii="Arial" w:cs="Arial" w:eastAsia="Arial" w:hAnsi="Arial"/>
          <w:sz w:val="22"/>
          <w:szCs w:val="22"/>
          <w:color w:val="auto"/>
        </w:rPr>
        <w:t>. Notwithstanding anything to the contrary contained in this Agreement,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2.03</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subject to the terms and conditions of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120" w:lineRule="exact"/>
        <w:rPr>
          <w:rFonts w:ascii="Arial" w:cs="Arial" w:eastAsia="Arial" w:hAnsi="Arial"/>
          <w:sz w:val="22"/>
          <w:szCs w:val="22"/>
          <w:color w:val="auto"/>
        </w:rPr>
      </w:pPr>
    </w:p>
    <w:p>
      <w:pPr>
        <w:jc w:val="both"/>
        <w:ind w:firstLine="656"/>
        <w:spacing w:after="0" w:line="286" w:lineRule="auto"/>
        <w:tabs>
          <w:tab w:leader="none" w:pos="1144" w:val="left"/>
        </w:tabs>
        <w:numPr>
          <w:ilvl w:val="1"/>
          <w:numId w:val="177"/>
        </w:numPr>
        <w:rPr>
          <w:rFonts w:ascii="Arial" w:cs="Arial" w:eastAsia="Arial" w:hAnsi="Arial"/>
          <w:sz w:val="19"/>
          <w:szCs w:val="19"/>
          <w:color w:val="auto"/>
        </w:rPr>
      </w:pPr>
      <w:r>
        <w:rPr>
          <w:rFonts w:ascii="Arial" w:cs="Arial" w:eastAsia="Arial" w:hAnsi="Arial"/>
          <w:sz w:val="19"/>
          <w:szCs w:val="19"/>
          <w:i w:val="1"/>
          <w:iCs w:val="1"/>
          <w:color w:val="auto"/>
        </w:rPr>
        <w:t>Procedures for Issuance of Letters of Credit</w:t>
      </w:r>
      <w:r>
        <w:rPr>
          <w:rFonts w:ascii="Arial" w:cs="Arial" w:eastAsia="Arial" w:hAnsi="Arial"/>
          <w:sz w:val="19"/>
          <w:szCs w:val="19"/>
          <w:color w:val="auto"/>
        </w:rPr>
        <w:t>. The Borrower may from time to time request that any Issuing Lender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issue a Letter of Credit by delivering to such Issuing Lender at its applicable office (with a copy to the Administrative Agent at the Administrative Agent’s Office) an appropriately completed Letter of Credit Application therefor and such other certificates, documents and other papers and information as such Issuing Lender or the Administrative Agent may reasonably request. Upon receipt of any Letter of Credit Application and such other certificates, documents and other papers and information as such Issuing Lender or the Administrative Agent may reasonably request, the applicable Issuing Lender shall process such Letter of Credit Application in accordance with its customary procedures and shall, subject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4.03</w:t>
      </w:r>
      <w:r>
        <w:rPr>
          <w:rFonts w:ascii="Arial" w:cs="Arial" w:eastAsia="Arial" w:hAnsi="Arial"/>
          <w:sz w:val="19"/>
          <w:szCs w:val="19"/>
          <w:color w:val="auto"/>
        </w:rPr>
        <w:t>, promptly issue the Letter of Credit requested thereby (but in no event shall such Issuing Lender be required to issue any Letter of Credit earlier than three (3) Business Days after its receipt of the Letter of Credit Application therefor and such other certificates, documents and other papers and information as such Issuing Lender or the Administrative Agent may reasonably request) by issuing the original of such Letter of Credit to the beneficiary thereof or as otherwise may be agreed by such Issuing Lender and the Borrower. The applicable Issuing Lender shall promptly furnish to the Borrower and the Administrative Agent a copy of such Letter of Credit, and the Administrative Agent shall promptly notify each Lender of the issuance and, upon request by any Lender, furnish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such Lender a copy of such Letter of Credit and the amount of such Lender’s participation therein.</w:t>
      </w:r>
    </w:p>
    <w:p>
      <w:pPr>
        <w:spacing w:after="0" w:line="166" w:lineRule="exact"/>
        <w:rPr>
          <w:sz w:val="20"/>
          <w:szCs w:val="20"/>
          <w:color w:val="auto"/>
        </w:rPr>
      </w:pPr>
    </w:p>
    <w:p>
      <w:pPr>
        <w:ind w:left="1120" w:hanging="464"/>
        <w:spacing w:after="0"/>
        <w:tabs>
          <w:tab w:leader="none" w:pos="1120"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Commissions and Other Charges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968"/>
        <w:spacing w:after="0" w:line="290" w:lineRule="auto"/>
        <w:tabs>
          <w:tab w:leader="none" w:pos="2065"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the Borrower shall pay to the Administrative Agent, for the account of the applicable Issuing Lender and the L/C Participants, a letter of credit commission with respect to each Letter of Credit in the amount equal to the daily amount available to be drawn under such Letter of Credit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Applicable Margin with respect to Revolving Loans that are Eurocurrency Loans (determined, in each case, on a per annum basis). Such commission shall be payable quarterly in arrears on each Payment Date and after the Facility Termination Date on demand of the Administrative Agent. The Administrative Agent shall, promptly following its receipt thereof, distribute to the applicable Issuing Lender and the L/C Participants all commissions received pursuant to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in accordance with their respective Pro Rata Share.</w:t>
      </w:r>
    </w:p>
    <w:p>
      <w:pPr>
        <w:spacing w:after="0" w:line="101" w:lineRule="exact"/>
        <w:rPr>
          <w:rFonts w:ascii="Arial" w:cs="Arial" w:eastAsia="Arial" w:hAnsi="Arial"/>
          <w:sz w:val="19"/>
          <w:szCs w:val="19"/>
          <w:color w:val="auto"/>
        </w:rPr>
      </w:pPr>
    </w:p>
    <w:p>
      <w:pPr>
        <w:jc w:val="both"/>
        <w:ind w:left="660" w:firstLine="968"/>
        <w:spacing w:after="0" w:line="246" w:lineRule="auto"/>
        <w:tabs>
          <w:tab w:leader="none" w:pos="2166" w:val="left"/>
        </w:tabs>
        <w:numPr>
          <w:ilvl w:val="1"/>
          <w:numId w:val="178"/>
        </w:numPr>
        <w:rPr>
          <w:rFonts w:ascii="Arial" w:cs="Arial" w:eastAsia="Arial" w:hAnsi="Arial"/>
          <w:sz w:val="22"/>
          <w:szCs w:val="22"/>
          <w:color w:val="auto"/>
        </w:rPr>
      </w:pPr>
      <w:r>
        <w:rPr>
          <w:rFonts w:ascii="Arial" w:cs="Arial" w:eastAsia="Arial" w:hAnsi="Arial"/>
          <w:sz w:val="22"/>
          <w:szCs w:val="22"/>
          <w:u w:val="single" w:color="auto"/>
          <w:color w:val="auto"/>
        </w:rPr>
        <w:t>Issuance Fee</w:t>
      </w:r>
      <w:r>
        <w:rPr>
          <w:rFonts w:ascii="Arial" w:cs="Arial" w:eastAsia="Arial" w:hAnsi="Arial"/>
          <w:sz w:val="22"/>
          <w:szCs w:val="22"/>
          <w:color w:val="auto"/>
        </w:rPr>
        <w:t>. In addition to the foregoing commission, the Borrower shall pay directly to each Issuing Lender, for its own account, an issuance fee with respect to each Letter of Credit issued by such Issuing Lender in an amount agreed by such Issuing Lender and the Borrower (it being understood and agreed that no Issuing Lender shall be required to issue a Letter of Credit until such time as such Issuing Lender and the Borrower shall have agreed to such amount). Such issuance fee shall be payable quarterly in arrears on each Payment Date, commencing with the first such date to occur after the issuance of such Letter of Credit, on the Facility Termination Date and thereafter on demand of the applicable Issuing Lender.</w:t>
      </w:r>
    </w:p>
    <w:p>
      <w:pPr>
        <w:spacing w:after="0" w:line="142" w:lineRule="exact"/>
        <w:rPr>
          <w:rFonts w:ascii="Arial" w:cs="Arial" w:eastAsia="Arial" w:hAnsi="Arial"/>
          <w:sz w:val="22"/>
          <w:szCs w:val="22"/>
          <w:color w:val="auto"/>
        </w:rPr>
      </w:pPr>
    </w:p>
    <w:p>
      <w:pPr>
        <w:jc w:val="both"/>
        <w:ind w:left="660" w:firstLine="968"/>
        <w:spacing w:after="0" w:line="250" w:lineRule="auto"/>
        <w:tabs>
          <w:tab w:leader="none" w:pos="2320" w:val="left"/>
        </w:tabs>
        <w:numPr>
          <w:ilvl w:val="1"/>
          <w:numId w:val="178"/>
        </w:numPr>
        <w:rPr>
          <w:rFonts w:ascii="Arial" w:cs="Arial" w:eastAsia="Arial" w:hAnsi="Arial"/>
          <w:sz w:val="22"/>
          <w:szCs w:val="22"/>
          <w:color w:val="auto"/>
        </w:rPr>
      </w:pPr>
      <w:r>
        <w:rPr>
          <w:rFonts w:ascii="Arial" w:cs="Arial" w:eastAsia="Arial" w:hAnsi="Arial"/>
          <w:sz w:val="22"/>
          <w:szCs w:val="22"/>
          <w:u w:val="single" w:color="auto"/>
          <w:color w:val="auto"/>
        </w:rPr>
        <w:t>Other Fees, Costs, Charges and Expenses</w:t>
      </w:r>
      <w:r>
        <w:rPr>
          <w:rFonts w:ascii="Arial" w:cs="Arial" w:eastAsia="Arial" w:hAnsi="Arial"/>
          <w:sz w:val="22"/>
          <w:szCs w:val="22"/>
          <w:color w:val="auto"/>
        </w:rPr>
        <w:t>. In addition to the foregoing fees and commissions, the Borrower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33" w:lineRule="exact"/>
        <w:rPr>
          <w:rFonts w:ascii="Arial" w:cs="Arial" w:eastAsia="Arial" w:hAnsi="Arial"/>
          <w:sz w:val="22"/>
          <w:szCs w:val="22"/>
          <w:color w:val="auto"/>
        </w:rPr>
      </w:pPr>
    </w:p>
    <w:p>
      <w:pPr>
        <w:ind w:left="1120" w:hanging="464"/>
        <w:spacing w:after="0"/>
        <w:tabs>
          <w:tab w:leader="none" w:pos="1120" w:val="left"/>
        </w:tabs>
        <w:numPr>
          <w:ilvl w:val="0"/>
          <w:numId w:val="178"/>
        </w:numPr>
        <w:rPr>
          <w:rFonts w:ascii="Arial" w:cs="Arial" w:eastAsia="Arial" w:hAnsi="Arial"/>
          <w:sz w:val="22"/>
          <w:szCs w:val="22"/>
          <w:color w:val="auto"/>
        </w:rPr>
      </w:pPr>
      <w:r>
        <w:rPr>
          <w:rFonts w:ascii="Arial" w:cs="Arial" w:eastAsia="Arial" w:hAnsi="Arial"/>
          <w:sz w:val="22"/>
          <w:szCs w:val="22"/>
          <w:i w:val="1"/>
          <w:iCs w:val="1"/>
          <w:color w:val="auto"/>
        </w:rPr>
        <w:t>L/C Participations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968"/>
        <w:spacing w:after="0" w:line="292" w:lineRule="auto"/>
        <w:tabs>
          <w:tab w:leader="none" w:pos="2068" w:val="left"/>
        </w:tabs>
        <w:numPr>
          <w:ilvl w:val="1"/>
          <w:numId w:val="178"/>
        </w:numPr>
        <w:rPr>
          <w:rFonts w:ascii="Arial" w:cs="Arial" w:eastAsia="Arial" w:hAnsi="Arial"/>
          <w:sz w:val="19"/>
          <w:szCs w:val="19"/>
          <w:color w:val="auto"/>
        </w:rPr>
      </w:pPr>
      <w:r>
        <w:rPr>
          <w:rFonts w:ascii="Arial" w:cs="Arial" w:eastAsia="Arial" w:hAnsi="Arial"/>
          <w:sz w:val="19"/>
          <w:szCs w:val="19"/>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Pro Rata Share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247" w:name="page248"/>
    <w:bookmarkEnd w:id="247"/>
    <w:p>
      <w:pPr>
        <w:jc w:val="both"/>
        <w:spacing w:after="0" w:line="302" w:lineRule="auto"/>
        <w:rPr>
          <w:sz w:val="20"/>
          <w:szCs w:val="20"/>
          <w:color w:val="auto"/>
        </w:rPr>
      </w:pPr>
      <w:r>
        <w:rPr>
          <w:rFonts w:ascii="Arial" w:cs="Arial" w:eastAsia="Arial" w:hAnsi="Arial"/>
          <w:sz w:val="19"/>
          <w:szCs w:val="19"/>
          <w:color w:val="auto"/>
        </w:rPr>
        <w:t>Issuing Lender for which such Issuing Lender is not reimbursed in full by the Borrower through a Revolving Loan or otherwise in accordance with the terms of this Agreement, such L/C Participant shall pay to such Issuing Lender upon demand at such Issuing Lender’s address for notices specified herein the Dollar Equivalent of the amount equal to such L/C Participant’s Pro Rata Share of the amount of such draft, or any part thereof, which is not so reimbursed.</w:t>
      </w:r>
    </w:p>
    <w:p>
      <w:pPr>
        <w:spacing w:after="0" w:line="88" w:lineRule="exact"/>
        <w:rPr>
          <w:sz w:val="20"/>
          <w:szCs w:val="20"/>
          <w:color w:val="auto"/>
        </w:rPr>
      </w:pPr>
    </w:p>
    <w:p>
      <w:pPr>
        <w:jc w:val="both"/>
        <w:ind w:firstLine="968"/>
        <w:spacing w:after="0" w:line="285" w:lineRule="auto"/>
        <w:tabs>
          <w:tab w:leader="none" w:pos="149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Upon becoming aware of any amount required to be paid by any L/C Participant to any Issuing Lender pursuant to </w:t>
      </w:r>
      <w:r>
        <w:rPr>
          <w:rFonts w:ascii="Arial" w:cs="Arial" w:eastAsia="Arial" w:hAnsi="Arial"/>
          <w:sz w:val="19"/>
          <w:szCs w:val="19"/>
          <w:u w:val="single" w:color="auto"/>
          <w:color w:val="auto"/>
        </w:rPr>
        <w:t>Section 2.03(e)(i)</w:t>
      </w:r>
      <w:r>
        <w:rPr>
          <w:rFonts w:ascii="Arial" w:cs="Arial" w:eastAsia="Arial" w:hAnsi="Arial"/>
          <w:sz w:val="19"/>
          <w:szCs w:val="19"/>
          <w:color w:val="auto"/>
        </w:rPr>
        <w:t xml:space="preserve"> in respect of any unreimbursed portion of any payment made by such Issuing Lender under any Letter of Credit issued by it, such Issuing Lender shall notify the Administrative Agent of such unreimbursed amount, and the Administrative Agent shall notify each L/C Participant (with a copy to the applicable Issuing Lender) of the amount and due date of such required payment and such L/C Participant shall pay to the Administrative Agent (which, in turn shall pay such Issuing Lender) the amount (expressed as the Dollar Equivalent thereof) specified on the applicable due date. If any such amount is paid to such Issuing Lender after the date such payment is due, such L/C Participant shall pay to such Issuing Lender on demand, in addition to such amount, the product of (i) such amount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daily average Federal Funds Rate as determined by the Administrative Agent during the period from and including the date such payment is due to the date on which such payment is immediately available to such Issuing Lender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(iii) a fraction the numerator of which is the number of days that elapse during such period and the denominator of which is 360. A certificate of such Issuing Lender with respect to any amounts owing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conclusive in the absence of manifest error. With respect to payment to such Issuing Lender of the unreimbursed amounts described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if the L/C Participants receive notice that any such payment is due (A) prior to 1:00 p.m. (New York time) on any Business Day, such payment shall be due that Business Day, and (B) after 1:00 p.m. (New York time) on any Business Day, such payment shall be due on the following Business Day.</w:t>
      </w:r>
    </w:p>
    <w:p>
      <w:pPr>
        <w:spacing w:after="0" w:line="114" w:lineRule="exact"/>
        <w:rPr>
          <w:rFonts w:ascii="Arial" w:cs="Arial" w:eastAsia="Arial" w:hAnsi="Arial"/>
          <w:sz w:val="19"/>
          <w:szCs w:val="19"/>
          <w:color w:val="auto"/>
        </w:rPr>
      </w:pPr>
    </w:p>
    <w:p>
      <w:pPr>
        <w:jc w:val="both"/>
        <w:ind w:firstLine="968"/>
        <w:spacing w:after="0" w:line="260" w:lineRule="auto"/>
        <w:tabs>
          <w:tab w:leader="none" w:pos="153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Whenever, at any time after any Issuing Lender has made payment under any Letter of Credit issued by it and has received from any L/C Participant its Pro Rata Share of such payment in accordance with this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such Issuing Lender receives any payment related to such Letter of Credit (whether directly from the Borrower or otherwise), or any payment of interest on account thereof, such Issuing Lender will distribute to such L/C Participant its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share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26" w:lineRule="exact"/>
        <w:rPr>
          <w:rFonts w:ascii="Arial" w:cs="Arial" w:eastAsia="Arial" w:hAnsi="Arial"/>
          <w:sz w:val="21"/>
          <w:szCs w:val="21"/>
          <w:color w:val="auto"/>
        </w:rPr>
      </w:pPr>
    </w:p>
    <w:p>
      <w:pPr>
        <w:jc w:val="both"/>
        <w:ind w:firstLine="968"/>
        <w:spacing w:after="0" w:line="250" w:lineRule="auto"/>
        <w:tabs>
          <w:tab w:leader="none" w:pos="150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Each L/C Participant’s obligation to make the payments referred to in </w:t>
      </w:r>
      <w:r>
        <w:rPr>
          <w:rFonts w:ascii="Arial" w:cs="Arial" w:eastAsia="Arial" w:hAnsi="Arial"/>
          <w:sz w:val="22"/>
          <w:szCs w:val="22"/>
          <w:u w:val="single" w:color="auto"/>
          <w:color w:val="auto"/>
        </w:rPr>
        <w:t>Section 2.03(e)(ii)</w:t>
      </w:r>
      <w:r>
        <w:rPr>
          <w:rFonts w:ascii="Arial" w:cs="Arial" w:eastAsia="Arial" w:hAnsi="Arial"/>
          <w:sz w:val="22"/>
          <w:szCs w:val="22"/>
          <w:color w:val="auto"/>
        </w:rPr>
        <w:t xml:space="preserve"> and to purchase participating interests pursuant to </w:t>
      </w:r>
      <w:r>
        <w:rPr>
          <w:rFonts w:ascii="Arial" w:cs="Arial" w:eastAsia="Arial" w:hAnsi="Arial"/>
          <w:sz w:val="22"/>
          <w:szCs w:val="22"/>
          <w:u w:val="single" w:color="auto"/>
          <w:color w:val="auto"/>
        </w:rPr>
        <w:t>Section 2.03(d)(i)</w:t>
      </w:r>
      <w:r>
        <w:rPr>
          <w:rFonts w:ascii="Arial" w:cs="Arial" w:eastAsia="Arial" w:hAnsi="Arial"/>
          <w:sz w:val="22"/>
          <w:szCs w:val="22"/>
          <w:color w:val="auto"/>
        </w:rPr>
        <w:t xml:space="preserve"> shall be absolute and unconditional and shall not be affected by any circumstance, including (i) any setoff, counterclaim, recoupment, defense or other right that such Lender or the Borrower may have against the Issuing Lender,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580"/>
          </w:cols>
          <w:pgMar w:left="980" w:top="1428" w:right="339" w:bottom="1440" w:gutter="0" w:footer="0" w:header="0"/>
        </w:sectPr>
      </w:pPr>
    </w:p>
    <w:bookmarkStart w:id="248" w:name="page249"/>
    <w:bookmarkEnd w:id="248"/>
    <w:p>
      <w:pPr>
        <w:jc w:val="both"/>
        <w:ind w:left="660"/>
        <w:spacing w:after="0" w:line="248" w:lineRule="auto"/>
        <w:rPr>
          <w:sz w:val="20"/>
          <w:szCs w:val="20"/>
          <w:color w:val="auto"/>
        </w:rPr>
      </w:pPr>
      <w:r>
        <w:rPr>
          <w:rFonts w:ascii="Arial" w:cs="Arial" w:eastAsia="Arial" w:hAnsi="Arial"/>
          <w:sz w:val="22"/>
          <w:szCs w:val="22"/>
          <w:color w:val="auto"/>
        </w:rPr>
        <w:t xml:space="preserve">Borrower or any other Person for any reason whatsoever, (ii) the occurrence or continuance of an Unmatured Default or Default or the failure to satisfy any of the other conditions specified in </w:t>
      </w:r>
      <w:r>
        <w:rPr>
          <w:rFonts w:ascii="Arial" w:cs="Arial" w:eastAsia="Arial" w:hAnsi="Arial"/>
          <w:sz w:val="22"/>
          <w:szCs w:val="22"/>
          <w:u w:val="single" w:color="auto"/>
          <w:color w:val="auto"/>
        </w:rPr>
        <w:t>Section 4.03</w:t>
      </w:r>
      <w:r>
        <w:rPr>
          <w:rFonts w:ascii="Arial" w:cs="Arial" w:eastAsia="Arial" w:hAnsi="Arial"/>
          <w:sz w:val="22"/>
          <w:szCs w:val="22"/>
          <w:color w:val="auto"/>
        </w:rPr>
        <w:t>, (iii) any adverse change in the condition (financial or otherwise) of the Borrower, (iv) any breach of this Agreement or any other Loan Document by the Borrower or any other Lender or (v) any other circumstance, happening or event whatsoever, whether or not similar to any of the foregoing.</w:t>
      </w:r>
    </w:p>
    <w:p>
      <w:pPr>
        <w:spacing w:after="0" w:line="138" w:lineRule="exact"/>
        <w:rPr>
          <w:sz w:val="20"/>
          <w:szCs w:val="20"/>
          <w:color w:val="auto"/>
        </w:rPr>
      </w:pPr>
    </w:p>
    <w:p>
      <w:pPr>
        <w:jc w:val="both"/>
        <w:ind w:firstLine="656"/>
        <w:spacing w:after="0" w:line="284" w:lineRule="auto"/>
        <w:tabs>
          <w:tab w:leader="none" w:pos="1134" w:val="left"/>
        </w:tabs>
        <w:numPr>
          <w:ilvl w:val="0"/>
          <w:numId w:val="180"/>
        </w:numPr>
        <w:rPr>
          <w:rFonts w:ascii="Arial" w:cs="Arial" w:eastAsia="Arial" w:hAnsi="Arial"/>
          <w:sz w:val="19"/>
          <w:szCs w:val="19"/>
          <w:color w:val="auto"/>
        </w:rPr>
      </w:pPr>
      <w:r>
        <w:rPr>
          <w:rFonts w:ascii="Arial" w:cs="Arial" w:eastAsia="Arial" w:hAnsi="Arial"/>
          <w:sz w:val="19"/>
          <w:szCs w:val="19"/>
          <w:i w:val="1"/>
          <w:iCs w:val="1"/>
          <w:color w:val="auto"/>
        </w:rPr>
        <w:t>Reimbursement Obligation of the Borrower</w:t>
      </w:r>
      <w:r>
        <w:rPr>
          <w:rFonts w:ascii="Arial" w:cs="Arial" w:eastAsia="Arial" w:hAnsi="Arial"/>
          <w:sz w:val="19"/>
          <w:szCs w:val="19"/>
          <w:color w:val="auto"/>
        </w:rPr>
        <w:t>. In the event of any drawing under any Letter of Credit,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agrees to reimburse (either with the proceeds of a Revolving Loan as provided for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with funds from other sources), in same day funds, the applicable Issuing Lender on the first Business Day after the date on which such Issuing Lender notifies the Borrower of the date and amount of a draft paid by it under any Letter of Credit for the amount of (i) such draft so paid and (ii) any amounts referred to in </w:t>
      </w:r>
      <w:r>
        <w:rPr>
          <w:rFonts w:ascii="Arial" w:cs="Arial" w:eastAsia="Arial" w:hAnsi="Arial"/>
          <w:sz w:val="19"/>
          <w:szCs w:val="19"/>
          <w:u w:val="single" w:color="auto"/>
          <w:color w:val="auto"/>
        </w:rPr>
        <w:t>Section 2.03(d)(iii)</w:t>
      </w:r>
      <w:r>
        <w:rPr>
          <w:rFonts w:ascii="Arial" w:cs="Arial" w:eastAsia="Arial" w:hAnsi="Arial"/>
          <w:sz w:val="19"/>
          <w:szCs w:val="19"/>
          <w:color w:val="auto"/>
        </w:rPr>
        <w:t xml:space="preserve"> incurred by such Issuing Lender in connection with such payment. In the case of a Letter of Credit denominated in a Foreign Currency or Additional L/C Currency, the Borrower shall reimburse the applicable Issuing Lender in such Foreign Currency or Additional L/C Currency, as applicable, unless (A) the applicable Issuing Lender (at its option) shall have specified in such notice that it will require reimbursement in Dollars, or (B) in the absence of any such requirement for reimbursement in Dollars, the Borrower shall have notified the applicable Issuing Lender promptly following receipt of the notice of drawing that the Borrower will reimburse the applicable Issuing Lender in Dollars. In the case of any such reimbursement in Dollars of a drawing under a Letter of Credit denominated in a Foreign Currency or Additional L/C Currency, the applicable Issuing Lender (through the Administrative Agent) shall notify the Borrower of the Dollar Equivalent of the amount of the drawing promptly following the determination thereof. Unless the Borrower shall promptly (and in any event not later than 11:00 a.m. (New York time) in the case of any Letter of Credit to be reimbursed in Dollars or the Applicable Time in the case of any Letter of Credit to be reimbursed in a Foreign Currency or Additional L/C Currency on the applicable repayment date) notify such Issuing Lender (and the Administrative Agent) that the Borrower intends to reimburse such Issuing Lender for such drawing from other sources or funds, the Borrower shall be deemed to have timely given a Borrowing Notice to the Administrative Agent requesting that the Lenders make a Revolving Loan as an Alternate Base Rate Loan on the applicable repayment date in the amount of (i) such draft so paid (or, in the case of a Letter of Credit denominated in a Foreign Currency or Additional L/C Currency, the Dollar Equivalent of the amount of such draft so paid) and (ii) any amounts referred to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2.03(d)(iii)</w:t>
      </w:r>
      <w:r>
        <w:rPr>
          <w:rFonts w:ascii="Arial" w:cs="Arial" w:eastAsia="Arial" w:hAnsi="Arial"/>
          <w:sz w:val="19"/>
          <w:szCs w:val="19"/>
          <w:color w:val="auto"/>
        </w:rPr>
        <w:t xml:space="preserve"> incurred by such Issuing Lender in connection with such payment, and the Lenders shall make a Revolving Loan as an Alternate Base Rate Loan in such amount on such first Business Day after the date of the notice from the applicable Issuing Lender (through the Administrative Agent) to the Borrower referred to in the first sentence of this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the proceeds of which shall be applied to reimburse such Issuing Lender for the amount of the related drawing and such fees and expenses. Each Lender acknowledges and agrees that its obligation to fund a Revolving Loan in accordance with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reimburse such Issuing Lender for any draft paid under a Letter of Credit issued by it is absolute and unconditional and shall not be affected by any circumstance whatsoever, including, without limitation, non-satisfaction of the conditions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249" w:name="page250"/>
    <w:bookmarkEnd w:id="249"/>
    <w:p>
      <w:pPr>
        <w:jc w:val="both"/>
        <w:spacing w:after="0" w:line="288" w:lineRule="auto"/>
        <w:rPr>
          <w:sz w:val="20"/>
          <w:szCs w:val="20"/>
          <w:color w:val="auto"/>
        </w:rPr>
      </w:pPr>
      <w:r>
        <w:rPr>
          <w:rFonts w:ascii="Arial" w:cs="Arial" w:eastAsia="Arial" w:hAnsi="Arial"/>
          <w:sz w:val="19"/>
          <w:szCs w:val="19"/>
          <w:color w:val="auto"/>
        </w:rPr>
        <w:t>If the Borrower has elected to pay the amount of such drawing with funds from other sources and shall fail to reimburse such Issuing Lender as provided above, the unreimbursed amount of such drawing shall bear interest at the rate which would be payable on any outstanding Alternate Base Rate Loans which were then overdue from the date such amounts become payable (whether at stated maturity, by acceleration or otherwise) until payment in full. In the event that (x) a drawing of a Letter of Credit denominated in a Foreign Currency or Additional L/C Currency is to be reimbursed in Dollars pursuant to clause (B) of the second sentence of this subclause (f) and (y) the Dollar amount paid by the Borrower, whether on or after the applicable repayment date, shall not be adequate on the date of that payment to purchase in accordance with normal banking procedures a sum denominated in the Foreign Currency or Additional L/C Currency equal to the drawing, the Borrower agrees, as a separate and independent obligation, to indemnify the applicable Issuing Lender for the loss resulting from its inability on that date to purchase the Foreign Currency or Additional L/C Currency in the full amount of the drawing.</w:t>
      </w:r>
    </w:p>
    <w:p>
      <w:pPr>
        <w:spacing w:after="0" w:line="105" w:lineRule="exact"/>
        <w:rPr>
          <w:sz w:val="20"/>
          <w:szCs w:val="20"/>
          <w:color w:val="auto"/>
        </w:rPr>
      </w:pPr>
    </w:p>
    <w:p>
      <w:pPr>
        <w:jc w:val="both"/>
        <w:ind w:firstLine="656"/>
        <w:spacing w:after="0" w:line="284" w:lineRule="auto"/>
        <w:tabs>
          <w:tab w:leader="none" w:pos="1305" w:val="left"/>
        </w:tabs>
        <w:numPr>
          <w:ilvl w:val="0"/>
          <w:numId w:val="181"/>
        </w:numPr>
        <w:rPr>
          <w:rFonts w:ascii="Arial" w:cs="Arial" w:eastAsia="Arial" w:hAnsi="Arial"/>
          <w:sz w:val="19"/>
          <w:szCs w:val="19"/>
          <w:color w:val="auto"/>
        </w:rPr>
      </w:pPr>
      <w:r>
        <w:rPr>
          <w:rFonts w:ascii="Arial" w:cs="Arial" w:eastAsia="Arial" w:hAnsi="Arial"/>
          <w:sz w:val="19"/>
          <w:szCs w:val="19"/>
          <w:i w:val="1"/>
          <w:iCs w:val="1"/>
          <w:color w:val="auto"/>
        </w:rPr>
        <w:t>Obligations Absolute</w:t>
      </w:r>
      <w:r>
        <w:rPr>
          <w:rFonts w:ascii="Arial" w:cs="Arial" w:eastAsia="Arial" w:hAnsi="Arial"/>
          <w:sz w:val="19"/>
          <w:szCs w:val="19"/>
          <w:color w:val="auto"/>
        </w:rPr>
        <w:t>. The Borrower’s obligations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2.03</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without limitation, the</w:t>
      </w:r>
      <w:r>
        <w:rPr>
          <w:rFonts w:ascii="Arial" w:cs="Arial" w:eastAsia="Arial" w:hAnsi="Arial"/>
          <w:sz w:val="19"/>
          <w:szCs w:val="19"/>
          <w:i w:val="1"/>
          <w:iCs w:val="1"/>
          <w:color w:val="auto"/>
        </w:rPr>
        <w:t xml:space="preserve"> </w:t>
      </w:r>
      <w:r>
        <w:rPr>
          <w:rFonts w:ascii="Arial" w:cs="Arial" w:eastAsia="Arial" w:hAnsi="Arial"/>
          <w:sz w:val="19"/>
          <w:szCs w:val="19"/>
          <w:color w:val="auto"/>
        </w:rPr>
        <w:t>Reimbursement Obligation) shall be absolute, unconditional and irrevocable, and shall be performed strictly in accordance with the terms of this Agreement under any and all circumstances whatsoever and irrespective of (i) any adverse change in the relevant exchange rates or in the availability of the relevant Foreign Currency or Additional L/C Currency to the Borrower or any Subsidiary or in the relevant markets generally, (ii) any lack of validity or enforceability of any Letter of Credit or this Agreement, (iii) any draft or other document presented under a Letter of Credit proving to be forged, fraudulent or invalid in any respect or any statement therein being untrue or inaccurate in any respect, (iv) payment by the Issuing Lender under a Letter of Credit against presentation of a draft or other document that does not comply with the terms of such Letter of Credit, or (v) any setoff, counterclaim or defense to payment which the Borrower may have or have had against the applicable Issuing Lender or any beneficiary of a Letter of Credit. No Issuing Lender shall be liable for any error, omission, interruption or delay in transmission, dispatch or delivery of any message or advice, however transmitted, in connection with any Letter of Credit issued by it, except for errors or omissions, interruptions or delays caused by such Issuing Lender’s gross negligence or willful misconduct of the terms of this Agreement, as determined by a court of competent jurisdiction by final nonappealable judgment. The Borrower agrees that any action taken or omitted by any Issuing Lender under or in connection with any Letter of Credit issued by it or the related drafts or documents, if done in the absence of gross negligence or willful misconduct of its obligations under this Agreement, or such Issuing Lender’s willful failure to pay under any Letter of Credit after the presentation to it by the beneficiary of a sight draft and certificate(s) strictly complying with the terms and conditions of a Letter of Credit, in the case of any such willful failure to pay, as determined by a court of competent jurisdiction by a final and non-appealable judgment, shall be binding on the Borrower and shall not result in any liability of such Issuing Lender or any L/C Participant to the Borrower. The responsibility of any Issuing Lender to the Borrower in connection with any draft presented for payment under any Letter of Credit issued to it shall, in addition to any payment obligation expressly provided for in such Letter of Credit, be limited to determining that the documents (including each draft) delivered under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in connection with such presentment substantially conform to the requirements under such Letter of Credit.</w:t>
      </w:r>
    </w:p>
    <w:p>
      <w:pPr>
        <w:spacing w:after="0" w:line="166" w:lineRule="exact"/>
        <w:rPr>
          <w:sz w:val="20"/>
          <w:szCs w:val="20"/>
          <w:color w:val="auto"/>
        </w:rPr>
      </w:pPr>
    </w:p>
    <w:p>
      <w:pPr>
        <w:ind w:firstLine="656"/>
        <w:spacing w:after="0" w:line="343" w:lineRule="auto"/>
        <w:tabs>
          <w:tab w:leader="none" w:pos="1143" w:val="left"/>
        </w:tabs>
        <w:numPr>
          <w:ilvl w:val="0"/>
          <w:numId w:val="182"/>
        </w:numPr>
        <w:rPr>
          <w:rFonts w:ascii="Arial" w:cs="Arial" w:eastAsia="Arial" w:hAnsi="Arial"/>
          <w:sz w:val="19"/>
          <w:szCs w:val="19"/>
          <w:color w:val="auto"/>
        </w:rPr>
      </w:pPr>
      <w:r>
        <w:rPr>
          <w:rFonts w:ascii="Arial" w:cs="Arial" w:eastAsia="Arial" w:hAnsi="Arial"/>
          <w:sz w:val="19"/>
          <w:szCs w:val="19"/>
          <w:i w:val="1"/>
          <w:iCs w:val="1"/>
          <w:color w:val="auto"/>
        </w:rPr>
        <w:t>Effect of Letter of Credit Application</w:t>
      </w:r>
      <w:r>
        <w:rPr>
          <w:rFonts w:ascii="Arial" w:cs="Arial" w:eastAsia="Arial" w:hAnsi="Arial"/>
          <w:sz w:val="19"/>
          <w:szCs w:val="19"/>
          <w:color w:val="auto"/>
        </w:rPr>
        <w:t>. To the extent that any provision of any Letter of Credit Application related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Letter of Credit is inconsistent with the provisions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apply.</w:t>
      </w:r>
    </w:p>
    <w:p>
      <w:pPr>
        <w:spacing w:after="0" w:line="50" w:lineRule="exact"/>
        <w:rPr>
          <w:rFonts w:ascii="Arial" w:cs="Arial" w:eastAsia="Arial" w:hAnsi="Arial"/>
          <w:sz w:val="19"/>
          <w:szCs w:val="19"/>
          <w:color w:val="auto"/>
        </w:rPr>
      </w:pPr>
    </w:p>
    <w:p>
      <w:pPr>
        <w:jc w:val="both"/>
        <w:ind w:firstLine="656"/>
        <w:spacing w:after="0" w:line="294" w:lineRule="auto"/>
        <w:tabs>
          <w:tab w:leader="none" w:pos="1095" w:val="left"/>
        </w:tabs>
        <w:numPr>
          <w:ilvl w:val="0"/>
          <w:numId w:val="182"/>
        </w:numPr>
        <w:rPr>
          <w:rFonts w:ascii="Arial" w:cs="Arial" w:eastAsia="Arial" w:hAnsi="Arial"/>
          <w:sz w:val="19"/>
          <w:szCs w:val="19"/>
          <w:color w:val="auto"/>
        </w:rPr>
      </w:pPr>
      <w:r>
        <w:rPr>
          <w:rFonts w:ascii="Arial" w:cs="Arial" w:eastAsia="Arial" w:hAnsi="Arial"/>
          <w:sz w:val="19"/>
          <w:szCs w:val="19"/>
          <w:i w:val="1"/>
          <w:iCs w:val="1"/>
          <w:color w:val="auto"/>
        </w:rPr>
        <w:t>Resignation of Issuing Lenders</w:t>
      </w:r>
      <w:r>
        <w:rPr>
          <w:rFonts w:ascii="Arial" w:cs="Arial" w:eastAsia="Arial" w:hAnsi="Arial"/>
          <w:sz w:val="19"/>
          <w:szCs w:val="19"/>
          <w:color w:val="auto"/>
        </w:rPr>
        <w:t>. (i) Any Lender may at any time resign from its role as an Issuing Lender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upon not less than thirty (30) days prior notice to the Borrower and the Administrative Agent (or such shorter period of time as may be acceptable to the Borrower and the Administrative Agent); provided that (a) it shall have assigned all of its Commitments and Loans pursuant to Section 12.01(b) hereof at or prior to the time of such resignation and (b) another Lender acceptable to the Borrower shall have assumed the L/C Commitments of such resigning Issuing Lender (and, to the extent such assuming Lender was not an Issuing Lender hereunder, such assuming Lender shall have become an Issuing Lender hereunder).</w:t>
      </w:r>
    </w:p>
    <w:p>
      <w:pPr>
        <w:spacing w:after="0" w:line="95" w:lineRule="exact"/>
        <w:rPr>
          <w:rFonts w:ascii="Arial" w:cs="Arial" w:eastAsia="Arial" w:hAnsi="Arial"/>
          <w:sz w:val="19"/>
          <w:szCs w:val="19"/>
          <w:color w:val="auto"/>
        </w:rPr>
      </w:pPr>
    </w:p>
    <w:p>
      <w:pPr>
        <w:jc w:val="both"/>
        <w:ind w:left="660" w:firstLine="644"/>
        <w:spacing w:after="0" w:line="265" w:lineRule="auto"/>
        <w:tabs>
          <w:tab w:leader="none" w:pos="1833" w:val="left"/>
        </w:tabs>
        <w:numPr>
          <w:ilvl w:val="1"/>
          <w:numId w:val="182"/>
        </w:numPr>
        <w:rPr>
          <w:rFonts w:ascii="Arial" w:cs="Arial" w:eastAsia="Arial" w:hAnsi="Arial"/>
          <w:sz w:val="21"/>
          <w:szCs w:val="21"/>
          <w:color w:val="auto"/>
        </w:rPr>
      </w:pPr>
      <w:r>
        <w:rPr>
          <w:rFonts w:ascii="Arial" w:cs="Arial" w:eastAsia="Arial" w:hAnsi="Arial"/>
          <w:sz w:val="21"/>
          <w:szCs w:val="21"/>
          <w:color w:val="auto"/>
        </w:rPr>
        <w:t xml:space="preserve">Any resigning Issuing Lender shall retain all the rights, powers, privileges and duties of an Issuing Lender hereunder with respect to all Letters of Credit issued by it that are outstanding as of the effective date of its resignation as an Issuing Lender and all L/C Obligations with respect thereto (including, without limitation, the right to require the Lenders to take such actions as are required under </w:t>
      </w:r>
      <w:r>
        <w:rPr>
          <w:rFonts w:ascii="Arial" w:cs="Arial" w:eastAsia="Arial" w:hAnsi="Arial"/>
          <w:sz w:val="21"/>
          <w:szCs w:val="21"/>
          <w:u w:val="single" w:color="auto"/>
          <w:color w:val="auto"/>
        </w:rPr>
        <w:t>Section 2.03(e)</w:t>
      </w:r>
      <w:r>
        <w:rPr>
          <w:rFonts w:ascii="Arial" w:cs="Arial" w:eastAsia="Arial" w:hAnsi="Arial"/>
          <w:sz w:val="21"/>
          <w:szCs w:val="21"/>
          <w:color w:val="auto"/>
        </w:rPr>
        <w:t>).</w:t>
      </w:r>
    </w:p>
    <w:p>
      <w:pPr>
        <w:spacing w:after="0" w:line="121" w:lineRule="exact"/>
        <w:rPr>
          <w:rFonts w:ascii="Arial" w:cs="Arial" w:eastAsia="Arial" w:hAnsi="Arial"/>
          <w:sz w:val="21"/>
          <w:szCs w:val="21"/>
          <w:color w:val="auto"/>
        </w:rPr>
      </w:pPr>
    </w:p>
    <w:p>
      <w:pPr>
        <w:jc w:val="both"/>
        <w:ind w:firstLine="656"/>
        <w:spacing w:after="0" w:line="286" w:lineRule="auto"/>
        <w:tabs>
          <w:tab w:leader="none" w:pos="1122" w:val="left"/>
        </w:tabs>
        <w:numPr>
          <w:ilvl w:val="0"/>
          <w:numId w:val="182"/>
        </w:numPr>
        <w:rPr>
          <w:rFonts w:ascii="Arial" w:cs="Arial" w:eastAsia="Arial" w:hAnsi="Arial"/>
          <w:sz w:val="19"/>
          <w:szCs w:val="19"/>
          <w:color w:val="auto"/>
        </w:rPr>
      </w:pPr>
      <w:r>
        <w:rPr>
          <w:rFonts w:ascii="Arial" w:cs="Arial" w:eastAsia="Arial" w:hAnsi="Arial"/>
          <w:sz w:val="19"/>
          <w:szCs w:val="19"/>
          <w:i w:val="1"/>
          <w:iCs w:val="1"/>
          <w:color w:val="auto"/>
        </w:rPr>
        <w:t>Reporting of Letter of Credit Information and L/C Commitment</w:t>
      </w:r>
      <w:r>
        <w:rPr>
          <w:rFonts w:ascii="Arial" w:cs="Arial" w:eastAsia="Arial" w:hAnsi="Arial"/>
          <w:sz w:val="19"/>
          <w:szCs w:val="19"/>
          <w:color w:val="auto"/>
        </w:rPr>
        <w:t>. At any time that there is an Issuing Lender that 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Issuing Lender (or, in the case of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2.03(j)</w:t>
      </w:r>
      <w:r>
        <w:rPr>
          <w:rFonts w:ascii="Arial" w:cs="Arial" w:eastAsia="Arial" w:hAnsi="Arial"/>
          <w:sz w:val="19"/>
          <w:szCs w:val="19"/>
          <w:color w:val="auto"/>
        </w:rPr>
        <w:t xml:space="preserve">,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(it being understood that any change to the L/C Commitment of any Issuing Lender shall only be made in accordance with the terms of the definition of “L/C Commitment”). No failure on the part of any Issuing Lender to provide such information pursuant to this </w:t>
      </w:r>
      <w:r>
        <w:rPr>
          <w:rFonts w:ascii="Arial" w:cs="Arial" w:eastAsia="Arial" w:hAnsi="Arial"/>
          <w:sz w:val="19"/>
          <w:szCs w:val="19"/>
          <w:u w:val="single" w:color="auto"/>
          <w:color w:val="auto"/>
        </w:rPr>
        <w:t>Section 2.03(j)</w:t>
      </w:r>
      <w:r>
        <w:rPr>
          <w:rFonts w:ascii="Arial" w:cs="Arial" w:eastAsia="Arial" w:hAnsi="Arial"/>
          <w:sz w:val="19"/>
          <w:szCs w:val="19"/>
          <w:color w:val="auto"/>
        </w:rPr>
        <w:t xml:space="preserve"> shall limit the obligations of the Borrower or any Lender hereunder with respect to its reimbursement and participation obligations hereunder.</w:t>
      </w:r>
    </w:p>
    <w:p>
      <w:pPr>
        <w:spacing w:after="0" w:line="111" w:lineRule="exact"/>
        <w:rPr>
          <w:rFonts w:ascii="Arial" w:cs="Arial" w:eastAsia="Arial" w:hAnsi="Arial"/>
          <w:sz w:val="19"/>
          <w:szCs w:val="19"/>
          <w:color w:val="auto"/>
        </w:rPr>
      </w:pPr>
    </w:p>
    <w:p>
      <w:pPr>
        <w:jc w:val="both"/>
        <w:ind w:firstLine="656"/>
        <w:spacing w:after="0" w:line="253" w:lineRule="auto"/>
        <w:tabs>
          <w:tab w:leader="none" w:pos="1143" w:val="left"/>
        </w:tabs>
        <w:numPr>
          <w:ilvl w:val="0"/>
          <w:numId w:val="182"/>
        </w:numPr>
        <w:rPr>
          <w:rFonts w:ascii="Arial" w:cs="Arial" w:eastAsia="Arial" w:hAnsi="Arial"/>
          <w:sz w:val="22"/>
          <w:szCs w:val="22"/>
          <w:color w:val="auto"/>
        </w:rPr>
      </w:pPr>
      <w:r>
        <w:rPr>
          <w:rFonts w:ascii="Arial" w:cs="Arial" w:eastAsia="Arial" w:hAnsi="Arial"/>
          <w:sz w:val="22"/>
          <w:szCs w:val="22"/>
          <w:i w:val="1"/>
          <w:iCs w:val="1"/>
          <w:color w:val="auto"/>
        </w:rPr>
        <w:t>Letters of Credit Issued for Subsidiaries</w:t>
      </w:r>
      <w:r>
        <w:rPr>
          <w:rFonts w:ascii="Arial" w:cs="Arial" w:eastAsia="Arial" w:hAnsi="Arial"/>
          <w:sz w:val="22"/>
          <w:szCs w:val="22"/>
          <w:color w:val="auto"/>
        </w:rPr>
        <w:t>. Notwithstanding that a Letter of Credit issued or outstanding hereunder is</w:t>
      </w:r>
      <w:r>
        <w:rPr>
          <w:rFonts w:ascii="Arial" w:cs="Arial" w:eastAsia="Arial" w:hAnsi="Arial"/>
          <w:sz w:val="22"/>
          <w:szCs w:val="22"/>
          <w:i w:val="1"/>
          <w:iCs w:val="1"/>
          <w:color w:val="auto"/>
        </w:rPr>
        <w:t xml:space="preserve"> </w:t>
      </w:r>
      <w:r>
        <w:rPr>
          <w:rFonts w:ascii="Arial" w:cs="Arial" w:eastAsia="Arial" w:hAnsi="Arial"/>
          <w:sz w:val="22"/>
          <w:szCs w:val="22"/>
          <w:color w:val="auto"/>
        </w:rPr>
        <w:t>in support of any obligations of, or is for the account of, a Subsidiary, the Borrower shall be obligated to reimburse, or to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251" w:name="page252"/>
    <w:bookmarkEnd w:id="251"/>
    <w:p>
      <w:pPr>
        <w:jc w:val="both"/>
        <w:spacing w:after="0" w:line="312" w:lineRule="auto"/>
        <w:rPr>
          <w:sz w:val="20"/>
          <w:szCs w:val="20"/>
          <w:color w:val="auto"/>
        </w:rPr>
      </w:pPr>
      <w:r>
        <w:rPr>
          <w:rFonts w:ascii="Arial" w:cs="Arial" w:eastAsia="Arial" w:hAnsi="Arial"/>
          <w:sz w:val="19"/>
          <w:szCs w:val="19"/>
          <w:color w:val="auto"/>
        </w:rPr>
        <w:t>applicable Subsidiary to reimburse, the applicable Issuing Lender hereunder for any and all drawings under such Letter of Credit. The Borrower hereby acknowledges that the issuance of Letters of Credit for the account of any of its Subsidiaries inures to the benefit of the Borrower and that the Borrower’s business derives substantial benefits from the businesses of such Subsidiaries.</w:t>
      </w:r>
    </w:p>
    <w:p>
      <w:pPr>
        <w:spacing w:after="0" w:line="79" w:lineRule="exact"/>
        <w:rPr>
          <w:sz w:val="20"/>
          <w:szCs w:val="20"/>
          <w:color w:val="auto"/>
        </w:rPr>
      </w:pPr>
    </w:p>
    <w:p>
      <w:pPr>
        <w:ind w:right="20" w:firstLine="656"/>
        <w:spacing w:after="0" w:line="343" w:lineRule="auto"/>
        <w:tabs>
          <w:tab w:leader="none" w:pos="1095" w:val="left"/>
        </w:tabs>
        <w:numPr>
          <w:ilvl w:val="0"/>
          <w:numId w:val="183"/>
        </w:numPr>
        <w:rPr>
          <w:rFonts w:ascii="Arial" w:cs="Arial" w:eastAsia="Arial" w:hAnsi="Arial"/>
          <w:sz w:val="19"/>
          <w:szCs w:val="19"/>
          <w:color w:val="auto"/>
        </w:rPr>
      </w:pPr>
      <w:r>
        <w:rPr>
          <w:rFonts w:ascii="Arial" w:cs="Arial" w:eastAsia="Arial" w:hAnsi="Arial"/>
          <w:sz w:val="19"/>
          <w:szCs w:val="19"/>
          <w:i w:val="1"/>
          <w:iCs w:val="1"/>
          <w:color w:val="auto"/>
        </w:rPr>
        <w:t>Existing Letters of Credit</w:t>
      </w:r>
      <w:r>
        <w:rPr>
          <w:rFonts w:ascii="Arial" w:cs="Arial" w:eastAsia="Arial" w:hAnsi="Arial"/>
          <w:sz w:val="19"/>
          <w:szCs w:val="19"/>
          <w:color w:val="auto"/>
        </w:rPr>
        <w:t>. As of the Closing Date, each Existing Letter of Credit shall be deemed a Letter of Credit</w:t>
      </w:r>
      <w:r>
        <w:rPr>
          <w:rFonts w:ascii="Arial" w:cs="Arial" w:eastAsia="Arial" w:hAnsi="Arial"/>
          <w:sz w:val="19"/>
          <w:szCs w:val="19"/>
          <w:i w:val="1"/>
          <w:iCs w:val="1"/>
          <w:color w:val="auto"/>
        </w:rPr>
        <w:t xml:space="preserve"> </w:t>
      </w:r>
      <w:r>
        <w:rPr>
          <w:rFonts w:ascii="Arial" w:cs="Arial" w:eastAsia="Arial" w:hAnsi="Arial"/>
          <w:sz w:val="19"/>
          <w:szCs w:val="19"/>
          <w:color w:val="auto"/>
        </w:rPr>
        <w:t>issued hereunder for all purposes under this Agreement without need for any further action by the Borrower or any other Person.</w:t>
      </w:r>
    </w:p>
    <w:p>
      <w:pPr>
        <w:spacing w:after="0" w:line="4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2.04 </w:t>
      </w:r>
      <w:r>
        <w:rPr>
          <w:rFonts w:ascii="Arial" w:cs="Arial" w:eastAsia="Arial" w:hAnsi="Arial"/>
          <w:sz w:val="22"/>
          <w:szCs w:val="22"/>
          <w:i w:val="1"/>
          <w:iCs w:val="1"/>
          <w:color w:val="auto"/>
        </w:rPr>
        <w:t>Types of Advances</w:t>
      </w:r>
      <w:r>
        <w:rPr>
          <w:rFonts w:ascii="Arial" w:cs="Arial" w:eastAsia="Arial" w:hAnsi="Arial"/>
          <w:sz w:val="22"/>
          <w:szCs w:val="22"/>
          <w:color w:val="auto"/>
        </w:rPr>
        <w:t>. The Advances may consist of Alternate Base Rate Loans or Eurocurrency Loans, or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combination thereof, selected by the Borrower in accordance with </w:t>
      </w:r>
      <w:r>
        <w:rPr>
          <w:rFonts w:ascii="Arial" w:cs="Arial" w:eastAsia="Arial" w:hAnsi="Arial"/>
          <w:sz w:val="22"/>
          <w:szCs w:val="22"/>
          <w:u w:val="single" w:color="auto"/>
          <w:color w:val="auto"/>
        </w:rPr>
        <w:t>Sections 2.08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2.09</w:t>
      </w:r>
      <w:r>
        <w:rPr>
          <w:rFonts w:ascii="Arial" w:cs="Arial" w:eastAsia="Arial" w:hAnsi="Arial"/>
          <w:sz w:val="22"/>
          <w:szCs w:val="22"/>
          <w:color w:val="auto"/>
        </w:rPr>
        <w:t>.</w:t>
      </w:r>
    </w:p>
    <w:p>
      <w:pPr>
        <w:spacing w:after="0" w:line="10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2.05</w:t>
      </w:r>
      <w:r>
        <w:rPr>
          <w:sz w:val="20"/>
          <w:szCs w:val="20"/>
          <w:color w:val="auto"/>
        </w:rPr>
        <w:tab/>
      </w:r>
      <w:r>
        <w:rPr>
          <w:rFonts w:ascii="Arial" w:cs="Arial" w:eastAsia="Arial" w:hAnsi="Arial"/>
          <w:sz w:val="19"/>
          <w:szCs w:val="19"/>
          <w:i w:val="1"/>
          <w:iCs w:val="1"/>
          <w:color w:val="auto"/>
        </w:rPr>
        <w:t>Fees; Reductions in Aggregate Commitment</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9" w:lineRule="auto"/>
        <w:tabs>
          <w:tab w:leader="none" w:pos="1252"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Commitment Fee</w:t>
      </w:r>
      <w:r>
        <w:rPr>
          <w:rFonts w:ascii="Arial" w:cs="Arial" w:eastAsia="Arial" w:hAnsi="Arial"/>
          <w:sz w:val="19"/>
          <w:szCs w:val="19"/>
          <w:color w:val="auto"/>
        </w:rPr>
        <w:t>. The Borrower agrees to pay to the Administrative Agent for the account of each Lender a</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 fee in Dollars (the “</w:t>
      </w:r>
      <w:r>
        <w:rPr>
          <w:rFonts w:ascii="Arial" w:cs="Arial" w:eastAsia="Arial" w:hAnsi="Arial"/>
          <w:sz w:val="19"/>
          <w:szCs w:val="19"/>
          <w:b w:val="1"/>
          <w:bCs w:val="1"/>
          <w:color w:val="auto"/>
        </w:rPr>
        <w:t>Commitment Fee</w:t>
      </w:r>
      <w:r>
        <w:rPr>
          <w:rFonts w:ascii="Arial" w:cs="Arial" w:eastAsia="Arial" w:hAnsi="Arial"/>
          <w:sz w:val="19"/>
          <w:szCs w:val="19"/>
          <w:color w:val="auto"/>
        </w:rPr>
        <w:t>”) at a per annum rate equal to the percentage set forth under the heading “Commitment Fee” in the Pricing Schedule on the daily actual excess of such Lender’s Commitment over such Lender’s Outstanding Credit Exposure (such excess, such Lender’s “</w:t>
      </w:r>
      <w:r>
        <w:rPr>
          <w:rFonts w:ascii="Arial" w:cs="Arial" w:eastAsia="Arial" w:hAnsi="Arial"/>
          <w:sz w:val="19"/>
          <w:szCs w:val="19"/>
          <w:b w:val="1"/>
          <w:bCs w:val="1"/>
          <w:color w:val="auto"/>
        </w:rPr>
        <w:t>Actual Unused Commitments</w:t>
      </w:r>
      <w:r>
        <w:rPr>
          <w:rFonts w:ascii="Arial" w:cs="Arial" w:eastAsia="Arial" w:hAnsi="Arial"/>
          <w:sz w:val="19"/>
          <w:szCs w:val="19"/>
          <w:color w:val="auto"/>
        </w:rPr>
        <w:t xml:space="preserve">”) as adjusted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2.05(c)</w:t>
      </w:r>
      <w:r>
        <w:rPr>
          <w:rFonts w:ascii="Arial" w:cs="Arial" w:eastAsia="Arial" w:hAnsi="Arial"/>
          <w:sz w:val="19"/>
          <w:szCs w:val="19"/>
          <w:color w:val="auto"/>
        </w:rPr>
        <w:t xml:space="preserve"> from and including the date that is the earlier of (x) 90 days after the Effective Date and (y) the Closing Date, to and including the date on which this Agreement is terminated in full and all Obligations hereunder (other than contingent indemnity obligations) have been paid in full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payable (i) on the Closing Date (if any Commitment Fee has accrued) and (ii) quarterly in arrears on each Payment Date thereafter;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Commitment Fee shall accrue hereunder with respect to the Actual Unused Commitment of a Defaulting Lender so long as such Lender shall be a Defaulting Lender.</w:t>
      </w:r>
    </w:p>
    <w:p>
      <w:pPr>
        <w:spacing w:after="0" w:line="102" w:lineRule="exact"/>
        <w:rPr>
          <w:rFonts w:ascii="Arial" w:cs="Arial" w:eastAsia="Arial" w:hAnsi="Arial"/>
          <w:sz w:val="19"/>
          <w:szCs w:val="19"/>
          <w:color w:val="auto"/>
        </w:rPr>
      </w:pPr>
    </w:p>
    <w:p>
      <w:pPr>
        <w:jc w:val="both"/>
        <w:ind w:firstLine="656"/>
        <w:spacing w:after="0" w:line="253" w:lineRule="auto"/>
        <w:tabs>
          <w:tab w:leader="none" w:pos="1156" w:val="left"/>
        </w:tabs>
        <w:numPr>
          <w:ilvl w:val="0"/>
          <w:numId w:val="184"/>
        </w:numPr>
        <w:rPr>
          <w:rFonts w:ascii="Arial" w:cs="Arial" w:eastAsia="Arial" w:hAnsi="Arial"/>
          <w:sz w:val="22"/>
          <w:szCs w:val="22"/>
          <w:color w:val="auto"/>
        </w:rPr>
      </w:pPr>
      <w:r>
        <w:rPr>
          <w:rFonts w:ascii="Arial" w:cs="Arial" w:eastAsia="Arial" w:hAnsi="Arial"/>
          <w:sz w:val="22"/>
          <w:szCs w:val="22"/>
          <w:i w:val="1"/>
          <w:iCs w:val="1"/>
          <w:color w:val="auto"/>
        </w:rPr>
        <w:t>Fee Letter</w:t>
      </w:r>
      <w:r>
        <w:rPr>
          <w:rFonts w:ascii="Arial" w:cs="Arial" w:eastAsia="Arial" w:hAnsi="Arial"/>
          <w:sz w:val="22"/>
          <w:szCs w:val="22"/>
          <w:color w:val="auto"/>
        </w:rPr>
        <w:t>. The Borrower shall pay to the Administrative Agent for its own account fees in Dollars in the amounts</w:t>
      </w:r>
      <w:r>
        <w:rPr>
          <w:rFonts w:ascii="Arial" w:cs="Arial" w:eastAsia="Arial" w:hAnsi="Arial"/>
          <w:sz w:val="22"/>
          <w:szCs w:val="22"/>
          <w:i w:val="1"/>
          <w:iCs w:val="1"/>
          <w:color w:val="auto"/>
        </w:rPr>
        <w:t xml:space="preserve"> </w:t>
      </w:r>
      <w:r>
        <w:rPr>
          <w:rFonts w:ascii="Arial" w:cs="Arial" w:eastAsia="Arial" w:hAnsi="Arial"/>
          <w:sz w:val="22"/>
          <w:szCs w:val="22"/>
          <w:color w:val="auto"/>
        </w:rPr>
        <w:t>and at the times specified in the applicable Fee Letter. Such fees shall be fully earned when paid and shall be non-refundable for any reason whatsoever.</w:t>
      </w:r>
    </w:p>
    <w:p>
      <w:pPr>
        <w:spacing w:after="0" w:line="131" w:lineRule="exact"/>
        <w:rPr>
          <w:rFonts w:ascii="Arial" w:cs="Arial" w:eastAsia="Arial" w:hAnsi="Arial"/>
          <w:sz w:val="22"/>
          <w:szCs w:val="22"/>
          <w:color w:val="auto"/>
        </w:rPr>
      </w:pPr>
    </w:p>
    <w:p>
      <w:pPr>
        <w:jc w:val="both"/>
        <w:ind w:firstLine="656"/>
        <w:spacing w:after="0" w:line="292" w:lineRule="auto"/>
        <w:tabs>
          <w:tab w:leader="none" w:pos="1104"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Reductions in Aggregate Commitment</w:t>
      </w:r>
      <w:r>
        <w:rPr>
          <w:rFonts w:ascii="Arial" w:cs="Arial" w:eastAsia="Arial" w:hAnsi="Arial"/>
          <w:sz w:val="19"/>
          <w:szCs w:val="19"/>
          <w:color w:val="auto"/>
        </w:rPr>
        <w:t>. The Borrower may permanently reduce the Aggregate Commitment in whole,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in part ratably (except as provided in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among the Lenders, in integral multiples of $3,000,000 or any whole multiple of $1,000,000 in excess thereof, by giving the Administrative Agent notice of such reduction not later than 11:00 a.m. (New York time) on any Business Day, which notice shall specify the amount of any such reduction and which notice may be conditioned upon the occurrence of one or more events specified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amount of the Aggregate Commitment may not be reduced below the Aggregate Outstanding Credit Exposure. All accrued Commitment Fees shall be payable on the effective date of any termination of all of the obligations of the Lenders to make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252" w:name="page253"/>
    <w:bookmarkEnd w:id="252"/>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2.06 </w:t>
      </w:r>
      <w:r>
        <w:rPr>
          <w:rFonts w:ascii="Arial" w:cs="Arial" w:eastAsia="Arial" w:hAnsi="Arial"/>
          <w:sz w:val="19"/>
          <w:szCs w:val="19"/>
          <w:i w:val="1"/>
          <w:iCs w:val="1"/>
          <w:color w:val="auto"/>
        </w:rPr>
        <w:t>Minimum Amount of Each Advance</w:t>
      </w:r>
      <w:r>
        <w:rPr>
          <w:rFonts w:ascii="Arial" w:cs="Arial" w:eastAsia="Arial" w:hAnsi="Arial"/>
          <w:sz w:val="19"/>
          <w:szCs w:val="19"/>
          <w:color w:val="auto"/>
        </w:rPr>
        <w:t>. Each Eurocurrency Advance shall be in the minimum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$5,000,000 (and in multiples of $1,000,000 if in excess thereof) and each Alternate Base Rate Advance shall be in the minimum amount of $3,000,000 (and in multiples of $1,000,000 if in excess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Eurocurrency Advance or Alternate Base Rate Advance may be in the amount of the unused Aggregate Commitment. The Borrower shall not request a Eurocurrency Advance if, after giving effect to the requested Eurocurrency Advance, more than ten (10) Interest Periods would be in effect (unless such limit has been waived by the Administrative Agent in its sole discretion).</w:t>
      </w:r>
    </w:p>
    <w:p>
      <w:pPr>
        <w:spacing w:after="0" w:line="9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2.07</w:t>
      </w:r>
      <w:r>
        <w:rPr>
          <w:sz w:val="20"/>
          <w:szCs w:val="20"/>
          <w:color w:val="auto"/>
        </w:rPr>
        <w:tab/>
      </w:r>
      <w:r>
        <w:rPr>
          <w:rFonts w:ascii="Arial" w:cs="Arial" w:eastAsia="Arial" w:hAnsi="Arial"/>
          <w:sz w:val="19"/>
          <w:szCs w:val="19"/>
          <w:i w:val="1"/>
          <w:iCs w:val="1"/>
          <w:color w:val="auto"/>
        </w:rPr>
        <w:t>Prepayments</w:t>
      </w:r>
      <w:r>
        <w:rPr>
          <w:rFonts w:ascii="Arial" w:cs="Arial" w:eastAsia="Arial" w:hAnsi="Arial"/>
          <w:sz w:val="19"/>
          <w:szCs w:val="19"/>
          <w:color w:val="auto"/>
        </w:rPr>
        <w:t>,</w:t>
      </w:r>
      <w:r>
        <w:rPr>
          <w:rFonts w:ascii="Arial" w:cs="Arial" w:eastAsia="Arial" w:hAnsi="Arial"/>
          <w:sz w:val="19"/>
          <w:szCs w:val="19"/>
          <w:i w:val="1"/>
          <w:iCs w:val="1"/>
          <w:color w:val="auto"/>
        </w:rPr>
        <w:t xml:space="preserve"> Optional Prepayments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5" w:lineRule="auto"/>
        <w:tabs>
          <w:tab w:leader="none" w:pos="116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pay, without penalty or premium, all of its outstanding Alternate Base Rate Advances, or, in a minimum aggregate amount of $3,000,000 or any integral multiple of $1,000,000 in excess thereof, any portion of its outstanding Alternate Base Rate Advances, upon prior notice to the Administrative Agent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 stating the proposed date and aggregate principal amount of the applicable prepayments at or before 11:00 a.m. (New York time) on the date of such payment. The Borrower may from time to time pay, subject to the payment of any funding indemnification amounts required by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but without penalty or premium, all of its outstanding Eurocurrency Advances, or, in a minimum aggregate amount of $5,000,000 or any integral multiple of $1,000,000 in excess thereof, any portion of its outstanding Eurocurrency Advances upon prior notice to the Administrative Agent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 stating the proposed date and aggregate principal amount of the applicable prepayments at or before 11:00 a.m. (New York time) at least three (3) Business Days’ prior, in the case of any Eurocurrency Advances denominated in Dollars, and at least four (4) Business Days’ prior, in the case of any Eurocurrency Advances denominated in a Foreign Currency, to the date of such payment (or, subject to the payment of any funding indemnification amounts required by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such other prior notice as the Administrative Agent may agree to). Subject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each such prepayment of a Revolving Borrowing shall be applied ratably to the Revolving Loans of the Lenders included in such Revolving Borrowing in accordance with their respective Pro Rata Share. Any notice delivered pursuant to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may be conditioned upon the occurrence of one or more events specified therein.</w:t>
      </w:r>
    </w:p>
    <w:p>
      <w:pPr>
        <w:spacing w:after="0" w:line="362" w:lineRule="exact"/>
        <w:rPr>
          <w:rFonts w:ascii="Arial" w:cs="Arial" w:eastAsia="Arial" w:hAnsi="Arial"/>
          <w:sz w:val="19"/>
          <w:szCs w:val="19"/>
          <w:color w:val="auto"/>
        </w:rPr>
      </w:pPr>
    </w:p>
    <w:p>
      <w:pPr>
        <w:jc w:val="both"/>
        <w:ind w:firstLine="656"/>
        <w:spacing w:after="0" w:line="250" w:lineRule="auto"/>
        <w:tabs>
          <w:tab w:leader="none" w:pos="120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If on any Revaluation Date, as a result of a fluctuation of the Exchange Rate, the Aggregate Outstanding Credit Exposure exceeds 105% of the Aggregate Commitment, the Borrower agrees to repay within five Business Days of receiving notice from the Administrative Agent thereof, by payment to the Administrative Agent for the account of the Lenders, extensions of credit in an amount equal to such excess with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2" w:right="339" w:bottom="1440" w:gutter="0" w:footer="0" w:header="0"/>
        </w:sectPr>
      </w:pPr>
    </w:p>
    <w:bookmarkStart w:id="253" w:name="page254"/>
    <w:bookmarkEnd w:id="253"/>
    <w:p>
      <w:pPr>
        <w:jc w:val="both"/>
        <w:spacing w:after="0" w:line="250" w:lineRule="auto"/>
        <w:rPr>
          <w:sz w:val="20"/>
          <w:szCs w:val="20"/>
          <w:color w:val="auto"/>
        </w:rPr>
      </w:pPr>
      <w:r>
        <w:rPr>
          <w:rFonts w:ascii="Arial" w:cs="Arial" w:eastAsia="Arial" w:hAnsi="Arial"/>
          <w:sz w:val="22"/>
          <w:szCs w:val="22"/>
          <w:color w:val="auto"/>
        </w:rPr>
        <w:t xml:space="preserve">repayment applied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the principal amount of outstanding Revolving Loans and </w:t>
      </w:r>
      <w:r>
        <w:rPr>
          <w:rFonts w:ascii="Arial" w:cs="Arial" w:eastAsia="Arial" w:hAnsi="Arial"/>
          <w:sz w:val="22"/>
          <w:szCs w:val="22"/>
          <w:u w:val="single" w:color="auto"/>
          <w:color w:val="auto"/>
        </w:rPr>
        <w:t>second</w:t>
      </w:r>
      <w:r>
        <w:rPr>
          <w:rFonts w:ascii="Arial" w:cs="Arial" w:eastAsia="Arial" w:hAnsi="Arial"/>
          <w:sz w:val="22"/>
          <w:szCs w:val="22"/>
          <w:color w:val="auto"/>
        </w:rPr>
        <w:t>, with respect to any Letters of Credit then outstanding, as a payment of Cash Collateral into a Cash Collateral account opened by the Administrative Agent, for the benefit of the Lenders, in an amount equal to such excess, or take such other action to the extent necessary to eliminate any such excess.</w:t>
      </w:r>
    </w:p>
    <w:p>
      <w:pPr>
        <w:spacing w:after="0" w:line="12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2.08 </w:t>
      </w:r>
      <w:r>
        <w:rPr>
          <w:rFonts w:ascii="Arial" w:cs="Arial" w:eastAsia="Arial" w:hAnsi="Arial"/>
          <w:sz w:val="19"/>
          <w:szCs w:val="19"/>
          <w:i w:val="1"/>
          <w:iCs w:val="1"/>
          <w:color w:val="auto"/>
        </w:rPr>
        <w:t>Method of Selecting Types and Interest Periods for New Advances</w:t>
      </w:r>
      <w:r>
        <w:rPr>
          <w:rFonts w:ascii="Arial" w:cs="Arial" w:eastAsia="Arial" w:hAnsi="Arial"/>
          <w:sz w:val="19"/>
          <w:szCs w:val="19"/>
          <w:color w:val="auto"/>
        </w:rPr>
        <w:t>. The Borrower shall select the Type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Advance and, in the case of each Eurocurrency Advance, the Interest Period applicable thereto from time to time. The Borrower shall give the Administrative Agent notice (which notice may be conditioned on the satisfaction or waiver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of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in each case appropriately completed and signed by an Authorized Officer of the Borrower (a “</w:t>
      </w:r>
      <w:r>
        <w:rPr>
          <w:rFonts w:ascii="Arial" w:cs="Arial" w:eastAsia="Arial" w:hAnsi="Arial"/>
          <w:sz w:val="19"/>
          <w:szCs w:val="19"/>
          <w:b w:val="1"/>
          <w:bCs w:val="1"/>
          <w:color w:val="auto"/>
        </w:rPr>
        <w:t>Borrowing Notice</w:t>
      </w:r>
      <w:r>
        <w:rPr>
          <w:rFonts w:ascii="Arial" w:cs="Arial" w:eastAsia="Arial" w:hAnsi="Arial"/>
          <w:sz w:val="19"/>
          <w:szCs w:val="19"/>
          <w:color w:val="auto"/>
        </w:rPr>
        <w:t>”) not later than 11:00 a.m. (New York time) on the Borrowing Date of each Alternate Base Rate Advance and 11:00 a.m. (New York time) three (3) Business Days’ before the Borrowing Date for each Eurocurrency Advance denominated in Dollars and four (4) Business Days’ before the Borrowing Date for each Eurocurrency Advance denominated in a Foreign Currency. A Borrowing Notice shall specify:</w:t>
      </w:r>
    </w:p>
    <w:p>
      <w:pPr>
        <w:spacing w:after="0" w:line="102" w:lineRule="exact"/>
        <w:rPr>
          <w:sz w:val="20"/>
          <w:szCs w:val="20"/>
          <w:color w:val="auto"/>
        </w:rPr>
      </w:pPr>
    </w:p>
    <w:p>
      <w:pPr>
        <w:ind w:left="1120" w:hanging="464"/>
        <w:spacing w:after="0"/>
        <w:tabs>
          <w:tab w:leader="none" w:pos="11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Borrowing Date, which shall be a Business Day, of such Advance,</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aggregate amount and currency of such Advance,</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Type of Advance selected (which in the case of an Advance made in a Foreign Currency shall be a Eurocurrency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Advance),</w:t>
      </w:r>
    </w:p>
    <w:p>
      <w:pPr>
        <w:spacing w:after="0" w:line="147" w:lineRule="exact"/>
        <w:rPr>
          <w:rFonts w:ascii="Arial" w:cs="Arial" w:eastAsia="Arial" w:hAnsi="Arial"/>
          <w:sz w:val="19"/>
          <w:szCs w:val="19"/>
          <w:color w:val="auto"/>
        </w:rPr>
      </w:pPr>
    </w:p>
    <w:p>
      <w:pPr>
        <w:ind w:left="1120" w:hanging="464"/>
        <w:spacing w:after="0"/>
        <w:tabs>
          <w:tab w:leader="none" w:pos="11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in the case of each Eurocurrency Advance, the Interest Period applicable thereto, and</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location and number of the Borrower’s account to which proceeds of the Advance are to be disbursed.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no Interest Period is specified with respect to any requested Eurocurrency Advance, the Borrower will be deemed to have selected an Interest Period of one month’s duration.</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Borrower fails to specify a currency in a Borrowing Notice requesting an Advance, then the Advance so requested shall be made in Dollars.</w:t>
      </w:r>
    </w:p>
    <w:p>
      <w:pPr>
        <w:spacing w:after="0" w:line="11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2.09 </w:t>
      </w:r>
      <w:r>
        <w:rPr>
          <w:rFonts w:ascii="Arial" w:cs="Arial" w:eastAsia="Arial" w:hAnsi="Arial"/>
          <w:sz w:val="19"/>
          <w:szCs w:val="19"/>
          <w:i w:val="1"/>
          <w:iCs w:val="1"/>
          <w:color w:val="auto"/>
        </w:rPr>
        <w:t>Conversion and Continuation of Outstanding Advances</w:t>
      </w:r>
      <w:r>
        <w:rPr>
          <w:rFonts w:ascii="Arial" w:cs="Arial" w:eastAsia="Arial" w:hAnsi="Arial"/>
          <w:sz w:val="19"/>
          <w:szCs w:val="19"/>
          <w:color w:val="auto"/>
        </w:rPr>
        <w:t>. Alternate Base Rate Advances shall continue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Alternate Base Rate Advances unless and until such Alternate Base Rate Advances are converted into Eurocurrency Advances pursuant to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or are repaid in accordance with </w:t>
      </w:r>
      <w:r>
        <w:rPr>
          <w:rFonts w:ascii="Arial" w:cs="Arial" w:eastAsia="Arial" w:hAnsi="Arial"/>
          <w:sz w:val="19"/>
          <w:szCs w:val="19"/>
          <w:u w:val="single" w:color="auto"/>
          <w:color w:val="auto"/>
        </w:rPr>
        <w:t>Section 2.07</w:t>
      </w:r>
      <w:r>
        <w:rPr>
          <w:rFonts w:ascii="Arial" w:cs="Arial" w:eastAsia="Arial" w:hAnsi="Arial"/>
          <w:sz w:val="19"/>
          <w:szCs w:val="19"/>
          <w:color w:val="auto"/>
        </w:rPr>
        <w:t>. Each Eurocurrency Advance shall continue as a Eurocurrency Advance until the end of the then applicable Interest Period therefor, at which time (if denominated in Dollars) such Eurocurrency Advance shall be automatically converted into an Alternate Base Rate Advance or (if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254" w:name="page255"/>
    <w:bookmarkEnd w:id="254"/>
    <w:p>
      <w:pPr>
        <w:jc w:val="both"/>
        <w:spacing w:after="0" w:line="285" w:lineRule="auto"/>
        <w:rPr>
          <w:sz w:val="20"/>
          <w:szCs w:val="20"/>
          <w:color w:val="auto"/>
        </w:rPr>
      </w:pPr>
      <w:r>
        <w:rPr>
          <w:rFonts w:ascii="Arial" w:cs="Arial" w:eastAsia="Arial" w:hAnsi="Arial"/>
          <w:sz w:val="19"/>
          <w:szCs w:val="19"/>
          <w:color w:val="auto"/>
        </w:rPr>
        <w:t xml:space="preserve">in a Foreign Currency) such Eurocurrency Advance shall be automatically continued as a Eurocurrency Advance in its original currency with an Interest Period of one month, in each case, unless (x) such Eurocurrency Advance is or was repaid in accordance with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or (y) the Borrower shall have given the Administrative Agent a Conversion/Continuation Notice (as defined below) requesting that, at the end of such Interest Period, such Eurocurrency Advance continue as a Eurocurrency Advance for the same or another Interest Period. Subject to the terms of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the Borrower may elect from time to time to convert all or any part of an Alternate Base Rate Advance into a Eurocurrency Advance. No Advance may be converted into or continued as an Advance denominated in a different currency, but instead must be repaid in the original currency of such Advance and reborrowed in the other currency. No Advance made in a Foreign Currency may be converted into an Alternate Base Rate Advance, but instead must be prepaid as a Eurocurrency Advance and reborrowed in Dollars. Notwithstanding anything to the contrary contained in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when any Default has occurred and is continuing (I) no Dollar-denominated Advance may be converted or continued as a Eurocurrency Advance (except with the consent of the Required Lenders) and (II) no Eurocurrency Advance denominated in a Foreign Currency shall be continued other than as a Eurocurrency Loan in its original currency with an Interest Period of one month. The Borrower shall give the Administrative Agent notice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 “</w:t>
      </w:r>
      <w:r>
        <w:rPr>
          <w:rFonts w:ascii="Arial" w:cs="Arial" w:eastAsia="Arial" w:hAnsi="Arial"/>
          <w:sz w:val="19"/>
          <w:szCs w:val="19"/>
          <w:b w:val="1"/>
          <w:bCs w:val="1"/>
          <w:color w:val="auto"/>
        </w:rPr>
        <w:t>Conversion/Continuation Notice</w:t>
      </w:r>
      <w:r>
        <w:rPr>
          <w:rFonts w:ascii="Arial" w:cs="Arial" w:eastAsia="Arial" w:hAnsi="Arial"/>
          <w:sz w:val="19"/>
          <w:szCs w:val="19"/>
          <w:color w:val="auto"/>
        </w:rPr>
        <w:t>”) or such other form as may be approved by the Administrative Agent (including any form on an electronic platform or electronic transmission system as shall be approved by the Administrative Agent), in each case appropriately completed and signed by an Authorized Officer of the Borrower, of each conversion of an Alternate Base Rate Advance into a Eurocurrency Advance or continuation of a Eurocurrency Advance not later than 11:00 a.m. (New York time) at least three (3) Business Days prior to the date of the requested conversion or continuation, specifying:</w:t>
      </w:r>
    </w:p>
    <w:p>
      <w:pPr>
        <w:spacing w:after="0" w:line="365" w:lineRule="exact"/>
        <w:rPr>
          <w:sz w:val="20"/>
          <w:szCs w:val="20"/>
          <w:color w:val="auto"/>
        </w:rPr>
      </w:pPr>
    </w:p>
    <w:p>
      <w:pPr>
        <w:ind w:left="1120" w:hanging="464"/>
        <w:spacing w:after="0"/>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requested date, which shall be a Business Day, of such conversion or continuation,</w:t>
      </w:r>
    </w:p>
    <w:p>
      <w:pPr>
        <w:spacing w:after="0" w:line="165" w:lineRule="exact"/>
        <w:rPr>
          <w:rFonts w:ascii="Arial" w:cs="Arial" w:eastAsia="Arial" w:hAnsi="Arial"/>
          <w:sz w:val="22"/>
          <w:szCs w:val="22"/>
          <w:color w:val="auto"/>
        </w:rPr>
      </w:pPr>
    </w:p>
    <w:p>
      <w:pPr>
        <w:ind w:firstLine="656"/>
        <w:spacing w:after="0" w:line="343" w:lineRule="auto"/>
        <w:tabs>
          <w:tab w:leader="none" w:pos="115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aggregate amount and Type of the Advance which is to be converted or continued as a Eurocurrency Advance; provided that no Advance made in a Foreign Currency may be converted into an Alternate Base Rate Advance, and</w:t>
      </w:r>
    </w:p>
    <w:p>
      <w:pPr>
        <w:spacing w:after="0" w:line="50" w:lineRule="exact"/>
        <w:rPr>
          <w:rFonts w:ascii="Arial" w:cs="Arial" w:eastAsia="Arial" w:hAnsi="Arial"/>
          <w:sz w:val="19"/>
          <w:szCs w:val="19"/>
          <w:color w:val="auto"/>
        </w:rPr>
      </w:pPr>
    </w:p>
    <w:p>
      <w:pPr>
        <w:ind w:left="1120" w:hanging="464"/>
        <w:spacing w:after="0"/>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duration of the Interest Period applicable thereto.</w:t>
      </w:r>
    </w:p>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2.10 </w:t>
      </w:r>
      <w:r>
        <w:rPr>
          <w:rFonts w:ascii="Arial" w:cs="Arial" w:eastAsia="Arial" w:hAnsi="Arial"/>
          <w:sz w:val="19"/>
          <w:szCs w:val="19"/>
          <w:i w:val="1"/>
          <w:iCs w:val="1"/>
          <w:color w:val="auto"/>
        </w:rPr>
        <w:t>Interest Rates</w:t>
      </w:r>
      <w:r>
        <w:rPr>
          <w:rFonts w:ascii="Arial" w:cs="Arial" w:eastAsia="Arial" w:hAnsi="Arial"/>
          <w:sz w:val="19"/>
          <w:szCs w:val="19"/>
          <w:color w:val="auto"/>
        </w:rPr>
        <w:t>. Each Alternate Base Rate Advance shall bear interest on the outstanding principal amount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thereof, for each day from and including the date such Advance is made or is converted from a Eurocurrency Advance into an Alternate Base Rate Advance, to but excluding the date it is paid or is converted into a Eurocurrency Advance pursuant to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hereof, at a rate per annum equal to the Alternate Base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Applicable Margin for such day. Changes in the rate of interest on that portion of any Advance maintained as an Alternate Base Rate Advance will take effect simultaneously with each change in the Alternate Base Rate. Each Eurocurrency Advance shall bear interest on the outstanding principal amount thereof, for each day from and including the first day of the Interest Period applicable thereto to (but not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255" w:name="page256"/>
    <w:bookmarkEnd w:id="255"/>
    <w:p>
      <w:pPr>
        <w:jc w:val="both"/>
        <w:spacing w:after="0" w:line="263" w:lineRule="auto"/>
        <w:rPr>
          <w:sz w:val="20"/>
          <w:szCs w:val="20"/>
          <w:color w:val="auto"/>
        </w:rPr>
      </w:pPr>
      <w:r>
        <w:rPr>
          <w:rFonts w:ascii="Arial" w:cs="Arial" w:eastAsia="Arial" w:hAnsi="Arial"/>
          <w:sz w:val="22"/>
          <w:szCs w:val="22"/>
          <w:color w:val="auto"/>
        </w:rPr>
        <w:t>last day of such Interest Period at the Eurocurrency Rate for the applicable period plus the Applicable Margin. No Interest Period may end after the Facility Termination Date.</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2.11 </w:t>
      </w:r>
      <w:r>
        <w:rPr>
          <w:rFonts w:ascii="Arial" w:cs="Arial" w:eastAsia="Arial" w:hAnsi="Arial"/>
          <w:sz w:val="21"/>
          <w:szCs w:val="21"/>
          <w:i w:val="1"/>
          <w:iCs w:val="1"/>
          <w:color w:val="auto"/>
        </w:rPr>
        <w:t>Rates Applicable After Default</w:t>
      </w:r>
      <w:r>
        <w:rPr>
          <w:rFonts w:ascii="Arial" w:cs="Arial" w:eastAsia="Arial" w:hAnsi="Arial"/>
          <w:sz w:val="21"/>
          <w:szCs w:val="21"/>
          <w:color w:val="auto"/>
        </w:rPr>
        <w:t>. During the continuance of a Default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7.02</w:t>
      </w:r>
      <w:r>
        <w:rPr>
          <w:rFonts w:ascii="Arial" w:cs="Arial" w:eastAsia="Arial" w:hAnsi="Arial"/>
          <w:sz w:val="21"/>
          <w:szCs w:val="21"/>
          <w:b w:val="1"/>
          <w:bCs w:val="1"/>
          <w:color w:val="auto"/>
        </w:rPr>
        <w:t xml:space="preserve"> </w:t>
      </w:r>
      <w:r>
        <w:rPr>
          <w:rFonts w:ascii="Arial" w:cs="Arial" w:eastAsia="Arial" w:hAnsi="Arial"/>
          <w:sz w:val="21"/>
          <w:szCs w:val="21"/>
          <w:color w:val="auto"/>
        </w:rPr>
        <w:t>the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Lenders may, at their option, by notice to the Borrower (which notice may be revoked at the option of the Required Lenders notwithstanding any provision of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requiring unanimous consent of the Lenders to changes in interest rates and which election and notice shall not be required after a Default or Unmatured Default under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7.06</w:t>
      </w:r>
      <w:r>
        <w:rPr>
          <w:rFonts w:ascii="Arial" w:cs="Arial" w:eastAsia="Arial" w:hAnsi="Arial"/>
          <w:sz w:val="21"/>
          <w:szCs w:val="21"/>
          <w:color w:val="auto"/>
        </w:rPr>
        <w:t xml:space="preserve">), declare that interest on the overdue amount of the Loans shall be payable at a rate (after as well as before the commencement of any proceeding under any Debtor Relief Laws) equal to 2% per annum in excess of the rate otherwise payable thereon (and, with respect to any other overdue amounts, shall bear interest at a rate equal to the Alternate Base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Applicable Margin applicable to Alternate Base Rate Loans plus 2% per annum) commencing on the date of such Default and continuing until such Default is cured or waived.</w:t>
      </w:r>
    </w:p>
    <w:p>
      <w:pPr>
        <w:spacing w:after="0" w:line="1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2.12 </w:t>
      </w:r>
      <w:r>
        <w:rPr>
          <w:rFonts w:ascii="Arial" w:cs="Arial" w:eastAsia="Arial" w:hAnsi="Arial"/>
          <w:sz w:val="19"/>
          <w:szCs w:val="19"/>
          <w:i w:val="1"/>
          <w:iCs w:val="1"/>
          <w:color w:val="auto"/>
        </w:rPr>
        <w:t>Method of Payment</w:t>
      </w:r>
      <w:r>
        <w:rPr>
          <w:rFonts w:ascii="Arial" w:cs="Arial" w:eastAsia="Arial" w:hAnsi="Arial"/>
          <w:sz w:val="19"/>
          <w:szCs w:val="19"/>
          <w:color w:val="auto"/>
        </w:rPr>
        <w:t>. Except as otherwise specified herein, all payments by the Borrower of principal,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interest, fees and its other Obligations shall be made, (i) with respect to Revolving Loans denominated in Dollars, Letters of Credit denominated in Dollars and the Aggregate Commitments, in Dollars, and (ii) with respect to Revolving Loans denominated in any Foreign Currency and Letters of Credit denominated in Foreign Currency or Additional L/C Currency, in the applicable Foreign Currency or Additional L/C Currency in which such Revolving Loans or Letters of Credit are denominated;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a Letter of Credit denominated in a Foreign Currency or Additional L/C Currency, reimbursements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the Borrower may be made in Dollars in accordance with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All payments of the Obligations hereunder shall be made, without setoff, deduction, or counterclaim, in immediately available funds to the Administrative Agent at the Administrative Agent’s address specified pursuant to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or at any other Lending Installation of the Administrative Agent specified in writing by the Administrative Agent to the Borrower, by 1:00 p.m. (New York time), in the case of any payments made in Dollars, and not later than the Applicable Time, in the case of any payments made in a Foreign Currency or Additional L/C Currency, in each case, on the date when due and shall be applied ratably by the Administrative Agent among the Lenders entitled thereto. Each payment to the Administrative Agent of any Issuing Lender’s fees or L/C Participants’ commissions shall be made in like manner, but for the account of such Issuing Lender or the L/C Participants, as the case may be. Each payment delivered to the Administrative Agent for the account of any Lender shall be delivered promptly by the Administrative Agent to such Lender in the same type of funds that the Administrative Agent received at such Lender’s address specified pursuant to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or at any Lending Installation specified in a notice received by the Administrative Agent from such Lender.</w:t>
      </w:r>
    </w:p>
    <w:p>
      <w:pPr>
        <w:spacing w:after="0" w:line="9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9"/>
          <w:szCs w:val="19"/>
          <w:i w:val="1"/>
          <w:iCs w:val="1"/>
          <w:color w:val="auto"/>
        </w:rPr>
        <w:t>Noteless Agreement; Evidence of Indebtedness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53" w:lineRule="auto"/>
        <w:tabs>
          <w:tab w:leader="none" w:pos="123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Each Lender and each Issuing Lender shall maintain in accordance with its usual practice an account or accounts evidencing the extensions of credit made by such Lender or Issuing Lender, as applicable, to the Borrower from time to time,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amounts of principal and interest payable and paid to such Lender from time to time hereunder.</w:t>
      </w:r>
    </w:p>
    <w:p>
      <w:pPr>
        <w:spacing w:after="0" w:line="166" w:lineRule="exact"/>
        <w:rPr>
          <w:sz w:val="20"/>
          <w:szCs w:val="20"/>
          <w:color w:val="auto"/>
        </w:rPr>
      </w:pPr>
    </w:p>
    <w:p>
      <w:pPr>
        <w:jc w:val="both"/>
        <w:ind w:firstLine="656"/>
        <w:spacing w:after="0" w:line="285" w:lineRule="auto"/>
        <w:tabs>
          <w:tab w:leader="none" w:pos="115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maintain accounts in which it will record (A) the date and the amount of each Loan made hereunder, the Type thereof and the Interest Period, if any, applicable thereto, (B) the amount of any principal or interest due and payable or to become due and payable from the Borrower to each Lender hereunder, (C) the effective date and amount of each Assignment and Assumption delivered to and accepted by it and the parties thereto pursuant to </w:t>
      </w:r>
      <w:r>
        <w:rPr>
          <w:rFonts w:ascii="Arial" w:cs="Arial" w:eastAsia="Arial" w:hAnsi="Arial"/>
          <w:sz w:val="19"/>
          <w:szCs w:val="19"/>
          <w:u w:val="single" w:color="auto"/>
          <w:color w:val="auto"/>
        </w:rPr>
        <w:t>Section 12.01</w:t>
      </w:r>
      <w:r>
        <w:rPr>
          <w:rFonts w:ascii="Arial" w:cs="Arial" w:eastAsia="Arial" w:hAnsi="Arial"/>
          <w:sz w:val="19"/>
          <w:szCs w:val="19"/>
          <w:color w:val="auto"/>
        </w:rPr>
        <w:t>, (D) the amount of any sum received by the Administrative Agent hereunder from the Borrower and each Lender’s share thereof, and</w:t>
      </w:r>
    </w:p>
    <w:p>
      <w:pPr>
        <w:spacing w:after="0" w:line="3" w:lineRule="exact"/>
        <w:rPr>
          <w:rFonts w:ascii="Arial" w:cs="Arial" w:eastAsia="Arial" w:hAnsi="Arial"/>
          <w:sz w:val="19"/>
          <w:szCs w:val="19"/>
          <w:color w:val="auto"/>
        </w:rPr>
      </w:pPr>
    </w:p>
    <w:p>
      <w:pPr>
        <w:jc w:val="both"/>
        <w:ind w:firstLine="8"/>
        <w:spacing w:after="0" w:line="244" w:lineRule="auto"/>
        <w:tabs>
          <w:tab w:leader="none" w:pos="37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all other appropriate debits and credits as provided in this Agreement, including, without limitation, all fees, charges, expenses and interest. In the event of any conflict between the accounts and records maintained by the Administrative Agent and the accounts and records of any Lender in respect of such matters, the accounts and records of the Administrative Agent shall control absent manifest error.</w:t>
      </w:r>
    </w:p>
    <w:p>
      <w:pPr>
        <w:spacing w:after="0" w:line="141" w:lineRule="exact"/>
        <w:rPr>
          <w:rFonts w:ascii="Arial" w:cs="Arial" w:eastAsia="Arial" w:hAnsi="Arial"/>
          <w:sz w:val="22"/>
          <w:szCs w:val="22"/>
          <w:color w:val="auto"/>
        </w:rPr>
      </w:pPr>
    </w:p>
    <w:p>
      <w:pPr>
        <w:jc w:val="both"/>
        <w:ind w:firstLine="656"/>
        <w:spacing w:after="0" w:line="250" w:lineRule="auto"/>
        <w:tabs>
          <w:tab w:leader="none" w:pos="1249" w:val="left"/>
        </w:tabs>
        <w:numPr>
          <w:ilvl w:val="1"/>
          <w:numId w:val="190"/>
        </w:numPr>
        <w:rPr>
          <w:rFonts w:ascii="Arial" w:cs="Arial" w:eastAsia="Arial" w:hAnsi="Arial"/>
          <w:sz w:val="22"/>
          <w:szCs w:val="22"/>
          <w:color w:val="auto"/>
        </w:rPr>
      </w:pPr>
      <w:r>
        <w:rPr>
          <w:rFonts w:ascii="Arial" w:cs="Arial" w:eastAsia="Arial" w:hAnsi="Arial"/>
          <w:sz w:val="22"/>
          <w:szCs w:val="22"/>
          <w:color w:val="auto"/>
        </w:rPr>
        <w:t xml:space="preserve">The entries maintained in the accounts maintained pursuant to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shall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existence and amounts of the Obligations therein recorded;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failure of the Administrative Agent, any Issuing Lender or any Lender to maintain such accounts or any error therein shall not in any manner affect the obligation of the Borrower to repay its Obligations in accordance with their terms.</w:t>
      </w:r>
    </w:p>
    <w:p>
      <w:pPr>
        <w:spacing w:after="0" w:line="133" w:lineRule="exact"/>
        <w:rPr>
          <w:rFonts w:ascii="Arial" w:cs="Arial" w:eastAsia="Arial" w:hAnsi="Arial"/>
          <w:sz w:val="22"/>
          <w:szCs w:val="22"/>
          <w:color w:val="auto"/>
        </w:rPr>
      </w:pPr>
    </w:p>
    <w:p>
      <w:pPr>
        <w:jc w:val="both"/>
        <w:ind w:firstLine="656"/>
        <w:spacing w:after="0" w:line="263" w:lineRule="auto"/>
        <w:tabs>
          <w:tab w:leader="none" w:pos="1144" w:val="left"/>
        </w:tabs>
        <w:numPr>
          <w:ilvl w:val="1"/>
          <w:numId w:val="190"/>
        </w:numPr>
        <w:rPr>
          <w:rFonts w:ascii="Arial" w:cs="Arial" w:eastAsia="Arial" w:hAnsi="Arial"/>
          <w:sz w:val="21"/>
          <w:szCs w:val="21"/>
          <w:color w:val="auto"/>
        </w:rPr>
      </w:pPr>
      <w:r>
        <w:rPr>
          <w:rFonts w:ascii="Arial" w:cs="Arial" w:eastAsia="Arial" w:hAnsi="Arial"/>
          <w:sz w:val="21"/>
          <w:szCs w:val="21"/>
          <w:color w:val="auto"/>
        </w:rPr>
        <w:t>In addition to the accounts and records referred to in clauses (a) and (b) above,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21" w:lineRule="exact"/>
        <w:rPr>
          <w:rFonts w:ascii="Arial" w:cs="Arial" w:eastAsia="Arial" w:hAnsi="Arial"/>
          <w:sz w:val="21"/>
          <w:szCs w:val="21"/>
          <w:color w:val="auto"/>
        </w:rPr>
      </w:pPr>
    </w:p>
    <w:p>
      <w:pPr>
        <w:jc w:val="both"/>
        <w:ind w:firstLine="656"/>
        <w:spacing w:after="0" w:line="285" w:lineRule="auto"/>
        <w:tabs>
          <w:tab w:leader="none" w:pos="1105"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Any Lender may request that the Loans made or to be made by it be evidenced by a promissory note in substantially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(each, a “</w:t>
      </w:r>
      <w:r>
        <w:rPr>
          <w:rFonts w:ascii="Arial" w:cs="Arial" w:eastAsia="Arial" w:hAnsi="Arial"/>
          <w:sz w:val="19"/>
          <w:szCs w:val="19"/>
          <w:b w:val="1"/>
          <w:bCs w:val="1"/>
          <w:color w:val="auto"/>
        </w:rPr>
        <w:t>Note</w:t>
      </w:r>
      <w:r>
        <w:rPr>
          <w:rFonts w:ascii="Arial" w:cs="Arial" w:eastAsia="Arial" w:hAnsi="Arial"/>
          <w:sz w:val="19"/>
          <w:szCs w:val="19"/>
          <w:color w:val="auto"/>
        </w:rPr>
        <w:t xml:space="preserve">”). In such event, the Borrower shall prepare, execute and deliver to such Lender such Note or Notes payable to such Lender (or its registered assigns). Thereafter, the Loans evidenced by each such Note and interest thereon shall at all times (including after any assignment pursuant to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be represented by one or more Notes payable to the payee named therein or any assignee pursuant to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except to the extent that any such Lender or assignee subsequently returns any such Note for cancellation and requests that such Loans once again be evidenced as described in </w:t>
      </w:r>
      <w:r>
        <w:rPr>
          <w:rFonts w:ascii="Arial" w:cs="Arial" w:eastAsia="Arial" w:hAnsi="Arial"/>
          <w:sz w:val="19"/>
          <w:szCs w:val="19"/>
          <w:u w:val="single" w:color="auto"/>
          <w:color w:val="auto"/>
        </w:rPr>
        <w:t>clauses</w:t>
      </w:r>
    </w:p>
    <w:p>
      <w:pPr>
        <w:spacing w:after="0"/>
        <w:rPr>
          <w:rFonts w:ascii="Arial" w:cs="Arial" w:eastAsia="Arial" w:hAnsi="Arial"/>
          <w:sz w:val="19"/>
          <w:szCs w:val="19"/>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2.14 </w:t>
      </w:r>
      <w:r>
        <w:rPr>
          <w:rFonts w:ascii="Arial" w:cs="Arial" w:eastAsia="Arial" w:hAnsi="Arial"/>
          <w:sz w:val="22"/>
          <w:szCs w:val="22"/>
          <w:i w:val="1"/>
          <w:iCs w:val="1"/>
          <w:color w:val="auto"/>
        </w:rPr>
        <w:t>Interest Payment Dates; Interest and Fee Basis</w:t>
      </w:r>
      <w:r>
        <w:rPr>
          <w:rFonts w:ascii="Arial" w:cs="Arial" w:eastAsia="Arial" w:hAnsi="Arial"/>
          <w:sz w:val="22"/>
          <w:szCs w:val="22"/>
          <w:color w:val="auto"/>
        </w:rPr>
        <w:t>. Interest accrued on each Alternate Base Rate Advance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payable in arrears on each Payment Date, commencing with the first such date to occur after the Closing Date, and on any date on which the Alternate Base Rate Advance is prepaid, whether due to acceleration or otherwise. Interest accrued on that portion of the outstanding principal amount of any Alternate Base Rate Advance converted into a Eurocurrency Advance on a day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257" w:name="page258"/>
    <w:bookmarkEnd w:id="257"/>
    <w:p>
      <w:pPr>
        <w:jc w:val="both"/>
        <w:spacing w:after="0" w:line="284" w:lineRule="auto"/>
        <w:rPr>
          <w:sz w:val="20"/>
          <w:szCs w:val="20"/>
          <w:color w:val="auto"/>
        </w:rPr>
      </w:pPr>
      <w:r>
        <w:rPr>
          <w:rFonts w:ascii="Arial" w:cs="Arial" w:eastAsia="Arial" w:hAnsi="Arial"/>
          <w:sz w:val="19"/>
          <w:szCs w:val="19"/>
          <w:color w:val="auto"/>
        </w:rPr>
        <w:t xml:space="preserve">a Payment Date shall be payable on the date of conversion. Interest accrued on each Eurocurrency Advance shall be payable on the last day of its applicable Interest Period, on any date on which the Eurocurrency Advance is prepaid, whether by acceleration or otherwise, and on the Facility Termination Date. Interest accrued on each Eurocurrency Advance having an Interest Period longer than three (3) months shall also be payable on the last day of each three-month interval during such Interest Period. Interest accrued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payable on demand. With respect to (a) interest on all Advances (other than Alternate Base Rate Loans where the interest is based on the Prime Rate and Eurocurrency Advances based on CDOR), Commitment Fees and other fees hereunder, such interest or fees shall be calculated for actual days elapsed on the basis of a 360-day year and (b) interest on Advances (1) which are Alternate Base Rate Loans where the interest is based on the Prime Rate and</w:t>
      </w:r>
    </w:p>
    <w:p>
      <w:pPr>
        <w:spacing w:after="0" w:line="2" w:lineRule="exact"/>
        <w:rPr>
          <w:sz w:val="20"/>
          <w:szCs w:val="20"/>
          <w:color w:val="auto"/>
        </w:rPr>
      </w:pPr>
    </w:p>
    <w:p>
      <w:pPr>
        <w:jc w:val="both"/>
        <w:ind w:firstLine="8"/>
        <w:spacing w:after="0" w:line="257" w:lineRule="auto"/>
        <w:tabs>
          <w:tab w:leader="none" w:pos="3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Eurocurrency Advances based on CDOR, such interest shall be calculated for actual days elapsed on the basis of a 365/366 day year. Interest shall be payable for the day an Advance is made but not for the day of any payment on the amount paid if payment is received prior to (x) 1:00 p.m. (New York time), in the case of an Advance denominated in Dollars or (y) the Applicable Time, in the case of an Advance denominated in a Foreign Currency, in each case, at the place of payment. If any payment of principal of or interest on an Advance, any fees or any other amounts payable to any Agent or any Lender hereunder shall become due on a day which is not a Business Day, such payment shall be made on the next succeeding Business Day and, in the case of a principal payment, such extension of time shall be included in computing interest, fees and commissions in connection with such payment.</w:t>
      </w:r>
    </w:p>
    <w:p>
      <w:pPr>
        <w:spacing w:after="0" w:line="1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2.15 </w:t>
      </w:r>
      <w:r>
        <w:rPr>
          <w:rFonts w:ascii="Arial" w:cs="Arial" w:eastAsia="Arial" w:hAnsi="Arial"/>
          <w:sz w:val="21"/>
          <w:szCs w:val="21"/>
          <w:i w:val="1"/>
          <w:iCs w:val="1"/>
          <w:color w:val="auto"/>
        </w:rPr>
        <w:t>Notification of Advances, Interest Rates, Prepayments and Commitment Reductions; Availability of</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Revolving Loans</w:t>
      </w:r>
      <w:r>
        <w:rPr>
          <w:rFonts w:ascii="Arial" w:cs="Arial" w:eastAsia="Arial" w:hAnsi="Arial"/>
          <w:sz w:val="21"/>
          <w:szCs w:val="21"/>
          <w:color w:val="auto"/>
        </w:rPr>
        <w:t>. Promptly after receipt thereof, the Administrative Agent will notify each Lender of the contents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Aggregate Commitment reduction notice, Borrowing Notice, Conversion/Continuation Notice and prepayment notice received by it hereunder. The Administrative Agent will notify each Lender of the interest rate applicable to each Advance promptly upon determination of such interest rate and will give prompt notice of each change in the Alternate Base Rate. Not later than 1:00 p.m. (New York time), in the case of any Revolving Loan denominated in Dollars, and not later than the Applicable Time, in the case of any Revolving Loan denominated in a Foreign Currency on each Borrowing Date, each Lender shall make available its Revolving Loan or Revolving Loans in funds immediately available to the Administrative Agent’s Office for the applicable currency. The Administrative Agent will make the funds so received from the Lenders available to the Borrower at the Administrative Agent’s aforesaid address not later than 3:00 p.m. (New York time), in the case of any Revolving Loan denominated in Dollars, and not later than the Applicable Time, in the case of any Revolving Loan denominated in a Foreign Currency on each Borrowing Date.</w:t>
      </w:r>
    </w:p>
    <w:p>
      <w:pPr>
        <w:spacing w:after="0" w:line="1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2.16 </w:t>
      </w:r>
      <w:r>
        <w:rPr>
          <w:rFonts w:ascii="Arial" w:cs="Arial" w:eastAsia="Arial" w:hAnsi="Arial"/>
          <w:sz w:val="22"/>
          <w:szCs w:val="22"/>
          <w:i w:val="1"/>
          <w:iCs w:val="1"/>
          <w:color w:val="auto"/>
        </w:rPr>
        <w:t>Lending Installations</w:t>
      </w:r>
      <w:r>
        <w:rPr>
          <w:rFonts w:ascii="Arial" w:cs="Arial" w:eastAsia="Arial" w:hAnsi="Arial"/>
          <w:sz w:val="22"/>
          <w:szCs w:val="22"/>
          <w:color w:val="auto"/>
        </w:rPr>
        <w:t>. Each Lender may book its Loans at any Lending Installation selected by such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Lender and may change its Lending Installation from time to time. All terms of this Agreement shall apply to any such Lending Installation and the Loans and any Notes issued hereunder shall be deemed held by each Lender for the benefit of any such Lending Installation. Each Lender may, by written notice to the Administrative Agent and the Borrower in accordance with </w:t>
      </w:r>
      <w:r>
        <w:rPr>
          <w:rFonts w:ascii="Arial" w:cs="Arial" w:eastAsia="Arial" w:hAnsi="Arial"/>
          <w:sz w:val="22"/>
          <w:szCs w:val="22"/>
          <w:u w:val="single" w:color="auto"/>
          <w:color w:val="auto"/>
        </w:rPr>
        <w:t>Article 13</w:t>
      </w:r>
      <w:r>
        <w:rPr>
          <w:rFonts w:ascii="Arial" w:cs="Arial" w:eastAsia="Arial" w:hAnsi="Arial"/>
          <w:sz w:val="22"/>
          <w:szCs w:val="22"/>
          <w:color w:val="auto"/>
        </w:rPr>
        <w:t>,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258" w:name="page259"/>
    <w:bookmarkEnd w:id="258"/>
    <w:p>
      <w:pPr>
        <w:ind w:right="20"/>
        <w:spacing w:after="0" w:line="263" w:lineRule="auto"/>
        <w:rPr>
          <w:sz w:val="20"/>
          <w:szCs w:val="20"/>
          <w:color w:val="auto"/>
        </w:rPr>
      </w:pPr>
      <w:r>
        <w:rPr>
          <w:rFonts w:ascii="Arial" w:cs="Arial" w:eastAsia="Arial" w:hAnsi="Arial"/>
          <w:sz w:val="22"/>
          <w:szCs w:val="22"/>
          <w:color w:val="auto"/>
        </w:rPr>
        <w:t>replacement or additional Lending Installations through which Loans will be made by it and for whose account Loan payments are to be made.</w:t>
      </w:r>
    </w:p>
    <w:p>
      <w:pPr>
        <w:spacing w:after="0" w:line="1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2.17</w:t>
      </w:r>
      <w:r>
        <w:rPr>
          <w:sz w:val="20"/>
          <w:szCs w:val="20"/>
          <w:color w:val="auto"/>
        </w:rPr>
        <w:tab/>
      </w:r>
      <w:r>
        <w:rPr>
          <w:rFonts w:ascii="Arial" w:cs="Arial" w:eastAsia="Arial" w:hAnsi="Arial"/>
          <w:sz w:val="19"/>
          <w:szCs w:val="19"/>
          <w:i w:val="1"/>
          <w:iCs w:val="1"/>
          <w:color w:val="auto"/>
        </w:rPr>
        <w:t>Payments Generally; Administrative Agent’s Clawback</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5" w:lineRule="auto"/>
        <w:tabs>
          <w:tab w:leader="none" w:pos="1185"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Funding by Lenders; Presumption by Administrative Agent</w:t>
      </w:r>
      <w:r>
        <w:rPr>
          <w:rFonts w:ascii="Arial" w:cs="Arial" w:eastAsia="Arial" w:hAnsi="Arial"/>
          <w:sz w:val="19"/>
          <w:szCs w:val="19"/>
          <w:color w:val="auto"/>
        </w:rPr>
        <w:t>. Unless the Administrative Agent shall have received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notice from a Lender prior to the proposed date of any Advance of Eurocurrency Loans (or, in the case of any Advance of Alternate Base Rate Loans, prior to 12:00 noon (New York time) on the date of any such Advance) that such Lender will not make available to the Administrative Agent such Lender’s share of such Advance, the Administrative Agent may assume that such Lender has made such share available on such date in accordance with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may, in reliance upon such assumption, make available to the Borrower a corresponding amount. In such event, if a Lender has not in fact made its share of the applicable Advance available to the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and (B) in the case of a payment to be made by the Borrower, the interest rate applicable to Alternate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Advance to the Administrative Agent, then the amount so paid shall constitute such Lender’s Revolving Loan included in such Advance. Any payment by the Borrower shall be without prejudice to any claim the Borrower may have against a Lender that shall have failed to make such payment to the Administrative Agent.</w:t>
      </w:r>
    </w:p>
    <w:p>
      <w:pPr>
        <w:spacing w:after="0" w:line="114" w:lineRule="exact"/>
        <w:rPr>
          <w:rFonts w:ascii="Arial" w:cs="Arial" w:eastAsia="Arial" w:hAnsi="Arial"/>
          <w:sz w:val="19"/>
          <w:szCs w:val="19"/>
          <w:color w:val="auto"/>
        </w:rPr>
      </w:pPr>
    </w:p>
    <w:p>
      <w:pPr>
        <w:jc w:val="both"/>
        <w:ind w:firstLine="656"/>
        <w:spacing w:after="0" w:line="289" w:lineRule="auto"/>
        <w:tabs>
          <w:tab w:leader="none" w:pos="1116"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Payments by Borrower; Presumptions by Administrative Agent</w:t>
      </w:r>
      <w:r>
        <w:rPr>
          <w:rFonts w:ascii="Arial" w:cs="Arial" w:eastAsia="Arial" w:hAnsi="Arial"/>
          <w:sz w:val="19"/>
          <w:szCs w:val="19"/>
          <w:color w:val="auto"/>
        </w:rPr>
        <w:t>. Unless the Administrative Agent shall have received</w:t>
      </w:r>
      <w:r>
        <w:rPr>
          <w:rFonts w:ascii="Arial" w:cs="Arial" w:eastAsia="Arial" w:hAnsi="Arial"/>
          <w:sz w:val="19"/>
          <w:szCs w:val="19"/>
          <w:i w:val="1"/>
          <w:iCs w:val="1"/>
          <w:color w:val="auto"/>
        </w:rPr>
        <w:t xml:space="preserve"> </w:t>
      </w:r>
      <w:r>
        <w:rPr>
          <w:rFonts w:ascii="Arial" w:cs="Arial" w:eastAsia="Arial" w:hAnsi="Arial"/>
          <w:sz w:val="19"/>
          <w:szCs w:val="19"/>
          <w:color w:val="auto"/>
        </w:rPr>
        <w:t>notice from the Borrower prior to the date on which any payment is due to the Administrative Agent for the account of the Lenders or any Issuing Lender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Issuing Lenders, as the case may be, severally agrees to repay to the Administrative Agent forthwith on demand the amount so distributed to such Lender or Issuing Lender, in Same Day Funds with interest thereon, for each day from and including the date such amount is distributed to it to but excluding the date of payment to the Administrative Agent, at the Overnight Rate.</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notice of the Administrative Agent to any Lender or the Borrower with respect to any amount owing under this subsection (b)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259" w:name="page260"/>
    <w:bookmarkEnd w:id="259"/>
    <w:p>
      <w:pPr>
        <w:jc w:val="both"/>
        <w:ind w:firstLine="656"/>
        <w:spacing w:after="0" w:line="247" w:lineRule="auto"/>
        <w:tabs>
          <w:tab w:leader="none" w:pos="1198" w:val="left"/>
        </w:tabs>
        <w:numPr>
          <w:ilvl w:val="0"/>
          <w:numId w:val="193"/>
        </w:numPr>
        <w:rPr>
          <w:rFonts w:ascii="Arial" w:cs="Arial" w:eastAsia="Arial" w:hAnsi="Arial"/>
          <w:sz w:val="22"/>
          <w:szCs w:val="22"/>
          <w:color w:val="auto"/>
        </w:rPr>
      </w:pPr>
      <w:r>
        <w:rPr>
          <w:rFonts w:ascii="Arial" w:cs="Arial" w:eastAsia="Arial" w:hAnsi="Arial"/>
          <w:sz w:val="22"/>
          <w:szCs w:val="22"/>
          <w:i w:val="1"/>
          <w:iCs w:val="1"/>
          <w:color w:val="auto"/>
        </w:rPr>
        <w:t>Obligations of Lenders Several</w:t>
      </w:r>
      <w:r>
        <w:rPr>
          <w:rFonts w:ascii="Arial" w:cs="Arial" w:eastAsia="Arial" w:hAnsi="Arial"/>
          <w:sz w:val="22"/>
          <w:szCs w:val="22"/>
          <w:color w:val="auto"/>
        </w:rPr>
        <w:t>. The obligations of the Lenders hereunder to make Revolving Loans, to issue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participate in Letters of Credit and to make payments pursuant to </w:t>
      </w:r>
      <w:r>
        <w:rPr>
          <w:rFonts w:ascii="Arial" w:cs="Arial" w:eastAsia="Arial" w:hAnsi="Arial"/>
          <w:sz w:val="22"/>
          <w:szCs w:val="22"/>
          <w:u w:val="single" w:color="auto"/>
          <w:color w:val="auto"/>
        </w:rPr>
        <w:t>Section 9.06(c)</w:t>
      </w:r>
      <w:r>
        <w:rPr>
          <w:rFonts w:ascii="Arial" w:cs="Arial" w:eastAsia="Arial" w:hAnsi="Arial"/>
          <w:sz w:val="22"/>
          <w:szCs w:val="22"/>
          <w:color w:val="auto"/>
        </w:rPr>
        <w:t xml:space="preserve"> are several and not joint. The failure of any Lender to make any Revolving Loan, to fund any such participation or to make any payment under </w:t>
      </w:r>
      <w:r>
        <w:rPr>
          <w:rFonts w:ascii="Arial" w:cs="Arial" w:eastAsia="Arial" w:hAnsi="Arial"/>
          <w:sz w:val="22"/>
          <w:szCs w:val="22"/>
          <w:u w:val="single" w:color="auto"/>
          <w:color w:val="auto"/>
        </w:rPr>
        <w:t>Section 9.06(c)</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 for the failure of any other Lender to so make its Revolving Loan, to purchase its participation or to make its payment under </w:t>
      </w:r>
      <w:r>
        <w:rPr>
          <w:rFonts w:ascii="Arial" w:cs="Arial" w:eastAsia="Arial" w:hAnsi="Arial"/>
          <w:sz w:val="22"/>
          <w:szCs w:val="22"/>
          <w:u w:val="single" w:color="auto"/>
          <w:color w:val="auto"/>
        </w:rPr>
        <w:t>Section 9.06(c)</w:t>
      </w:r>
      <w:r>
        <w:rPr>
          <w:rFonts w:ascii="Arial" w:cs="Arial" w:eastAsia="Arial" w:hAnsi="Arial"/>
          <w:sz w:val="22"/>
          <w:szCs w:val="22"/>
          <w:color w:val="auto"/>
        </w:rPr>
        <w:t>.</w:t>
      </w:r>
    </w:p>
    <w:p>
      <w:pPr>
        <w:spacing w:after="0" w:line="1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2.18 </w:t>
      </w:r>
      <w:r>
        <w:rPr>
          <w:rFonts w:ascii="Arial" w:cs="Arial" w:eastAsia="Arial" w:hAnsi="Arial"/>
          <w:sz w:val="19"/>
          <w:szCs w:val="19"/>
          <w:i w:val="1"/>
          <w:iCs w:val="1"/>
          <w:color w:val="auto"/>
        </w:rPr>
        <w:t>Replacement of Lender</w:t>
      </w:r>
      <w:r>
        <w:rPr>
          <w:rFonts w:ascii="Arial" w:cs="Arial" w:eastAsia="Arial" w:hAnsi="Arial"/>
          <w:sz w:val="19"/>
          <w:szCs w:val="19"/>
          <w:color w:val="auto"/>
        </w:rPr>
        <w:t>. 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3.01</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or if any Lender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gives notice to the Borrower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or if any Lender is a Defaulting Lender or a Declining Lender, or if a Lender fails to consent to an amendment or waiver approved by the Required Lenders as to any matter for which such Lender’s consent is needed,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12.01</w:t>
      </w:r>
      <w:r>
        <w:rPr>
          <w:rFonts w:ascii="Arial" w:cs="Arial" w:eastAsia="Arial" w:hAnsi="Arial"/>
          <w:sz w:val="19"/>
          <w:szCs w:val="19"/>
          <w:color w:val="auto"/>
        </w:rPr>
        <w:t>), all of its interests, rights and obligations under this Agreement and the related Loan Documents to an assignee that shall assume such obligations (which assignee may be another Lender, if a Lender accepts such assignment); provided that:</w:t>
      </w:r>
    </w:p>
    <w:p>
      <w:pPr>
        <w:spacing w:after="0" w:line="100" w:lineRule="exact"/>
        <w:rPr>
          <w:sz w:val="20"/>
          <w:szCs w:val="20"/>
          <w:color w:val="auto"/>
        </w:rPr>
      </w:pPr>
    </w:p>
    <w:p>
      <w:pPr>
        <w:ind w:left="1100" w:hanging="444"/>
        <w:spacing w:after="0"/>
        <w:tabs>
          <w:tab w:leader="none" w:pos="11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specified in </w:t>
      </w:r>
      <w:r>
        <w:rPr>
          <w:rFonts w:ascii="Arial" w:cs="Arial" w:eastAsia="Arial" w:hAnsi="Arial"/>
          <w:sz w:val="19"/>
          <w:szCs w:val="19"/>
          <w:u w:val="single" w:color="auto"/>
          <w:color w:val="auto"/>
        </w:rPr>
        <w:t>Section 12.01(b)(iv)</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56"/>
        <w:spacing w:after="0" w:line="265" w:lineRule="auto"/>
        <w:tabs>
          <w:tab w:leader="none" w:pos="1172"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such Lender shall have received payment of an amount equal to the outstanding principal of its Loans and funded participations in Letter of Credit draws, accrued interest thereon, accrued fees and all other amounts payable to it hereunder and under the other Loan Documents (including any amounts under </w:t>
      </w:r>
      <w:r>
        <w:rPr>
          <w:rFonts w:ascii="Arial" w:cs="Arial" w:eastAsia="Arial" w:hAnsi="Arial"/>
          <w:sz w:val="21"/>
          <w:szCs w:val="21"/>
          <w:u w:val="single" w:color="auto"/>
          <w:color w:val="auto"/>
        </w:rPr>
        <w:t>Section 3.04</w:t>
      </w:r>
      <w:r>
        <w:rPr>
          <w:rFonts w:ascii="Arial" w:cs="Arial" w:eastAsia="Arial" w:hAnsi="Arial"/>
          <w:sz w:val="21"/>
          <w:szCs w:val="21"/>
          <w:color w:val="auto"/>
        </w:rPr>
        <w:t>) from the assignee (to the extent of such outstanding principal and accrued interest and fees) or the Borrower (in the case of all other amounts);</w:t>
      </w:r>
    </w:p>
    <w:p>
      <w:pPr>
        <w:spacing w:after="0" w:line="121" w:lineRule="exact"/>
        <w:rPr>
          <w:rFonts w:ascii="Arial" w:cs="Arial" w:eastAsia="Arial" w:hAnsi="Arial"/>
          <w:sz w:val="21"/>
          <w:szCs w:val="21"/>
          <w:color w:val="auto"/>
        </w:rPr>
      </w:pPr>
    </w:p>
    <w:p>
      <w:pPr>
        <w:ind w:firstLine="656"/>
        <w:spacing w:after="0" w:line="343" w:lineRule="auto"/>
        <w:tabs>
          <w:tab w:leader="none" w:pos="111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such assignment will result in a reduction in such compensation or payments thereafter;</w:t>
      </w:r>
    </w:p>
    <w:p>
      <w:pPr>
        <w:spacing w:after="0" w:line="50" w:lineRule="exact"/>
        <w:rPr>
          <w:rFonts w:ascii="Arial" w:cs="Arial" w:eastAsia="Arial" w:hAnsi="Arial"/>
          <w:sz w:val="19"/>
          <w:szCs w:val="19"/>
          <w:color w:val="auto"/>
        </w:rPr>
      </w:pPr>
    </w:p>
    <w:p>
      <w:pPr>
        <w:ind w:left="1120" w:hanging="464"/>
        <w:spacing w:after="0"/>
        <w:tabs>
          <w:tab w:leader="none" w:pos="11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 and</w:t>
      </w:r>
    </w:p>
    <w:p>
      <w:pPr>
        <w:spacing w:after="0" w:line="165" w:lineRule="exact"/>
        <w:rPr>
          <w:rFonts w:ascii="Arial" w:cs="Arial" w:eastAsia="Arial" w:hAnsi="Arial"/>
          <w:sz w:val="22"/>
          <w:szCs w:val="22"/>
          <w:color w:val="auto"/>
        </w:rPr>
      </w:pPr>
    </w:p>
    <w:p>
      <w:pPr>
        <w:ind w:firstLine="656"/>
        <w:spacing w:after="0" w:line="263" w:lineRule="auto"/>
        <w:tabs>
          <w:tab w:leader="none" w:pos="115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in the case of any such assignment resulting from a failure to consent to an amendment or waiver approved by the Required Lenders, such assignee shall have consented to the relevant amendment or waiver.</w:t>
      </w:r>
    </w:p>
    <w:p>
      <w:pPr>
        <w:spacing w:after="0" w:line="121"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260" w:name="page261"/>
    <w:bookmarkEnd w:id="260"/>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2.19 </w:t>
      </w:r>
      <w:r>
        <w:rPr>
          <w:rFonts w:ascii="Arial" w:cs="Arial" w:eastAsia="Arial" w:hAnsi="Arial"/>
          <w:sz w:val="21"/>
          <w:szCs w:val="21"/>
          <w:i w:val="1"/>
          <w:iCs w:val="1"/>
          <w:color w:val="auto"/>
        </w:rPr>
        <w:t>Sharing of Payments by Lenders</w:t>
      </w:r>
      <w:r>
        <w:rPr>
          <w:rFonts w:ascii="Arial" w:cs="Arial" w:eastAsia="Arial" w:hAnsi="Arial"/>
          <w:sz w:val="21"/>
          <w:szCs w:val="21"/>
          <w:color w:val="auto"/>
        </w:rPr>
        <w:t>. Except as otherwise specified herein, if any Lender shall, by exercising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right of setoff or counterclaim or otherwise, obtain payment in respect of any principal of or interest on any of the Loans made by it, resulting in such Lender’s receiving payment of a proportion of the aggregate amount of such Loans and accrued interest thereon greater than its Pro Rata Share to which it is entitled pursuant hereto,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w:t>
      </w:r>
    </w:p>
    <w:p>
      <w:pPr>
        <w:spacing w:after="0" w:line="127" w:lineRule="exact"/>
        <w:rPr>
          <w:sz w:val="20"/>
          <w:szCs w:val="20"/>
          <w:color w:val="auto"/>
        </w:rPr>
      </w:pPr>
    </w:p>
    <w:p>
      <w:pPr>
        <w:ind w:firstLine="656"/>
        <w:spacing w:after="0" w:line="343" w:lineRule="auto"/>
        <w:tabs>
          <w:tab w:leader="none" w:pos="113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50" w:lineRule="exact"/>
        <w:rPr>
          <w:rFonts w:ascii="Arial" w:cs="Arial" w:eastAsia="Arial" w:hAnsi="Arial"/>
          <w:sz w:val="19"/>
          <w:szCs w:val="19"/>
          <w:color w:val="auto"/>
        </w:rPr>
      </w:pPr>
    </w:p>
    <w:p>
      <w:pPr>
        <w:jc w:val="both"/>
        <w:ind w:firstLine="656"/>
        <w:spacing w:after="0" w:line="294" w:lineRule="auto"/>
        <w:tabs>
          <w:tab w:leader="none" w:pos="125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not be construed to apply to (x) any payment made by the Borrower pursuant to and in accordance with the express terms of this Agreement (including the application of funds arising from the existence of a Defaulting Lender or payments made on any Existing Stated Maturity Date pursuant to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(y) the application of Cash Collateral as provided in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or (z) any payment obtained by a Lender as consideration for the assignment of or sale of a participation in any of its Loans or subparticipations in Letters of Credit to any assignee or participant, other than to the Borrower or any Subsidiary (as to which the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apply).</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2.20</w:t>
      </w:r>
      <w:r>
        <w:rPr>
          <w:sz w:val="20"/>
          <w:szCs w:val="20"/>
          <w:color w:val="auto"/>
        </w:rPr>
        <w:tab/>
      </w:r>
      <w:r>
        <w:rPr>
          <w:rFonts w:ascii="Arial" w:cs="Arial" w:eastAsia="Arial" w:hAnsi="Arial"/>
          <w:sz w:val="19"/>
          <w:szCs w:val="19"/>
          <w:i w:val="1"/>
          <w:iCs w:val="1"/>
          <w:color w:val="auto"/>
        </w:rPr>
        <w:t>Cash Collateral</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48" w:lineRule="auto"/>
        <w:tabs>
          <w:tab w:leader="none" w:pos="1144"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 xml:space="preserve">Cash Collateralization. </w:t>
      </w:r>
      <w:r>
        <w:rPr>
          <w:rFonts w:ascii="Arial" w:cs="Arial" w:eastAsia="Arial" w:hAnsi="Arial"/>
          <w:sz w:val="22"/>
          <w:szCs w:val="22"/>
          <w:color w:val="auto"/>
        </w:rPr>
        <w:t>If there shall exist a Defaulting Lender, within one (1) Business Day following the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request of the Administrative Agent or any Issuing Lender (with a copy to the Administrative Agent), the Borrower shall Cash Collateralize the Fronting Exposure of the Issuing Lenders with respect to such Defaulting Lender (determined after giving effect to </w:t>
      </w:r>
      <w:r>
        <w:rPr>
          <w:rFonts w:ascii="Arial" w:cs="Arial" w:eastAsia="Arial" w:hAnsi="Arial"/>
          <w:sz w:val="22"/>
          <w:szCs w:val="22"/>
          <w:u w:val="single" w:color="auto"/>
          <w:color w:val="auto"/>
        </w:rPr>
        <w:t>Section 2.21</w:t>
      </w:r>
      <w:r>
        <w:rPr>
          <w:rFonts w:ascii="Arial" w:cs="Arial" w:eastAsia="Arial" w:hAnsi="Arial"/>
          <w:sz w:val="22"/>
          <w:szCs w:val="22"/>
          <w:color w:val="auto"/>
        </w:rPr>
        <w:t xml:space="preserve"> and any Cash Collateral provided by such Defaulting Lender) in an amount not less than the Minimum Collateral Amount.</w:t>
      </w:r>
    </w:p>
    <w:p>
      <w:pPr>
        <w:spacing w:after="0" w:line="137" w:lineRule="exact"/>
        <w:rPr>
          <w:rFonts w:ascii="Arial" w:cs="Arial" w:eastAsia="Arial" w:hAnsi="Arial"/>
          <w:sz w:val="22"/>
          <w:szCs w:val="22"/>
          <w:color w:val="auto"/>
        </w:rPr>
      </w:pPr>
    </w:p>
    <w:p>
      <w:pPr>
        <w:jc w:val="both"/>
        <w:ind w:firstLine="656"/>
        <w:spacing w:after="0" w:line="248" w:lineRule="auto"/>
        <w:tabs>
          <w:tab w:leader="none" w:pos="121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Grant of Security Interest</w:t>
      </w:r>
      <w:r>
        <w:rPr>
          <w:rFonts w:ascii="Arial" w:cs="Arial" w:eastAsia="Arial" w:hAnsi="Arial"/>
          <w:sz w:val="22"/>
          <w:szCs w:val="22"/>
          <w:color w:val="auto"/>
        </w:rPr>
        <w:t>. The Borrower, and to the extent provided by any Defaulting Lender, such Defaulting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Lender, hereby grants to the Administrative Agent, for the benefit of the Issuing Lenders, and agrees to maintain, a first priority security interest in all such Cash Collateral as security for the Defaulting Lender’s obligation to fund participations in respect of L/C Obligations, to be applied pursuant to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below. If at any time the Administrative Agent determines that Cash Collateral is subject to any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2" w:right="339" w:bottom="1440" w:gutter="0" w:footer="0" w:header="0"/>
        </w:sectPr>
      </w:pPr>
    </w:p>
    <w:bookmarkStart w:id="261" w:name="page262"/>
    <w:bookmarkEnd w:id="261"/>
    <w:p>
      <w:pPr>
        <w:jc w:val="both"/>
        <w:spacing w:after="0" w:line="265" w:lineRule="auto"/>
        <w:rPr>
          <w:sz w:val="20"/>
          <w:szCs w:val="20"/>
          <w:color w:val="auto"/>
        </w:rPr>
      </w:pPr>
      <w:r>
        <w:rPr>
          <w:rFonts w:ascii="Arial" w:cs="Arial" w:eastAsia="Arial" w:hAnsi="Arial"/>
          <w:sz w:val="21"/>
          <w:szCs w:val="21"/>
          <w:color w:val="auto"/>
        </w:rPr>
        <w:t>or claim of any Person other than the Administrative Agent and the Issuing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21" w:lineRule="exact"/>
        <w:rPr>
          <w:sz w:val="20"/>
          <w:szCs w:val="20"/>
          <w:color w:val="auto"/>
        </w:rPr>
      </w:pPr>
    </w:p>
    <w:p>
      <w:pPr>
        <w:jc w:val="both"/>
        <w:ind w:firstLine="656"/>
        <w:spacing w:after="0" w:line="248" w:lineRule="auto"/>
        <w:tabs>
          <w:tab w:leader="none" w:pos="1131" w:val="left"/>
        </w:tabs>
        <w:numPr>
          <w:ilvl w:val="1"/>
          <w:numId w:val="197"/>
        </w:numPr>
        <w:rPr>
          <w:rFonts w:ascii="Arial" w:cs="Arial" w:eastAsia="Arial" w:hAnsi="Arial"/>
          <w:sz w:val="22"/>
          <w:szCs w:val="22"/>
          <w:color w:val="auto"/>
        </w:rPr>
      </w:pPr>
      <w:r>
        <w:rPr>
          <w:rFonts w:ascii="Arial" w:cs="Arial" w:eastAsia="Arial" w:hAnsi="Arial"/>
          <w:sz w:val="22"/>
          <w:szCs w:val="22"/>
          <w:i w:val="1"/>
          <w:iCs w:val="1"/>
          <w:color w:val="auto"/>
        </w:rPr>
        <w:t>Application</w:t>
      </w:r>
      <w:r>
        <w:rPr>
          <w:rFonts w:ascii="Arial" w:cs="Arial" w:eastAsia="Arial" w:hAnsi="Arial"/>
          <w:sz w:val="22"/>
          <w:szCs w:val="22"/>
          <w:color w:val="auto"/>
        </w:rPr>
        <w:t>. Notwithstanding anything to the contrary contained in this Agreement, Cash Collateral provided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8.01</w:t>
      </w:r>
      <w:r>
        <w:rPr>
          <w:rFonts w:ascii="Arial" w:cs="Arial" w:eastAsia="Arial" w:hAnsi="Arial"/>
          <w:sz w:val="22"/>
          <w:szCs w:val="22"/>
          <w:color w:val="auto"/>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37" w:lineRule="exact"/>
        <w:rPr>
          <w:rFonts w:ascii="Arial" w:cs="Arial" w:eastAsia="Arial" w:hAnsi="Arial"/>
          <w:sz w:val="22"/>
          <w:szCs w:val="22"/>
          <w:color w:val="auto"/>
        </w:rPr>
      </w:pPr>
    </w:p>
    <w:p>
      <w:pPr>
        <w:jc w:val="both"/>
        <w:ind w:firstLine="656"/>
        <w:spacing w:after="0" w:line="291" w:lineRule="auto"/>
        <w:tabs>
          <w:tab w:leader="none" w:pos="1197" w:val="left"/>
        </w:tabs>
        <w:numPr>
          <w:ilvl w:val="1"/>
          <w:numId w:val="197"/>
        </w:numPr>
        <w:rPr>
          <w:rFonts w:ascii="Arial" w:cs="Arial" w:eastAsia="Arial" w:hAnsi="Arial"/>
          <w:sz w:val="19"/>
          <w:szCs w:val="19"/>
          <w:color w:val="auto"/>
        </w:rPr>
      </w:pPr>
      <w:r>
        <w:rPr>
          <w:rFonts w:ascii="Arial" w:cs="Arial" w:eastAsia="Arial" w:hAnsi="Arial"/>
          <w:sz w:val="19"/>
          <w:szCs w:val="19"/>
          <w:i w:val="1"/>
          <w:iCs w:val="1"/>
          <w:color w:val="auto"/>
        </w:rPr>
        <w:t>Termination of Requirement</w:t>
      </w:r>
      <w:r>
        <w:rPr>
          <w:rFonts w:ascii="Arial" w:cs="Arial" w:eastAsia="Arial" w:hAnsi="Arial"/>
          <w:sz w:val="19"/>
          <w:szCs w:val="19"/>
          <w:color w:val="auto"/>
        </w:rPr>
        <w:t>. Cash Collateral (or the appropriate portion thereof) provided to reduce the Fronting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Exposure of any Issuing Lender shall no longer be required to be held as Cash Collateral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following</w:t>
      </w:r>
    </w:p>
    <w:p>
      <w:pPr>
        <w:spacing w:after="0" w:line="1" w:lineRule="exact"/>
        <w:rPr>
          <w:rFonts w:ascii="Arial" w:cs="Arial" w:eastAsia="Arial" w:hAnsi="Arial"/>
          <w:sz w:val="19"/>
          <w:szCs w:val="19"/>
          <w:color w:val="auto"/>
        </w:rPr>
      </w:pPr>
    </w:p>
    <w:p>
      <w:pPr>
        <w:jc w:val="both"/>
        <w:ind w:firstLine="8"/>
        <w:spacing w:after="0" w:line="259" w:lineRule="auto"/>
        <w:tabs>
          <w:tab w:leader="none" w:pos="25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 xml:space="preserve">the elimination of the applicable Fronting Exposure (including by the termination of Defaulting Lender status of the applicable Lender), or (ii) the determination by the Administrative Agent and the Issuing Lenders that there exists excess Cash Collateral;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subject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2.21</w:t>
      </w:r>
      <w:r>
        <w:rPr>
          <w:rFonts w:ascii="Arial" w:cs="Arial" w:eastAsia="Arial" w:hAnsi="Arial"/>
          <w:sz w:val="21"/>
          <w:szCs w:val="21"/>
          <w:color w:val="auto"/>
        </w:rPr>
        <w:t>, the Person providing Cash Collateral and the Issuing Lenders may agree that Cash</w:t>
      </w:r>
      <w:r>
        <w:rPr>
          <w:rFonts w:ascii="Arial" w:cs="Arial" w:eastAsia="Arial" w:hAnsi="Arial"/>
          <w:sz w:val="21"/>
          <w:szCs w:val="21"/>
          <w:i w:val="1"/>
          <w:iCs w:val="1"/>
          <w:color w:val="auto"/>
        </w:rPr>
        <w:t xml:space="preserve"> </w:t>
      </w:r>
      <w:r>
        <w:rPr>
          <w:rFonts w:ascii="Arial" w:cs="Arial" w:eastAsia="Arial" w:hAnsi="Arial"/>
          <w:sz w:val="21"/>
          <w:szCs w:val="21"/>
          <w:color w:val="auto"/>
        </w:rPr>
        <w:t>Collateral shall be held to support future anticipated Fronting Exposure or other obligations.</w:t>
      </w:r>
    </w:p>
    <w:p>
      <w:pPr>
        <w:spacing w:after="0" w:line="1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2.21</w:t>
      </w:r>
      <w:r>
        <w:rPr>
          <w:sz w:val="20"/>
          <w:szCs w:val="20"/>
          <w:color w:val="auto"/>
        </w:rPr>
        <w:tab/>
      </w:r>
      <w:r>
        <w:rPr>
          <w:rFonts w:ascii="Arial" w:cs="Arial" w:eastAsia="Arial" w:hAnsi="Arial"/>
          <w:sz w:val="19"/>
          <w:szCs w:val="19"/>
          <w:i w:val="1"/>
          <w:iCs w:val="1"/>
          <w:color w:val="auto"/>
        </w:rPr>
        <w:t>Defaulting Lenders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53" w:lineRule="auto"/>
        <w:tabs>
          <w:tab w:leader="none" w:pos="1252" w:val="left"/>
        </w:tabs>
        <w:numPr>
          <w:ilvl w:val="0"/>
          <w:numId w:val="199"/>
        </w:numPr>
        <w:rPr>
          <w:rFonts w:ascii="Arial" w:cs="Arial" w:eastAsia="Arial" w:hAnsi="Arial"/>
          <w:sz w:val="22"/>
          <w:szCs w:val="22"/>
          <w:color w:val="auto"/>
        </w:rPr>
      </w:pPr>
      <w:r>
        <w:rPr>
          <w:rFonts w:ascii="Arial" w:cs="Arial" w:eastAsia="Arial" w:hAnsi="Arial"/>
          <w:sz w:val="22"/>
          <w:szCs w:val="22"/>
          <w:i w:val="1"/>
          <w:iCs w:val="1"/>
          <w:color w:val="auto"/>
        </w:rPr>
        <w:t>Adjustments</w:t>
      </w:r>
      <w:r>
        <w:rPr>
          <w:rFonts w:ascii="Arial" w:cs="Arial" w:eastAsia="Arial" w:hAnsi="Arial"/>
          <w:sz w:val="22"/>
          <w:szCs w:val="22"/>
          <w:color w:val="auto"/>
        </w:rPr>
        <w:t>. Notwithstanding anything to the contrary contained in this Agreement, if any Lender becomes a</w:t>
      </w:r>
      <w:r>
        <w:rPr>
          <w:rFonts w:ascii="Arial" w:cs="Arial" w:eastAsia="Arial" w:hAnsi="Arial"/>
          <w:sz w:val="22"/>
          <w:szCs w:val="22"/>
          <w:i w:val="1"/>
          <w:iCs w:val="1"/>
          <w:color w:val="auto"/>
        </w:rPr>
        <w:t xml:space="preserve"> </w:t>
      </w:r>
      <w:r>
        <w:rPr>
          <w:rFonts w:ascii="Arial" w:cs="Arial" w:eastAsia="Arial" w:hAnsi="Arial"/>
          <w:sz w:val="22"/>
          <w:szCs w:val="22"/>
          <w:color w:val="auto"/>
        </w:rPr>
        <w:t>Defaulting Lender, then, until such time as that Lender is no longer a Defaulting Lender, to the extent permitted by applicable law:</w:t>
      </w:r>
    </w:p>
    <w:p>
      <w:pPr>
        <w:spacing w:after="0" w:line="131" w:lineRule="exact"/>
        <w:rPr>
          <w:rFonts w:ascii="Arial" w:cs="Arial" w:eastAsia="Arial" w:hAnsi="Arial"/>
          <w:sz w:val="22"/>
          <w:szCs w:val="22"/>
          <w:color w:val="auto"/>
        </w:rPr>
      </w:pPr>
    </w:p>
    <w:p>
      <w:pPr>
        <w:ind w:right="20" w:firstLine="656"/>
        <w:spacing w:after="0" w:line="343" w:lineRule="auto"/>
        <w:tabs>
          <w:tab w:leader="none" w:pos="1237" w:val="left"/>
        </w:tabs>
        <w:numPr>
          <w:ilvl w:val="0"/>
          <w:numId w:val="199"/>
        </w:numPr>
        <w:rPr>
          <w:rFonts w:ascii="Arial" w:cs="Arial" w:eastAsia="Arial" w:hAnsi="Arial"/>
          <w:sz w:val="19"/>
          <w:szCs w:val="19"/>
          <w:color w:val="auto"/>
        </w:rPr>
      </w:pPr>
      <w:r>
        <w:rPr>
          <w:rFonts w:ascii="Arial" w:cs="Arial" w:eastAsia="Arial" w:hAnsi="Arial"/>
          <w:sz w:val="19"/>
          <w:szCs w:val="19"/>
          <w:i w:val="1"/>
          <w:iCs w:val="1"/>
          <w:color w:val="auto"/>
        </w:rPr>
        <w:t>Waivers and Amendments</w:t>
      </w:r>
      <w:r>
        <w:rPr>
          <w:rFonts w:ascii="Arial" w:cs="Arial" w:eastAsia="Arial" w:hAnsi="Arial"/>
          <w:sz w:val="19"/>
          <w:szCs w:val="19"/>
          <w:color w:val="auto"/>
        </w:rPr>
        <w:t>. That Defaulting Lender’s right to approve or disapprove any amendment, waiver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consent with respect to this Agreement shall be restricted as set forth in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the definition of Required Lender.</w:t>
      </w:r>
    </w:p>
    <w:p>
      <w:pPr>
        <w:spacing w:after="0" w:line="50" w:lineRule="exact"/>
        <w:rPr>
          <w:rFonts w:ascii="Arial" w:cs="Arial" w:eastAsia="Arial" w:hAnsi="Arial"/>
          <w:sz w:val="19"/>
          <w:szCs w:val="19"/>
          <w:color w:val="auto"/>
        </w:rPr>
      </w:pPr>
    </w:p>
    <w:p>
      <w:pPr>
        <w:jc w:val="both"/>
        <w:ind w:firstLine="656"/>
        <w:spacing w:after="0" w:line="259" w:lineRule="auto"/>
        <w:tabs>
          <w:tab w:leader="none" w:pos="1131" w:val="left"/>
        </w:tabs>
        <w:numPr>
          <w:ilvl w:val="0"/>
          <w:numId w:val="199"/>
        </w:numPr>
        <w:rPr>
          <w:rFonts w:ascii="Arial" w:cs="Arial" w:eastAsia="Arial" w:hAnsi="Arial"/>
          <w:sz w:val="21"/>
          <w:szCs w:val="21"/>
          <w:color w:val="auto"/>
        </w:rPr>
      </w:pPr>
      <w:r>
        <w:rPr>
          <w:rFonts w:ascii="Arial" w:cs="Arial" w:eastAsia="Arial" w:hAnsi="Arial"/>
          <w:sz w:val="21"/>
          <w:szCs w:val="21"/>
          <w:i w:val="1"/>
          <w:iCs w:val="1"/>
          <w:color w:val="auto"/>
        </w:rPr>
        <w:t>Reallocation of Payments</w:t>
      </w:r>
      <w:r>
        <w:rPr>
          <w:rFonts w:ascii="Arial" w:cs="Arial" w:eastAsia="Arial" w:hAnsi="Arial"/>
          <w:sz w:val="21"/>
          <w:szCs w:val="21"/>
          <w:color w:val="auto"/>
        </w:rPr>
        <w:t>. Any payment of principal, interest, fees or other amounts received by the Administrative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Agent for the account of that Defaulting Lender under this Agreement or the other Loan Documents (whether voluntary or mandatory, at maturity, pursuant to </w:t>
      </w:r>
      <w:r>
        <w:rPr>
          <w:rFonts w:ascii="Arial" w:cs="Arial" w:eastAsia="Arial" w:hAnsi="Arial"/>
          <w:sz w:val="21"/>
          <w:szCs w:val="21"/>
          <w:u w:val="single" w:color="auto"/>
          <w:color w:val="auto"/>
        </w:rPr>
        <w:t>Section 8.01</w:t>
      </w:r>
      <w:r>
        <w:rPr>
          <w:rFonts w:ascii="Arial" w:cs="Arial" w:eastAsia="Arial" w:hAnsi="Arial"/>
          <w:sz w:val="21"/>
          <w:szCs w:val="21"/>
          <w:color w:val="auto"/>
        </w:rPr>
        <w:t xml:space="preserve"> or otherwise, and including any amounts made available to the Administrative Agent by that Defaulting Lender pursuant to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shall be applied at such time or times as may be determined by the Administrative Agent as follows: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 the payment of any amounts owing by that Defaulting Lender to the Administrative Agent hereunder; </w:t>
      </w:r>
      <w:r>
        <w:rPr>
          <w:rFonts w:ascii="Arial" w:cs="Arial" w:eastAsia="Arial" w:hAnsi="Arial"/>
          <w:sz w:val="21"/>
          <w:szCs w:val="21"/>
          <w:i w:val="1"/>
          <w:iCs w:val="1"/>
          <w:color w:val="auto"/>
        </w:rPr>
        <w:t>second</w:t>
      </w:r>
      <w:r>
        <w:rPr>
          <w:rFonts w:ascii="Arial" w:cs="Arial" w:eastAsia="Arial" w:hAnsi="Arial"/>
          <w:sz w:val="21"/>
          <w:szCs w:val="21"/>
          <w:color w:val="auto"/>
        </w:rPr>
        <w:t xml:space="preserve">, to the payment on a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basis of any amounts owing by such Defaulting Lender to any Issuing Lender hereunder; </w:t>
      </w:r>
      <w:r>
        <w:rPr>
          <w:rFonts w:ascii="Arial" w:cs="Arial" w:eastAsia="Arial" w:hAnsi="Arial"/>
          <w:sz w:val="21"/>
          <w:szCs w:val="21"/>
          <w:i w:val="1"/>
          <w:iCs w:val="1"/>
          <w:color w:val="auto"/>
        </w:rPr>
        <w:t>third</w:t>
      </w:r>
      <w:r>
        <w:rPr>
          <w:rFonts w:ascii="Arial" w:cs="Arial" w:eastAsia="Arial" w:hAnsi="Arial"/>
          <w:sz w:val="21"/>
          <w:szCs w:val="21"/>
          <w:color w:val="auto"/>
        </w:rPr>
        <w:t xml:space="preserve">, to Cash Collateralize the Fronting Exposure of the Issuing Lenders with respect to such Defaulting Lender in accordance with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with a corresponding release of any Cash Collateral provided by the Borrower and/or a reversal of any reallocations made among the Lenders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262" w:name="page263"/>
    <w:bookmarkEnd w:id="262"/>
    <w:p>
      <w:pPr>
        <w:jc w:val="both"/>
        <w:spacing w:after="0" w:line="284" w:lineRule="auto"/>
        <w:rPr>
          <w:sz w:val="20"/>
          <w:szCs w:val="20"/>
          <w:color w:val="auto"/>
        </w:rPr>
      </w:pPr>
      <w:r>
        <w:rPr>
          <w:rFonts w:ascii="Arial" w:cs="Arial" w:eastAsia="Arial" w:hAnsi="Arial"/>
          <w:sz w:val="19"/>
          <w:szCs w:val="19"/>
          <w:color w:val="auto"/>
        </w:rPr>
        <w:t xml:space="preserve">respect to such Fronting Exposure pursuant to Section 2.21(e);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Unmatured Default exists), to the funding of any Loan or funded participation in respect of which that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in order to (A) satisfy obligations of that Defaulting Lender’s potential future funding obligations with respect to Loans and funded participations under this Agreement and (B) Cash Collateralize the Issuing Lenders’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or the Issuing Lenders as a result of any judgment of a court of competent jurisdiction obtained by any Lender or any Issuing Lender against that Defaulting Lender as a result of that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Unmatured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that Defaulting Lender or as otherwise directed by a court of competent jurisdiction; provided that if (x) such payment is a payment of the principal amount of any Loans or funded participations in Letters of Credit in respect of which that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were satisfied or waived, such payment shall be applied first to pay the Loans of, and funded participations in Letters of Credit owed to, all Non-Defaulting Lenders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prior to being applied to the payment of any Loans of, or funded participations in Letters of Credit owed to, such Defaulting Lender until such time as all Loans and funded and unfunded participations in L/C Obligations are held by the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the Aggregate Commitment under the Revolving Credit Facility without giving effect to </w:t>
      </w:r>
      <w:r>
        <w:rPr>
          <w:rFonts w:ascii="Arial" w:cs="Arial" w:eastAsia="Arial" w:hAnsi="Arial"/>
          <w:sz w:val="19"/>
          <w:szCs w:val="19"/>
          <w:u w:val="single" w:color="auto"/>
          <w:color w:val="auto"/>
        </w:rPr>
        <w:t>Section 2.22(d)</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shall be deemed paid to and redirected by that Defaulting Lender, and each Lender irrevocably consents hereto.</w:t>
      </w:r>
    </w:p>
    <w:p>
      <w:pPr>
        <w:spacing w:after="0" w:line="374" w:lineRule="exact"/>
        <w:rPr>
          <w:sz w:val="20"/>
          <w:szCs w:val="20"/>
          <w:color w:val="auto"/>
        </w:rPr>
      </w:pPr>
    </w:p>
    <w:p>
      <w:pPr>
        <w:jc w:val="both"/>
        <w:ind w:firstLine="656"/>
        <w:spacing w:after="0" w:line="285" w:lineRule="auto"/>
        <w:tabs>
          <w:tab w:leader="none" w:pos="1237" w:val="left"/>
        </w:tabs>
        <w:numPr>
          <w:ilvl w:val="1"/>
          <w:numId w:val="200"/>
        </w:numPr>
        <w:rPr>
          <w:rFonts w:ascii="Arial" w:cs="Arial" w:eastAsia="Arial" w:hAnsi="Arial"/>
          <w:sz w:val="19"/>
          <w:szCs w:val="19"/>
          <w:color w:val="auto"/>
        </w:rPr>
      </w:pPr>
      <w:r>
        <w:rPr>
          <w:rFonts w:ascii="Arial" w:cs="Arial" w:eastAsia="Arial" w:hAnsi="Arial"/>
          <w:sz w:val="19"/>
          <w:szCs w:val="19"/>
          <w:i w:val="1"/>
          <w:iCs w:val="1"/>
          <w:color w:val="auto"/>
        </w:rPr>
        <w:t>Certain Fees</w:t>
      </w:r>
      <w:r>
        <w:rPr>
          <w:rFonts w:ascii="Arial" w:cs="Arial" w:eastAsia="Arial" w:hAnsi="Arial"/>
          <w:sz w:val="19"/>
          <w:szCs w:val="19"/>
          <w:color w:val="auto"/>
        </w:rPr>
        <w:t>. The Defaulting Lender shall not be entitled to receive any Commitment Fee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2.05(a)</w:t>
      </w:r>
      <w:r>
        <w:rPr>
          <w:rFonts w:ascii="Arial" w:cs="Arial" w:eastAsia="Arial" w:hAnsi="Arial"/>
          <w:sz w:val="19"/>
          <w:szCs w:val="19"/>
          <w:color w:val="auto"/>
        </w:rPr>
        <w:t xml:space="preserve"> for any period during which that Lender is a Defaulting Lender. Each Defaulting Lender shall be entitled to receive letter of credit commissions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With respect to any letter of credit commission not required to be paid to any Defaulting Lender, the Borrower shall</w:t>
      </w:r>
    </w:p>
    <w:p>
      <w:pPr>
        <w:spacing w:after="0" w:line="3" w:lineRule="exact"/>
        <w:rPr>
          <w:rFonts w:ascii="Arial" w:cs="Arial" w:eastAsia="Arial" w:hAnsi="Arial"/>
          <w:sz w:val="19"/>
          <w:szCs w:val="19"/>
          <w:color w:val="auto"/>
        </w:rPr>
      </w:pPr>
    </w:p>
    <w:p>
      <w:pPr>
        <w:jc w:val="both"/>
        <w:ind w:firstLine="8"/>
        <w:spacing w:after="0" w:line="244" w:lineRule="auto"/>
        <w:tabs>
          <w:tab w:leader="none" w:pos="31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below, (2) pay to each applicable Issuing Lender the amount of any such fee otherwise payable to such Defaulting Lender to the extent allocable to such Issuing Lender’s Fronting Exposure to such Defaulting Lender, and (3) not be required to pay the remaining amount of any such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263" w:name="page264"/>
    <w:bookmarkEnd w:id="263"/>
    <w:p>
      <w:pPr>
        <w:jc w:val="both"/>
        <w:ind w:firstLine="656"/>
        <w:spacing w:after="0" w:line="292" w:lineRule="auto"/>
        <w:tabs>
          <w:tab w:leader="none" w:pos="1333"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Reallocation of Participations to Reduce Fronting Exposure</w:t>
      </w:r>
      <w:r>
        <w:rPr>
          <w:rFonts w:ascii="Arial" w:cs="Arial" w:eastAsia="Arial" w:hAnsi="Arial"/>
          <w:sz w:val="19"/>
          <w:szCs w:val="19"/>
          <w:color w:val="auto"/>
        </w:rPr>
        <w:t>. All or any part of such Defaulting Lender’s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participation in L/C Obligations shall be reallocated among the Non-Defaulting Lenders in accordance with their respective Pro Rata Share (calculated without regard to such Defaulting Lender’s Commitment) but only to the extent that such reallocation does not cause the aggregate Outstanding Credit Exposure of any Non-Defaulting Lender to exceed such Non-Defaulting Lender’s Commitment. Subject to </w:t>
      </w:r>
      <w:r>
        <w:rPr>
          <w:rFonts w:ascii="Arial" w:cs="Arial" w:eastAsia="Arial" w:hAnsi="Arial"/>
          <w:sz w:val="19"/>
          <w:szCs w:val="19"/>
          <w:u w:val="single" w:color="auto"/>
          <w:color w:val="auto"/>
        </w:rPr>
        <w:t>Section 15.07</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96" w:lineRule="exact"/>
        <w:rPr>
          <w:rFonts w:ascii="Arial" w:cs="Arial" w:eastAsia="Arial" w:hAnsi="Arial"/>
          <w:sz w:val="19"/>
          <w:szCs w:val="19"/>
          <w:color w:val="auto"/>
        </w:rPr>
      </w:pPr>
    </w:p>
    <w:p>
      <w:pPr>
        <w:jc w:val="both"/>
        <w:ind w:firstLine="656"/>
        <w:spacing w:after="0" w:line="253" w:lineRule="auto"/>
        <w:tabs>
          <w:tab w:leader="none" w:pos="1201"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Cash Collateral</w:t>
      </w:r>
      <w:r>
        <w:rPr>
          <w:rFonts w:ascii="Arial" w:cs="Arial" w:eastAsia="Arial" w:hAnsi="Arial"/>
          <w:sz w:val="22"/>
          <w:szCs w:val="22"/>
          <w:color w:val="auto"/>
        </w:rPr>
        <w:t>. If the reallocation described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clause (e)</w:t>
      </w:r>
      <w:r>
        <w:rPr>
          <w:rFonts w:ascii="Arial" w:cs="Arial" w:eastAsia="Arial" w:hAnsi="Arial"/>
          <w:sz w:val="22"/>
          <w:szCs w:val="22"/>
          <w:i w:val="1"/>
          <w:iCs w:val="1"/>
          <w:color w:val="auto"/>
        </w:rPr>
        <w:t xml:space="preserve"> </w:t>
      </w:r>
      <w:r>
        <w:rPr>
          <w:rFonts w:ascii="Arial" w:cs="Arial" w:eastAsia="Arial" w:hAnsi="Arial"/>
          <w:sz w:val="22"/>
          <w:szCs w:val="22"/>
          <w:color w:val="auto"/>
        </w:rPr>
        <w:t>above cannot, or can only partially, be effected,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Borrower shall, without prejudice to any right or remedy available to it hereunder or under law, Cash Collateralize the Issuing Lenders’ Fronting Exposure in accordance with the procedures set forth in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jc w:val="both"/>
        <w:ind w:firstLine="656"/>
        <w:spacing w:after="0" w:line="258" w:lineRule="auto"/>
        <w:tabs>
          <w:tab w:leader="none" w:pos="1129" w:val="left"/>
        </w:tabs>
        <w:numPr>
          <w:ilvl w:val="0"/>
          <w:numId w:val="202"/>
        </w:numPr>
        <w:rPr>
          <w:rFonts w:ascii="Arial" w:cs="Arial" w:eastAsia="Arial" w:hAnsi="Arial"/>
          <w:sz w:val="21"/>
          <w:szCs w:val="21"/>
          <w:color w:val="auto"/>
        </w:rPr>
      </w:pPr>
      <w:r>
        <w:rPr>
          <w:rFonts w:ascii="Arial" w:cs="Arial" w:eastAsia="Arial" w:hAnsi="Arial"/>
          <w:sz w:val="21"/>
          <w:szCs w:val="21"/>
          <w:i w:val="1"/>
          <w:iCs w:val="1"/>
          <w:color w:val="auto"/>
        </w:rPr>
        <w:t>Defaulting Lender Cure</w:t>
      </w:r>
      <w:r>
        <w:rPr>
          <w:rFonts w:ascii="Arial" w:cs="Arial" w:eastAsia="Arial" w:hAnsi="Arial"/>
          <w:sz w:val="21"/>
          <w:szCs w:val="21"/>
          <w:color w:val="auto"/>
        </w:rPr>
        <w:t>. If the Borrower, the Administrative Agent and the Issuing Lenders agree in writing in their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Revolving Loans of the other Lenders or take such other actions as the Administrative Agent may determine to be necessary to cause the Revolving Loans and funded and unfunded participations in Letters of Credit to be held on a pro rata basis by the Lenders in accordance with their Pro Rata Shares whereupon that Lender will cease to be a Defaulting Lender;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except to the extent otherwise expressly agreed by the affected parties, no change hereunder from Defaulting Lender</w:t>
      </w:r>
      <w:r>
        <w:rPr>
          <w:rFonts w:ascii="Arial" w:cs="Arial" w:eastAsia="Arial" w:hAnsi="Arial"/>
          <w:sz w:val="21"/>
          <w:szCs w:val="21"/>
          <w:i w:val="1"/>
          <w:iCs w:val="1"/>
          <w:color w:val="auto"/>
        </w:rPr>
        <w:t xml:space="preserve"> </w:t>
      </w:r>
      <w:r>
        <w:rPr>
          <w:rFonts w:ascii="Arial" w:cs="Arial" w:eastAsia="Arial" w:hAnsi="Arial"/>
          <w:sz w:val="21"/>
          <w:szCs w:val="21"/>
          <w:color w:val="auto"/>
        </w:rPr>
        <w:t>to Lender will constitute a waiver or release of any claim of any party hereunder arising from that Lender’s having been a Defaulting Lender.</w:t>
      </w:r>
    </w:p>
    <w:p>
      <w:pPr>
        <w:spacing w:after="0" w:line="127" w:lineRule="exact"/>
        <w:rPr>
          <w:rFonts w:ascii="Arial" w:cs="Arial" w:eastAsia="Arial" w:hAnsi="Arial"/>
          <w:sz w:val="21"/>
          <w:szCs w:val="21"/>
          <w:color w:val="auto"/>
        </w:rPr>
      </w:pPr>
    </w:p>
    <w:p>
      <w:pPr>
        <w:jc w:val="both"/>
        <w:ind w:firstLine="656"/>
        <w:spacing w:after="0" w:line="253" w:lineRule="auto"/>
        <w:tabs>
          <w:tab w:leader="none" w:pos="1156"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New Letters of Credit</w:t>
      </w:r>
      <w:r>
        <w:rPr>
          <w:rFonts w:ascii="Arial" w:cs="Arial" w:eastAsia="Arial" w:hAnsi="Arial"/>
          <w:sz w:val="22"/>
          <w:szCs w:val="22"/>
          <w:color w:val="auto"/>
        </w:rPr>
        <w:t>. So long as any Lender is a Defaulting Lender, no Issuing Lender shall be required to issue,</w:t>
      </w:r>
      <w:r>
        <w:rPr>
          <w:rFonts w:ascii="Arial" w:cs="Arial" w:eastAsia="Arial" w:hAnsi="Arial"/>
          <w:sz w:val="22"/>
          <w:szCs w:val="22"/>
          <w:i w:val="1"/>
          <w:iCs w:val="1"/>
          <w:color w:val="auto"/>
        </w:rPr>
        <w:t xml:space="preserve"> </w:t>
      </w:r>
      <w:r>
        <w:rPr>
          <w:rFonts w:ascii="Arial" w:cs="Arial" w:eastAsia="Arial" w:hAnsi="Arial"/>
          <w:sz w:val="22"/>
          <w:szCs w:val="22"/>
          <w:color w:val="auto"/>
        </w:rPr>
        <w:t>extend, increase, reinstate or renew any Letter of Credit unless it is satisfied that it will have no Fronting Exposure after giving effect thereto.</w:t>
      </w:r>
    </w:p>
    <w:p>
      <w:pPr>
        <w:spacing w:after="0" w:line="1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2.22 </w:t>
      </w:r>
      <w:r>
        <w:rPr>
          <w:rFonts w:ascii="Arial" w:cs="Arial" w:eastAsia="Arial" w:hAnsi="Arial"/>
          <w:sz w:val="21"/>
          <w:szCs w:val="21"/>
          <w:i w:val="1"/>
          <w:iCs w:val="1"/>
          <w:color w:val="auto"/>
        </w:rPr>
        <w:t>Incremental Loans</w:t>
      </w:r>
      <w:r>
        <w:rPr>
          <w:rFonts w:ascii="Arial" w:cs="Arial" w:eastAsia="Arial" w:hAnsi="Arial"/>
          <w:sz w:val="21"/>
          <w:szCs w:val="21"/>
          <w:color w:val="auto"/>
        </w:rPr>
        <w:t>. At any time after the Closing Date and prior to the Facility Termination Date, the</w:t>
      </w:r>
      <w:r>
        <w:rPr>
          <w:rFonts w:ascii="Arial" w:cs="Arial" w:eastAsia="Arial" w:hAnsi="Arial"/>
          <w:sz w:val="21"/>
          <w:szCs w:val="21"/>
          <w:b w:val="1"/>
          <w:bCs w:val="1"/>
          <w:color w:val="auto"/>
        </w:rPr>
        <w:t xml:space="preserve"> </w:t>
      </w:r>
      <w:r>
        <w:rPr>
          <w:rFonts w:ascii="Arial" w:cs="Arial" w:eastAsia="Arial" w:hAnsi="Arial"/>
          <w:sz w:val="21"/>
          <w:szCs w:val="21"/>
          <w:color w:val="auto"/>
        </w:rPr>
        <w:t>Borrower may by written notice to the Administrative Agent elect to request the establishment of one or more increases in the Aggregate Commitment (any such increase, an “</w:t>
      </w:r>
      <w:r>
        <w:rPr>
          <w:rFonts w:ascii="Arial" w:cs="Arial" w:eastAsia="Arial" w:hAnsi="Arial"/>
          <w:sz w:val="21"/>
          <w:szCs w:val="21"/>
          <w:b w:val="1"/>
          <w:bCs w:val="1"/>
          <w:color w:val="auto"/>
        </w:rPr>
        <w:t>Incremental Revolving Credit Commitment</w:t>
      </w:r>
      <w:r>
        <w:rPr>
          <w:rFonts w:ascii="Arial" w:cs="Arial" w:eastAsia="Arial" w:hAnsi="Arial"/>
          <w:sz w:val="21"/>
          <w:szCs w:val="21"/>
          <w:color w:val="auto"/>
        </w:rPr>
        <w:t>”) to make revolving credit loans under the Revolving Credit Facility (any such increase, an “</w:t>
      </w:r>
      <w:r>
        <w:rPr>
          <w:rFonts w:ascii="Arial" w:cs="Arial" w:eastAsia="Arial" w:hAnsi="Arial"/>
          <w:sz w:val="21"/>
          <w:szCs w:val="21"/>
          <w:b w:val="1"/>
          <w:bCs w:val="1"/>
          <w:color w:val="auto"/>
        </w:rPr>
        <w:t>Incremental Revolving Credit Increase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(1) the total aggregate principal amount for all such increases during the term of this Agreement shall not exceed $200,000,000 and (2) the total aggregate amount for each Incremental Revolving Credit Increase shall not be less than $15,000,000 or, if less, the remaining amount permitted pursuant to the foregoing </w:t>
      </w:r>
      <w:r>
        <w:rPr>
          <w:rFonts w:ascii="Arial" w:cs="Arial" w:eastAsia="Arial" w:hAnsi="Arial"/>
          <w:sz w:val="21"/>
          <w:szCs w:val="21"/>
          <w:u w:val="single" w:color="auto"/>
          <w:color w:val="auto"/>
        </w:rPr>
        <w:t>clause (1)</w:t>
      </w:r>
      <w:r>
        <w:rPr>
          <w:rFonts w:ascii="Arial" w:cs="Arial" w:eastAsia="Arial" w:hAnsi="Arial"/>
          <w:sz w:val="21"/>
          <w:szCs w:val="21"/>
          <w:color w:val="auto"/>
        </w:rPr>
        <w:t>. Each such notice shall specify the date (each, an “</w:t>
      </w:r>
      <w:r>
        <w:rPr>
          <w:rFonts w:ascii="Arial" w:cs="Arial" w:eastAsia="Arial" w:hAnsi="Arial"/>
          <w:sz w:val="21"/>
          <w:szCs w:val="21"/>
          <w:b w:val="1"/>
          <w:bCs w:val="1"/>
          <w:color w:val="auto"/>
        </w:rPr>
        <w:t>Increased</w:t>
      </w:r>
      <w:r>
        <w:rPr>
          <w:rFonts w:ascii="Arial" w:cs="Arial" w:eastAsia="Arial" w:hAnsi="Arial"/>
          <w:sz w:val="21"/>
          <w:szCs w:val="21"/>
          <w:color w:val="auto"/>
        </w:rPr>
        <w:t xml:space="preserve"> </w:t>
      </w:r>
      <w:r>
        <w:rPr>
          <w:rFonts w:ascii="Arial" w:cs="Arial" w:eastAsia="Arial" w:hAnsi="Arial"/>
          <w:sz w:val="21"/>
          <w:szCs w:val="21"/>
          <w:b w:val="1"/>
          <w:bCs w:val="1"/>
          <w:color w:val="auto"/>
        </w:rPr>
        <w:t>Amount Date</w:t>
      </w:r>
      <w:r>
        <w:rPr>
          <w:rFonts w:ascii="Arial" w:cs="Arial" w:eastAsia="Arial" w:hAnsi="Arial"/>
          <w:sz w:val="21"/>
          <w:szCs w:val="21"/>
          <w:color w:val="auto"/>
        </w:rPr>
        <w:t>”) on which the Borrower proposes that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264" w:name="page265"/>
    <w:bookmarkEnd w:id="264"/>
    <w:p>
      <w:pPr>
        <w:jc w:val="both"/>
        <w:spacing w:after="0" w:line="250" w:lineRule="auto"/>
        <w:rPr>
          <w:sz w:val="20"/>
          <w:szCs w:val="20"/>
          <w:color w:val="auto"/>
        </w:rPr>
      </w:pPr>
      <w:r>
        <w:rPr>
          <w:rFonts w:ascii="Arial" w:cs="Arial" w:eastAsia="Arial" w:hAnsi="Arial"/>
          <w:sz w:val="22"/>
          <w:szCs w:val="22"/>
          <w:color w:val="auto"/>
        </w:rPr>
        <w:t>Revolving Credit Increase shall be effective. The Borrower may invite any Lender, any Affiliate of any Lender and/or any Approved Fund, and/or any other Person reasonably satisfactory to the Administrative Agent to provide an Incremental Revolving Credit Commitment (any such Person, an “</w:t>
      </w:r>
      <w:r>
        <w:rPr>
          <w:rFonts w:ascii="Arial" w:cs="Arial" w:eastAsia="Arial" w:hAnsi="Arial"/>
          <w:sz w:val="22"/>
          <w:szCs w:val="22"/>
          <w:b w:val="1"/>
          <w:bCs w:val="1"/>
          <w:color w:val="auto"/>
        </w:rPr>
        <w:t>Incremental Lender</w:t>
      </w:r>
      <w:r>
        <w:rPr>
          <w:rFonts w:ascii="Arial" w:cs="Arial" w:eastAsia="Arial" w:hAnsi="Arial"/>
          <w:sz w:val="22"/>
          <w:szCs w:val="22"/>
          <w:color w:val="auto"/>
        </w:rPr>
        <w:t xml:space="preserve">”). Any Incremental Revolving Credit Commitments shall become effective as of such Increased Amount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34" w:lineRule="exact"/>
        <w:rPr>
          <w:sz w:val="20"/>
          <w:szCs w:val="20"/>
          <w:color w:val="auto"/>
        </w:rPr>
      </w:pPr>
    </w:p>
    <w:p>
      <w:pPr>
        <w:ind w:left="1120" w:hanging="464"/>
        <w:spacing w:after="0"/>
        <w:tabs>
          <w:tab w:leader="none" w:pos="11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Unmatured Default or Default shall exist on such Increased Amount Date;</w:t>
      </w:r>
    </w:p>
    <w:p>
      <w:pPr>
        <w:spacing w:after="0" w:line="165" w:lineRule="exact"/>
        <w:rPr>
          <w:rFonts w:ascii="Arial" w:cs="Arial" w:eastAsia="Arial" w:hAnsi="Arial"/>
          <w:sz w:val="22"/>
          <w:szCs w:val="22"/>
          <w:color w:val="auto"/>
        </w:rPr>
      </w:pPr>
    </w:p>
    <w:p>
      <w:pPr>
        <w:jc w:val="both"/>
        <w:ind w:firstLine="656"/>
        <w:spacing w:after="0" w:line="292" w:lineRule="auto"/>
        <w:tabs>
          <w:tab w:leader="none" w:pos="117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contained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shall be true and correct in all material respects, except to the extent any such representation and warranty is qualified by materiality or reference to Material Adverse Effect, in which case, such representation and warranty shall be true and correct in all respects, on such Increased Amount Date with the same effect as if made on and as of such date (except for any such representation and warranty that by its terms is made only as of an earlier date, which representation and warranty shall be true and correct in all material respects (except to the extent any such representation and warranty is qualified by materiality or reference to Material Adverse Effect, in which case, such representation and warranty shall be true and correct in all respects) as of such earlier date);</w:t>
      </w:r>
    </w:p>
    <w:p>
      <w:pPr>
        <w:spacing w:after="0" w:line="96" w:lineRule="exact"/>
        <w:rPr>
          <w:rFonts w:ascii="Arial" w:cs="Arial" w:eastAsia="Arial" w:hAnsi="Arial"/>
          <w:sz w:val="19"/>
          <w:szCs w:val="19"/>
          <w:color w:val="auto"/>
        </w:rPr>
      </w:pPr>
    </w:p>
    <w:p>
      <w:pPr>
        <w:ind w:left="1120" w:hanging="464"/>
        <w:spacing w:after="0"/>
        <w:tabs>
          <w:tab w:leader="none" w:pos="11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in the case of each Incremental Revolving Credit Increase:</w:t>
      </w:r>
    </w:p>
    <w:p>
      <w:pPr>
        <w:spacing w:after="0" w:line="165" w:lineRule="exact"/>
        <w:rPr>
          <w:rFonts w:ascii="Arial" w:cs="Arial" w:eastAsia="Arial" w:hAnsi="Arial"/>
          <w:sz w:val="22"/>
          <w:szCs w:val="22"/>
          <w:color w:val="auto"/>
        </w:rPr>
      </w:pPr>
    </w:p>
    <w:p>
      <w:pPr>
        <w:jc w:val="both"/>
        <w:ind w:left="660" w:firstLine="968"/>
        <w:spacing w:after="0" w:line="294" w:lineRule="auto"/>
        <w:tabs>
          <w:tab w:leader="none" w:pos="206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the outstanding Revolving Loans and L/C Obligations will be reallocated by the Administrative Agent on the applicable Increased Amount Date among the Lenders (including the Incremental Lenders providing such Incremental Revolving Credit Increase) in accordance with their revised Pro Rata Share (and the Lenders (including the Incremental Lenders providing such Incremental Revolving Credit Increase) agree to make all payments and adjustments necessary to effect such reallocation and the Borrower shall pay any and all costs required pursuant to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in connection with such reallocation as if such reallocation were a repayment); and</w:t>
      </w:r>
    </w:p>
    <w:p>
      <w:pPr>
        <w:spacing w:after="0" w:line="95" w:lineRule="exact"/>
        <w:rPr>
          <w:rFonts w:ascii="Arial" w:cs="Arial" w:eastAsia="Arial" w:hAnsi="Arial"/>
          <w:sz w:val="19"/>
          <w:szCs w:val="19"/>
          <w:color w:val="auto"/>
        </w:rPr>
      </w:pPr>
    </w:p>
    <w:p>
      <w:pPr>
        <w:jc w:val="both"/>
        <w:ind w:left="660" w:firstLine="968"/>
        <w:spacing w:after="0" w:line="248" w:lineRule="auto"/>
        <w:tabs>
          <w:tab w:leader="none" w:pos="2245" w:val="left"/>
        </w:tabs>
        <w:numPr>
          <w:ilvl w:val="1"/>
          <w:numId w:val="203"/>
        </w:numPr>
        <w:rPr>
          <w:rFonts w:ascii="Arial" w:cs="Arial" w:eastAsia="Arial" w:hAnsi="Arial"/>
          <w:sz w:val="22"/>
          <w:szCs w:val="22"/>
          <w:color w:val="auto"/>
        </w:rPr>
      </w:pPr>
      <w:r>
        <w:rPr>
          <w:rFonts w:ascii="Arial" w:cs="Arial" w:eastAsia="Arial" w:hAnsi="Arial"/>
          <w:sz w:val="22"/>
          <w:szCs w:val="22"/>
          <w:color w:val="auto"/>
        </w:rPr>
        <w:t xml:space="preserve">such Incremental Revolving Credit Commitments shall be effected pursuant to one or more Lender Joinder Agreements executed and delivered by the Borrower, the Administrative Agent and the applicable Incremental Lenders (which Lender Joinder Agreement(s)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37" w:lineRule="exact"/>
        <w:rPr>
          <w:rFonts w:ascii="Arial" w:cs="Arial" w:eastAsia="Arial" w:hAnsi="Arial"/>
          <w:sz w:val="22"/>
          <w:szCs w:val="22"/>
          <w:color w:val="auto"/>
        </w:rPr>
      </w:pPr>
    </w:p>
    <w:p>
      <w:pPr>
        <w:jc w:val="both"/>
        <w:ind w:firstLine="656"/>
        <w:spacing w:after="0" w:line="253" w:lineRule="auto"/>
        <w:tabs>
          <w:tab w:leader="none" w:pos="111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existing Lender shall be obligated to participate in any Incremental Revolving Credit Increase, and each Lender’s decision to provide (or not provide) an Incremental Revolving Credit Commitment in any instance shall be made in such Lender’s sole and absolute discretion in each case.</w:t>
      </w:r>
    </w:p>
    <w:p>
      <w:pPr>
        <w:spacing w:after="0" w:line="131" w:lineRule="exact"/>
        <w:rPr>
          <w:rFonts w:ascii="Arial" w:cs="Arial" w:eastAsia="Arial" w:hAnsi="Arial"/>
          <w:sz w:val="22"/>
          <w:szCs w:val="22"/>
          <w:color w:val="auto"/>
        </w:rPr>
      </w:pPr>
    </w:p>
    <w:p>
      <w:pPr>
        <w:ind w:firstLine="656"/>
        <w:spacing w:after="0" w:line="263" w:lineRule="auto"/>
        <w:tabs>
          <w:tab w:leader="none" w:pos="114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On any Increased Amount Date on which any Incremental Revolving Credit Increase becomes effective, subject to the foregoing terms and conditions,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Incremental Lender with an Incremental Revolving Credit Commitment shall become a Lender hereunder.</w:t>
      </w:r>
    </w:p>
    <w:p>
      <w:pPr>
        <w:spacing w:after="0" w:line="1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2.23 </w:t>
      </w:r>
      <w:r>
        <w:rPr>
          <w:rFonts w:ascii="Arial" w:cs="Arial" w:eastAsia="Arial" w:hAnsi="Arial"/>
          <w:sz w:val="19"/>
          <w:szCs w:val="19"/>
          <w:i w:val="1"/>
          <w:iCs w:val="1"/>
          <w:color w:val="auto"/>
        </w:rPr>
        <w:t>Extension</w:t>
      </w:r>
      <w:r>
        <w:rPr>
          <w:rFonts w:ascii="Arial" w:cs="Arial" w:eastAsia="Arial" w:hAnsi="Arial"/>
          <w:sz w:val="19"/>
          <w:szCs w:val="19"/>
          <w:color w:val="auto"/>
        </w:rPr>
        <w:t>. On not more than two occasions following the Closing Date during the term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no more than once in any 12-month period, the Borrower may, by written notice to the Administrative Agent (which shall promptly deliver a copy to each of the Lenders) not less than 30 days and not more than 60 days prior to the proposed effective date of an extension (such date of effectiveness, an “</w:t>
      </w:r>
      <w:r>
        <w:rPr>
          <w:rFonts w:ascii="Arial" w:cs="Arial" w:eastAsia="Arial" w:hAnsi="Arial"/>
          <w:sz w:val="19"/>
          <w:szCs w:val="19"/>
          <w:b w:val="1"/>
          <w:bCs w:val="1"/>
          <w:color w:val="auto"/>
        </w:rPr>
        <w:t>Extension Date</w:t>
      </w:r>
      <w:r>
        <w:rPr>
          <w:rFonts w:ascii="Arial" w:cs="Arial" w:eastAsia="Arial" w:hAnsi="Arial"/>
          <w:sz w:val="19"/>
          <w:szCs w:val="19"/>
          <w:color w:val="auto"/>
        </w:rPr>
        <w:t>”), request that the Lenders extend the Stated Maturity Date and the Commitments for a period of one year from the Stated Maturity Date then in effect hereunder (the then “</w:t>
      </w:r>
      <w:r>
        <w:rPr>
          <w:rFonts w:ascii="Arial" w:cs="Arial" w:eastAsia="Arial" w:hAnsi="Arial"/>
          <w:sz w:val="19"/>
          <w:szCs w:val="19"/>
          <w:b w:val="1"/>
          <w:bCs w:val="1"/>
          <w:color w:val="auto"/>
        </w:rPr>
        <w:t>Existing Stated</w:t>
      </w:r>
      <w:r>
        <w:rPr>
          <w:rFonts w:ascii="Arial" w:cs="Arial" w:eastAsia="Arial" w:hAnsi="Arial"/>
          <w:sz w:val="19"/>
          <w:szCs w:val="19"/>
          <w:color w:val="auto"/>
        </w:rPr>
        <w:t xml:space="preserve"> </w:t>
      </w:r>
      <w:r>
        <w:rPr>
          <w:rFonts w:ascii="Arial" w:cs="Arial" w:eastAsia="Arial" w:hAnsi="Arial"/>
          <w:sz w:val="19"/>
          <w:szCs w:val="19"/>
          <w:b w:val="1"/>
          <w:bCs w:val="1"/>
          <w:color w:val="auto"/>
        </w:rPr>
        <w:t>Maturity Date</w:t>
      </w:r>
      <w:r>
        <w:rPr>
          <w:rFonts w:ascii="Arial" w:cs="Arial" w:eastAsia="Arial" w:hAnsi="Arial"/>
          <w:sz w:val="19"/>
          <w:szCs w:val="19"/>
          <w:color w:val="auto"/>
        </w:rPr>
        <w:t>”). Each Lender shall, by notice to the Borrower and the Administrative Agent, given no later than 15 days (or</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date specified by the Borrower in such written notice delivered pursuant to the immediately preceding sentence or any supplement thereto) after such written notice is delivered to the Administrative Agent, advise the Borrower whether or not it agrees to the requested extension (each Lender agreeing to a requested extension, a “</w:t>
      </w:r>
      <w:r>
        <w:rPr>
          <w:rFonts w:ascii="Arial" w:cs="Arial" w:eastAsia="Arial" w:hAnsi="Arial"/>
          <w:sz w:val="19"/>
          <w:szCs w:val="19"/>
          <w:b w:val="1"/>
          <w:bCs w:val="1"/>
          <w:color w:val="auto"/>
        </w:rPr>
        <w:t>Consenting Lender</w:t>
      </w:r>
      <w:r>
        <w:rPr>
          <w:rFonts w:ascii="Arial" w:cs="Arial" w:eastAsia="Arial" w:hAnsi="Arial"/>
          <w:sz w:val="19"/>
          <w:szCs w:val="19"/>
          <w:color w:val="auto"/>
        </w:rPr>
        <w:t>” and each Lender declining to agree to a requested extension, a “</w:t>
      </w:r>
      <w:r>
        <w:rPr>
          <w:rFonts w:ascii="Arial" w:cs="Arial" w:eastAsia="Arial" w:hAnsi="Arial"/>
          <w:sz w:val="19"/>
          <w:szCs w:val="19"/>
          <w:b w:val="1"/>
          <w:bCs w:val="1"/>
          <w:color w:val="auto"/>
        </w:rPr>
        <w:t>Declining Lender</w:t>
      </w:r>
      <w:r>
        <w:rPr>
          <w:rFonts w:ascii="Arial" w:cs="Arial" w:eastAsia="Arial" w:hAnsi="Arial"/>
          <w:sz w:val="19"/>
          <w:szCs w:val="19"/>
          <w:color w:val="auto"/>
        </w:rPr>
        <w:t>”). Any Lender that has not so advised the Borrower and the Administrative Agent by the applicable deadline shall be deemed to have declined to agree to such extension and shall be a Declining Lender (unless such Lender subsequently agrees to such requested extension and the Borrower elects in its sole discretion to treat such Lender as a Consenting Lender). If Lenders constituting the Required Lenders shall have agreed to any such extension request, then the Stated Maturity Date shall, as to the Consenting Lenders and any Lender replacing a Declining Lender, be extended on the Extension Date to the date that is one year after the then Existing Stated Maturity Date. The decision to agree or withhold agreement to any Stated Maturity Date extension request shall be at the sole discretion of each Lender. The Commitment of any Declining Lender shall terminate on the Existing Stated Maturity Date applicable to such Declining Lender. The principal amount of any outstanding Loans made by Declining Lenders, together with any accrued interest thereon and any accrued fees and other amounts payable to or for the accounts of such Declining Lenders hereunder, shall be due and payable on the Existing Stated Maturity Date applicable to such Declining Lenders, and on the Existing Stated Maturity Date applicable to such Declining Lenders, the Borrower shall also make such other prepayments of Loans as shall be required in order that, after giving effect to the termination of the Commitments of, and all payments to, Declining Lenders pursuant to this sentence, the sum of the Aggregate Outstanding Credit Exposure shall not exceed the Aggregate Commitments. Notwithstanding the foregoing provisions of this paragraph, the Borrower shall have the right, pursuant to and in accordance with the requirements of Section 12.01, at any time prior to any Existing Stated Maturity Date, to cause a Declining Lender to assign its interests, rights and obligations hereunder to a Lender or (subject to the consent of the Administrative Agent (such consent not to be unreasonably withheld, conditioned or delayed), solely to the extent such consent would be required for an assignment pursuant to Section 12.01) other Eligible Assignee that agrees to a request for the extension of the Existing Stated Maturity Date, and any such assignee shall for all purposes constitute a Consenting Lender. Notwithstanding the foregoing, no extension of the Stated Maturity Date pursuant to this paragraph shall become effective unless (i) on the applicable Extension Date, no Unmatured Default or Default has occurred and is continuing, (ii) each of the representations and warranties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266" w:name="page267"/>
    <w:bookmarkEnd w:id="266"/>
    <w:p>
      <w:pPr>
        <w:jc w:val="both"/>
        <w:spacing w:after="0" w:line="258" w:lineRule="auto"/>
        <w:rPr>
          <w:sz w:val="20"/>
          <w:szCs w:val="20"/>
          <w:color w:val="auto"/>
        </w:rPr>
      </w:pPr>
      <w:r>
        <w:rPr>
          <w:rFonts w:ascii="Arial" w:cs="Arial" w:eastAsia="Arial" w:hAnsi="Arial"/>
          <w:sz w:val="21"/>
          <w:szCs w:val="21"/>
          <w:color w:val="auto"/>
        </w:rPr>
        <w:t xml:space="preserve">forth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of this Agreement is true and correct in all material respects (except to the extent such representations and warranties are qualified with “materiality” or “Material Adverse Effect” or similar terms, in which case such representations and warranties are true and correct in all respects) as of such Extension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have been true and correct in all respects) on and as of such earlier date, (iii) the remaining maturity of the Commitments, after giving effect to such extension, does not exceed five years from the applicable Extension Date and (iv) the Administrative Agent shall have received an officer’s certificate, signed by an Authorized Officer of the Borrower, certifying that the foregoing conditions (i) and (ii) are satisfied as of the applicable Extension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w:t>
      </w:r>
      <w:r>
        <w:rPr>
          <w:rFonts w:ascii="Arial" w:cs="Arial" w:eastAsia="Arial" w:hAnsi="Arial"/>
          <w:sz w:val="17"/>
          <w:szCs w:val="17"/>
          <w:color w:val="auto"/>
        </w:rPr>
        <w:t>IELD</w:t>
      </w:r>
      <w:r>
        <w:rPr>
          <w:rFonts w:ascii="Arial" w:cs="Arial" w:eastAsia="Arial" w:hAnsi="Arial"/>
          <w:sz w:val="22"/>
          <w:szCs w:val="22"/>
          <w:color w:val="auto"/>
        </w:rPr>
        <w:t xml:space="preserve"> P</w:t>
      </w:r>
      <w:r>
        <w:rPr>
          <w:rFonts w:ascii="Arial" w:cs="Arial" w:eastAsia="Arial" w:hAnsi="Arial"/>
          <w:sz w:val="17"/>
          <w:szCs w:val="17"/>
          <w:color w:val="auto"/>
        </w:rPr>
        <w:t>ROTECTION</w:t>
      </w:r>
      <w:r>
        <w:rPr>
          <w:rFonts w:ascii="Arial" w:cs="Arial" w:eastAsia="Arial" w:hAnsi="Arial"/>
          <w:sz w:val="22"/>
          <w:szCs w:val="22"/>
          <w:color w:val="auto"/>
        </w:rPr>
        <w:t>; T</w:t>
      </w:r>
      <w:r>
        <w:rPr>
          <w:rFonts w:ascii="Arial" w:cs="Arial" w:eastAsia="Arial" w:hAnsi="Arial"/>
          <w:sz w:val="17"/>
          <w:szCs w:val="17"/>
          <w:color w:val="auto"/>
        </w:rPr>
        <w:t>AXES</w:t>
      </w:r>
    </w:p>
    <w:p>
      <w:pPr>
        <w:spacing w:after="0" w:line="14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i w:val="1"/>
          <w:iCs w:val="1"/>
          <w:color w:val="auto"/>
        </w:rPr>
        <w:t>Yield Protection</w:t>
      </w:r>
      <w:r>
        <w:rPr>
          <w:rFonts w:ascii="Arial" w:cs="Arial" w:eastAsia="Arial" w:hAnsi="Arial"/>
          <w:sz w:val="19"/>
          <w:szCs w:val="19"/>
          <w:color w:val="auto"/>
        </w:rPr>
        <w:t>. If, on or after the date of this Agreement, any Change in Law:</w:t>
      </w:r>
    </w:p>
    <w:p>
      <w:pPr>
        <w:spacing w:after="0" w:line="172" w:lineRule="exact"/>
        <w:rPr>
          <w:sz w:val="20"/>
          <w:szCs w:val="20"/>
          <w:color w:val="auto"/>
        </w:rPr>
      </w:pPr>
    </w:p>
    <w:p>
      <w:pPr>
        <w:jc w:val="both"/>
        <w:ind w:left="660" w:firstLine="644"/>
        <w:spacing w:after="0" w:line="312" w:lineRule="auto"/>
        <w:tabs>
          <w:tab w:leader="none" w:pos="181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imposes, modifies or deems applicable any reserve, special deposit, compulsory loan, insurance charge or similar requirement against assets of, deposits with or for the account of, or credit extended or participated in by, any Lender (except any reserve requirement reflected in the Eurocurrency Rate) or any Issuing Lender;</w:t>
      </w:r>
    </w:p>
    <w:p>
      <w:pPr>
        <w:spacing w:after="0" w:line="79" w:lineRule="exact"/>
        <w:rPr>
          <w:rFonts w:ascii="Arial" w:cs="Arial" w:eastAsia="Arial" w:hAnsi="Arial"/>
          <w:sz w:val="19"/>
          <w:szCs w:val="19"/>
          <w:color w:val="auto"/>
        </w:rPr>
      </w:pPr>
    </w:p>
    <w:p>
      <w:pPr>
        <w:jc w:val="both"/>
        <w:ind w:left="660" w:firstLine="644"/>
        <w:spacing w:after="0" w:line="271" w:lineRule="auto"/>
        <w:tabs>
          <w:tab w:leader="none" w:pos="1829"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subjects any Lender or Issuing Lender to any Tax of any kind whatsoever (except for Indemnified Taxes or Other Taxes covered by </w:t>
      </w:r>
      <w:r>
        <w:rPr>
          <w:rFonts w:ascii="Arial" w:cs="Arial" w:eastAsia="Arial" w:hAnsi="Arial"/>
          <w:sz w:val="21"/>
          <w:szCs w:val="21"/>
          <w:u w:val="single" w:color="auto"/>
          <w:color w:val="auto"/>
        </w:rPr>
        <w:t>Section 3.05</w:t>
      </w:r>
      <w:r>
        <w:rPr>
          <w:rFonts w:ascii="Arial" w:cs="Arial" w:eastAsia="Arial" w:hAnsi="Arial"/>
          <w:sz w:val="21"/>
          <w:szCs w:val="21"/>
          <w:color w:val="auto"/>
        </w:rPr>
        <w:t xml:space="preserve"> and Excluded Taxes) on its loans, loan principal, letters of credit, commitments, or other obligations, or its deposits, reserves, other liabilities or capital attributable thereto; or</w:t>
      </w:r>
    </w:p>
    <w:p>
      <w:pPr>
        <w:spacing w:after="0" w:line="113" w:lineRule="exact"/>
        <w:rPr>
          <w:rFonts w:ascii="Arial" w:cs="Arial" w:eastAsia="Arial" w:hAnsi="Arial"/>
          <w:sz w:val="21"/>
          <w:szCs w:val="21"/>
          <w:color w:val="auto"/>
        </w:rPr>
      </w:pPr>
    </w:p>
    <w:p>
      <w:pPr>
        <w:jc w:val="both"/>
        <w:ind w:left="660" w:firstLine="644"/>
        <w:spacing w:after="0" w:line="253" w:lineRule="auto"/>
        <w:tabs>
          <w:tab w:leader="none" w:pos="193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imposes on any Lender or any Issuing Lender the London interbank market any other condition, cost or expense affecting this Agreement or Eurocurrency Loans made by such Lender or any Letter of Credit or participation therein;</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and the result of any of the foregoing shall be to increase the cost to such Lender of making, continuing, converting to or maintaining any Eurocurrency Loans (or, in the case of a Change in Law with respect to Taxes, any Loan) or of maintaining its obligation to make any such Loan, or to increase the cost to such Lender or Issuing Lender of participating in, issuing or maintaining any Letter of Credit (or of maintaining its obligation to participate in or to issue any Letter of Credit), or to reduce the amount of any sum received or receivable by such Lender or Issuing Lender hereunder (whether of principal, interest or any other amount) then, upon request of such Lender or Issuing Lender, the Borrower shall pay to such Lender or Issuing Lender, as the case may be, such additional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267" w:name="page268"/>
    <w:bookmarkEnd w:id="267"/>
    <w:p>
      <w:pPr>
        <w:jc w:val="both"/>
        <w:spacing w:after="0" w:line="263" w:lineRule="auto"/>
        <w:rPr>
          <w:sz w:val="20"/>
          <w:szCs w:val="20"/>
          <w:color w:val="auto"/>
        </w:rPr>
      </w:pPr>
      <w:r>
        <w:rPr>
          <w:rFonts w:ascii="Arial" w:cs="Arial" w:eastAsia="Arial" w:hAnsi="Arial"/>
          <w:sz w:val="21"/>
          <w:szCs w:val="21"/>
          <w:color w:val="auto"/>
        </w:rPr>
        <w:t xml:space="preserve">amounts as will compensate such Lender or Issuing Lender, as the case may be, for such additional costs incurred or reduction suffered. Notwithstanding the foregoing, no Lender or Issuing Lender shall be entitled to seek compensation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3.01</w:t>
      </w:r>
      <w:r>
        <w:rPr>
          <w:rFonts w:ascii="Arial" w:cs="Arial" w:eastAsia="Arial" w:hAnsi="Arial"/>
          <w:sz w:val="21"/>
          <w:szCs w:val="21"/>
          <w:color w:val="auto"/>
        </w:rPr>
        <w:t xml:space="preserve"> unless such Lender or Issuing Lender is generally seeking compensation from other borrowers that are similarly situated to and of similar creditworthiness with respect to its similarly affected commitments, loans and/or participations under agreements with such borrowers having provisions similar to this </w:t>
      </w:r>
      <w:r>
        <w:rPr>
          <w:rFonts w:ascii="Arial" w:cs="Arial" w:eastAsia="Arial" w:hAnsi="Arial"/>
          <w:sz w:val="21"/>
          <w:szCs w:val="21"/>
          <w:u w:val="single" w:color="auto"/>
          <w:color w:val="auto"/>
        </w:rPr>
        <w:t>Section 3.01</w:t>
      </w:r>
      <w:r>
        <w:rPr>
          <w:rFonts w:ascii="Arial" w:cs="Arial" w:eastAsia="Arial" w:hAnsi="Arial"/>
          <w:sz w:val="21"/>
          <w:szCs w:val="21"/>
          <w:color w:val="auto"/>
        </w:rPr>
        <w:t>.</w:t>
      </w:r>
    </w:p>
    <w:p>
      <w:pPr>
        <w:spacing w:after="0" w:line="1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i w:val="1"/>
          <w:iCs w:val="1"/>
          <w:color w:val="auto"/>
        </w:rPr>
        <w:t>Changes in Capital Adequacy Regulations; Certificates for Reimbursement; Delay in Requests.</w:t>
      </w:r>
    </w:p>
    <w:p>
      <w:pPr>
        <w:spacing w:after="0" w:line="172" w:lineRule="exact"/>
        <w:rPr>
          <w:sz w:val="20"/>
          <w:szCs w:val="20"/>
          <w:color w:val="auto"/>
        </w:rPr>
      </w:pPr>
    </w:p>
    <w:p>
      <w:pPr>
        <w:jc w:val="both"/>
        <w:ind w:firstLine="656"/>
        <w:spacing w:after="0" w:line="286" w:lineRule="auto"/>
        <w:tabs>
          <w:tab w:leader="none" w:pos="1117" w:val="left"/>
        </w:tabs>
        <w:numPr>
          <w:ilvl w:val="0"/>
          <w:numId w:val="205"/>
        </w:numPr>
        <w:rPr>
          <w:rFonts w:ascii="Arial" w:cs="Arial" w:eastAsia="Arial" w:hAnsi="Arial"/>
          <w:sz w:val="19"/>
          <w:szCs w:val="19"/>
          <w:color w:val="auto"/>
        </w:rPr>
      </w:pPr>
      <w:r>
        <w:rPr>
          <w:rFonts w:ascii="Arial" w:cs="Arial" w:eastAsia="Arial" w:hAnsi="Arial"/>
          <w:sz w:val="19"/>
          <w:szCs w:val="19"/>
          <w:i w:val="1"/>
          <w:iCs w:val="1"/>
          <w:color w:val="auto"/>
        </w:rPr>
        <w:t>Changes in Capital Adequacy</w:t>
      </w:r>
      <w:r>
        <w:rPr>
          <w:rFonts w:ascii="Arial" w:cs="Arial" w:eastAsia="Arial" w:hAnsi="Arial"/>
          <w:sz w:val="19"/>
          <w:szCs w:val="19"/>
          <w:color w:val="auto"/>
        </w:rPr>
        <w:t>. If any Lender or Issuing Lender determines that any Change in Law after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this Agreement affecting such Lender or Issuing Lender or any Lending Installation of such Lender or Issuing Lender or such Lender’s or Issuing Lender’s holding company, if any, regarding capital or liquidity requirements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as will compensate such Lender or Issuing Lender such Lender’s or Issuing Lender’s holding company for any such reduction suffered. Notwithstanding the foregoing, no Lender or Issuing Lender shall be entitled to seek compensation under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unless such Lender or Issuing Lender is generally seeking compensation from other borrowers that are similarly situated to and of similar creditworthiness with respect to its similarly affected commitments, loans and/or participations under agreements with such borrowers having provisions similar to this </w:t>
      </w:r>
      <w:r>
        <w:rPr>
          <w:rFonts w:ascii="Arial" w:cs="Arial" w:eastAsia="Arial" w:hAnsi="Arial"/>
          <w:sz w:val="19"/>
          <w:szCs w:val="19"/>
          <w:u w:val="single" w:color="auto"/>
          <w:color w:val="auto"/>
        </w:rPr>
        <w:t>Section 3.02</w:t>
      </w:r>
      <w:r>
        <w:rPr>
          <w:rFonts w:ascii="Arial" w:cs="Arial" w:eastAsia="Arial" w:hAnsi="Arial"/>
          <w:sz w:val="19"/>
          <w:szCs w:val="19"/>
          <w:color w:val="auto"/>
        </w:rPr>
        <w:t>.</w:t>
      </w:r>
    </w:p>
    <w:p>
      <w:pPr>
        <w:spacing w:after="0" w:line="364" w:lineRule="exact"/>
        <w:rPr>
          <w:rFonts w:ascii="Arial" w:cs="Arial" w:eastAsia="Arial" w:hAnsi="Arial"/>
          <w:sz w:val="19"/>
          <w:szCs w:val="19"/>
          <w:color w:val="auto"/>
        </w:rPr>
      </w:pPr>
    </w:p>
    <w:p>
      <w:pPr>
        <w:jc w:val="both"/>
        <w:ind w:firstLine="656"/>
        <w:spacing w:after="0" w:line="248" w:lineRule="auto"/>
        <w:tabs>
          <w:tab w:leader="none" w:pos="1143"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Certificates for Reimbursement</w:t>
      </w:r>
      <w:r>
        <w:rPr>
          <w:rFonts w:ascii="Arial" w:cs="Arial" w:eastAsia="Arial" w:hAnsi="Arial"/>
          <w:sz w:val="22"/>
          <w:szCs w:val="22"/>
          <w:color w:val="auto"/>
        </w:rPr>
        <w:t>. A certificate of a Lender or an Issuing Lender setting forth the amount or amounts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necessary to compensate such Lender, such Issuing Lender or their respective holding companies, as the case may be, as specified in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subsection (a) of this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and delivered to the Borrower shall be conclusive absent manifest error. The Borrower shall pay to such Lender or Issuing Lender, as the case may be, the amount shown as due on any such certificate within fifteen (15) days after receipt thereof.</w:t>
      </w:r>
    </w:p>
    <w:p>
      <w:pPr>
        <w:spacing w:after="0" w:line="137" w:lineRule="exact"/>
        <w:rPr>
          <w:rFonts w:ascii="Arial" w:cs="Arial" w:eastAsia="Arial" w:hAnsi="Arial"/>
          <w:sz w:val="22"/>
          <w:szCs w:val="22"/>
          <w:color w:val="auto"/>
        </w:rPr>
      </w:pPr>
    </w:p>
    <w:p>
      <w:pPr>
        <w:jc w:val="both"/>
        <w:ind w:firstLine="656"/>
        <w:spacing w:after="0" w:line="302" w:lineRule="auto"/>
        <w:tabs>
          <w:tab w:leader="none" w:pos="1104" w:val="left"/>
        </w:tabs>
        <w:numPr>
          <w:ilvl w:val="0"/>
          <w:numId w:val="205"/>
        </w:numPr>
        <w:rPr>
          <w:rFonts w:ascii="Arial" w:cs="Arial" w:eastAsia="Arial" w:hAnsi="Arial"/>
          <w:sz w:val="19"/>
          <w:szCs w:val="19"/>
          <w:color w:val="auto"/>
        </w:rPr>
      </w:pPr>
      <w:r>
        <w:rPr>
          <w:rFonts w:ascii="Arial" w:cs="Arial" w:eastAsia="Arial" w:hAnsi="Arial"/>
          <w:sz w:val="19"/>
          <w:szCs w:val="19"/>
          <w:i w:val="1"/>
          <w:iCs w:val="1"/>
          <w:color w:val="auto"/>
        </w:rPr>
        <w:t>Delay in Requests</w:t>
      </w:r>
      <w:r>
        <w:rPr>
          <w:rFonts w:ascii="Arial" w:cs="Arial" w:eastAsia="Arial" w:hAnsi="Arial"/>
          <w:sz w:val="19"/>
          <w:szCs w:val="19"/>
          <w:color w:val="auto"/>
        </w:rPr>
        <w:t>. Failure or delay on the part of any Lender or Issuing Lender to demand compensation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foregoing provisions of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shall not constitute a waiver of such Lender’s or Issuing Lender’s right to demand such compensation, provided that the Borrower shall not be required to compensate a Lender or Issuing Lender, as the case may be, pursuant to the foregoing provisions of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for any increased costs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268" w:name="page269"/>
    <w:bookmarkEnd w:id="268"/>
    <w:p>
      <w:pPr>
        <w:jc w:val="both"/>
        <w:spacing w:after="0" w:line="302" w:lineRule="auto"/>
        <w:rPr>
          <w:sz w:val="20"/>
          <w:szCs w:val="20"/>
          <w:color w:val="auto"/>
        </w:rPr>
      </w:pPr>
      <w:r>
        <w:rPr>
          <w:rFonts w:ascii="Arial" w:cs="Arial" w:eastAsia="Arial" w:hAnsi="Arial"/>
          <w:sz w:val="19"/>
          <w:szCs w:val="19"/>
          <w:color w:val="auto"/>
        </w:rPr>
        <w:t>reductions suffered more than nine months prior to the date that such Lender or Issuing Lender notifies the Borrower of the Change in Law giving rise to such increased costs or reductions and of such Lender’s or Issuing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88" w:lineRule="exact"/>
        <w:rPr>
          <w:sz w:val="20"/>
          <w:szCs w:val="20"/>
          <w:color w:val="auto"/>
        </w:rPr>
      </w:pPr>
    </w:p>
    <w:p>
      <w:pPr>
        <w:jc w:val="both"/>
        <w:ind w:firstLine="656"/>
        <w:spacing w:after="0" w:line="286" w:lineRule="auto"/>
        <w:tabs>
          <w:tab w:leader="none" w:pos="1143" w:val="left"/>
        </w:tabs>
        <w:numPr>
          <w:ilvl w:val="0"/>
          <w:numId w:val="206"/>
        </w:numPr>
        <w:rPr>
          <w:rFonts w:ascii="Arial" w:cs="Arial" w:eastAsia="Arial" w:hAnsi="Arial"/>
          <w:sz w:val="19"/>
          <w:szCs w:val="19"/>
          <w:color w:val="auto"/>
        </w:rPr>
      </w:pPr>
      <w:r>
        <w:rPr>
          <w:rFonts w:ascii="Arial" w:cs="Arial" w:eastAsia="Arial" w:hAnsi="Arial"/>
          <w:sz w:val="19"/>
          <w:szCs w:val="19"/>
          <w:i w:val="1"/>
          <w:iCs w:val="1"/>
          <w:color w:val="auto"/>
        </w:rPr>
        <w:t>Additional Reserve Requirements</w:t>
      </w:r>
      <w:r>
        <w:rPr>
          <w:rFonts w:ascii="Arial" w:cs="Arial" w:eastAsia="Arial" w:hAnsi="Arial"/>
          <w:sz w:val="19"/>
          <w:szCs w:val="19"/>
          <w:color w:val="auto"/>
        </w:rPr>
        <w:t>. The Borrower shall pay to each Lender, as long as such Lender shall be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comply with any reserve ratio requirement or analogous requirement of any central banking or financial regulatory authority imposed in respect of the maintenance of the Commitments or the funding of the Loans denominated in a Foreign Currency,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shall be due and payable on each date on which interest is payable on such Loan, provided the Borrower shall have received at least thirty (30) days’ prior notice (with a copy to the Administrative Agent) of such additional costs from such Lender. Such Lender shall deliver a certificate to the Borrower setting forth in reasonable detail a calculation of such actual costs incurred by such Lender and shall certify that it is generally charging such costs to similarly situated customers of similar creditworthiness of the applicable Lender under agreements having provisions similar to this </w:t>
      </w:r>
      <w:r>
        <w:rPr>
          <w:rFonts w:ascii="Arial" w:cs="Arial" w:eastAsia="Arial" w:hAnsi="Arial"/>
          <w:sz w:val="19"/>
          <w:szCs w:val="19"/>
          <w:u w:val="single" w:color="auto"/>
          <w:color w:val="auto"/>
        </w:rPr>
        <w:t>Section 3.02(d)</w:t>
      </w:r>
      <w:r>
        <w:rPr>
          <w:rFonts w:ascii="Arial" w:cs="Arial" w:eastAsia="Arial" w:hAnsi="Arial"/>
          <w:sz w:val="19"/>
          <w:szCs w:val="19"/>
          <w:color w:val="auto"/>
        </w:rPr>
        <w:t xml:space="preserve"> If a Lender fails to give notice thirty (30) days prior to the relevant interest payment date, such additional costs shall be due and payable thirty (30) days from receipt of such notice. For the avoidance of doubt, any amounts paid under this </w:t>
      </w:r>
      <w:r>
        <w:rPr>
          <w:rFonts w:ascii="Arial" w:cs="Arial" w:eastAsia="Arial" w:hAnsi="Arial"/>
          <w:sz w:val="19"/>
          <w:szCs w:val="19"/>
          <w:u w:val="single" w:color="auto"/>
          <w:color w:val="auto"/>
        </w:rPr>
        <w:t>Section 3.02(d)</w:t>
      </w:r>
      <w:r>
        <w:rPr>
          <w:rFonts w:ascii="Arial" w:cs="Arial" w:eastAsia="Arial" w:hAnsi="Arial"/>
          <w:sz w:val="19"/>
          <w:szCs w:val="19"/>
          <w:color w:val="auto"/>
        </w:rPr>
        <w:t xml:space="preserve"> shall be without duplication of eurocurrency adjustments in the definition of “Eurocurrency Rate”.</w:t>
      </w:r>
    </w:p>
    <w:p>
      <w:pPr>
        <w:spacing w:after="0" w:line="1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3.03 </w:t>
      </w:r>
      <w:r>
        <w:rPr>
          <w:rFonts w:ascii="Arial" w:cs="Arial" w:eastAsia="Arial" w:hAnsi="Arial"/>
          <w:sz w:val="19"/>
          <w:szCs w:val="19"/>
          <w:i w:val="1"/>
          <w:iCs w:val="1"/>
          <w:color w:val="auto"/>
        </w:rPr>
        <w:t>Illegality</w:t>
      </w:r>
      <w:r>
        <w:rPr>
          <w:rFonts w:ascii="Arial" w:cs="Arial" w:eastAsia="Arial" w:hAnsi="Arial"/>
          <w:sz w:val="19"/>
          <w:szCs w:val="19"/>
          <w:color w:val="auto"/>
        </w:rPr>
        <w:t>. If any Lender determines that any law has made it unlawful, or that any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has asserted that it is unlawful, for the Administrative Agent or any Lender or its applicable Lending Installation to make, maintain or fund Eurocurrency Loans, or to determine or charge interest rates based upon the Eurocurrency Rate, or any Governmental Authority has imposed material restrictions on the authority of such Lender to purchase or sell, or to take deposits of, Dollars or any Foreign Currency in the London interbank market, then, on notice thereof by such Lender to the Borrower through the Administrative Agent, any obligation of such Lender to make or continue Eurocurrency Loans or to convert Alternate Base Rate Loans to Eurocurrency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and such Revolving Loans are denominated in Dollars, convert all Eurocurrency Loans of such Lender to Alternate Base Rate Loans, either on the last day of the Interest Period therefor, if such Lender may lawfully continue to maintain such Eurocurrency Loans to such day, or immediately, if such Lender may not lawfully continue to maintain such Eurocurrency Loans. Upon any such prepayment or conversion, the Borrower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269" w:name="page270"/>
    <w:bookmarkEnd w:id="269"/>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3.04 </w:t>
      </w:r>
      <w:r>
        <w:rPr>
          <w:rFonts w:ascii="Arial" w:cs="Arial" w:eastAsia="Arial" w:hAnsi="Arial"/>
          <w:sz w:val="22"/>
          <w:szCs w:val="22"/>
          <w:i w:val="1"/>
          <w:iCs w:val="1"/>
          <w:color w:val="auto"/>
        </w:rPr>
        <w:t>Compensation for Losses</w:t>
      </w:r>
      <w:r>
        <w:rPr>
          <w:rFonts w:ascii="Arial" w:cs="Arial" w:eastAsia="Arial" w:hAnsi="Arial"/>
          <w:sz w:val="22"/>
          <w:szCs w:val="22"/>
          <w:color w:val="auto"/>
        </w:rPr>
        <w:t>. Upon demand of any Lender or, with respect to clause (c) below, any Issuing</w:t>
      </w:r>
      <w:r>
        <w:rPr>
          <w:rFonts w:ascii="Arial" w:cs="Arial" w:eastAsia="Arial" w:hAnsi="Arial"/>
          <w:sz w:val="22"/>
          <w:szCs w:val="22"/>
          <w:b w:val="1"/>
          <w:bCs w:val="1"/>
          <w:color w:val="auto"/>
        </w:rPr>
        <w:t xml:space="preserve"> </w:t>
      </w:r>
      <w:r>
        <w:rPr>
          <w:rFonts w:ascii="Arial" w:cs="Arial" w:eastAsia="Arial" w:hAnsi="Arial"/>
          <w:sz w:val="22"/>
          <w:szCs w:val="22"/>
          <w:color w:val="auto"/>
        </w:rPr>
        <w:t>Lender, the Borrower shall promptly compensate such Lender or such Issuing Lender for and hold such Lender or such Issuing Lender harmless from any loss, cost or expense incurred by it as a result of:</w:t>
      </w:r>
    </w:p>
    <w:p>
      <w:pPr>
        <w:spacing w:after="0" w:line="128" w:lineRule="exact"/>
        <w:rPr>
          <w:sz w:val="20"/>
          <w:szCs w:val="20"/>
          <w:color w:val="auto"/>
        </w:rPr>
      </w:pPr>
    </w:p>
    <w:p>
      <w:pPr>
        <w:jc w:val="both"/>
        <w:ind w:firstLine="656"/>
        <w:spacing w:after="0" w:line="250" w:lineRule="auto"/>
        <w:tabs>
          <w:tab w:leader="none" w:pos="112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any continuation, conversion, payment or prepayment of any Loan other than an Alternate Base Rate Loan on a day other than the last day of the Interest Period for such Loan or other than upon at least three (3) Business Days’ prior notice to the Administrative Agent (whether voluntary, mandatory, automatic, by reason of acceleration, or otherwise, but excluding any prepayment or conversion required pursuant to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ind w:firstLine="656"/>
        <w:spacing w:after="0" w:line="343" w:lineRule="auto"/>
        <w:tabs>
          <w:tab w:leader="none" w:pos="115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an Alternate Base Rate Loan on the date or in the amount notified by the Borrower; or</w:t>
      </w:r>
    </w:p>
    <w:p>
      <w:pPr>
        <w:spacing w:after="0" w:line="50" w:lineRule="exact"/>
        <w:rPr>
          <w:rFonts w:ascii="Arial" w:cs="Arial" w:eastAsia="Arial" w:hAnsi="Arial"/>
          <w:sz w:val="19"/>
          <w:szCs w:val="19"/>
          <w:color w:val="auto"/>
        </w:rPr>
      </w:pPr>
    </w:p>
    <w:p>
      <w:pPr>
        <w:jc w:val="both"/>
        <w:ind w:firstLine="656"/>
        <w:spacing w:after="0" w:line="253" w:lineRule="auto"/>
        <w:tabs>
          <w:tab w:leader="none" w:pos="1193"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any failure by the Borrower to make payment of any Revolving Loan or drawing under any Letter of Credit (or interest due thereon) denominated in a Foreign Currency or Additional L/C Currency on its scheduled due date or any payment thereof in a different currency; or</w:t>
      </w:r>
    </w:p>
    <w:p>
      <w:pPr>
        <w:spacing w:after="0" w:line="131" w:lineRule="exact"/>
        <w:rPr>
          <w:rFonts w:ascii="Arial" w:cs="Arial" w:eastAsia="Arial" w:hAnsi="Arial"/>
          <w:sz w:val="22"/>
          <w:szCs w:val="22"/>
          <w:color w:val="auto"/>
        </w:rPr>
      </w:pPr>
    </w:p>
    <w:p>
      <w:pPr>
        <w:ind w:firstLine="656"/>
        <w:spacing w:after="0" w:line="263" w:lineRule="auto"/>
        <w:tabs>
          <w:tab w:leader="none" w:pos="111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any assignment of a Eurocurrency Loan on a day other than the last day of the Interest Period therefor as a result of a request by the Borrower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including any foreign exchange losses and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3.04</w:t>
      </w:r>
      <w:r>
        <w:rPr>
          <w:rFonts w:ascii="Arial" w:cs="Arial" w:eastAsia="Arial" w:hAnsi="Arial"/>
          <w:sz w:val="22"/>
          <w:szCs w:val="22"/>
          <w:color w:val="auto"/>
        </w:rPr>
        <w:t>, each Lender shall be deemed to have funded each Eurocurrency Loan made by it at the Eurocurrency Rate for such Loan by a matching deposit or other borrowing in the London interbank eurodollar market for such currency and for a comparable amount and for a comparable period, whether or not such Eurocurrency Loan was in fact so funded.</w:t>
      </w:r>
    </w:p>
    <w:p>
      <w:pPr>
        <w:spacing w:after="0" w:line="12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17"/>
          <w:szCs w:val="17"/>
          <w:i w:val="1"/>
          <w:iCs w:val="1"/>
          <w:color w:val="auto"/>
        </w:rPr>
        <w:t>Taxes</w:t>
      </w:r>
      <w:r>
        <w:rPr>
          <w:rFonts w:ascii="Arial" w:cs="Arial" w:eastAsia="Arial" w:hAnsi="Arial"/>
          <w:sz w:val="17"/>
          <w:szCs w:val="17"/>
          <w:color w:val="auto"/>
        </w:rPr>
        <w:t>.</w:t>
      </w:r>
    </w:p>
    <w:p>
      <w:pPr>
        <w:spacing w:after="0" w:line="172" w:lineRule="exact"/>
        <w:rPr>
          <w:sz w:val="20"/>
          <w:szCs w:val="20"/>
          <w:color w:val="auto"/>
        </w:rPr>
      </w:pPr>
    </w:p>
    <w:p>
      <w:pPr>
        <w:ind w:left="1120" w:hanging="464"/>
        <w:spacing w:after="0"/>
        <w:tabs>
          <w:tab w:leader="none" w:pos="1120" w:val="left"/>
        </w:tabs>
        <w:numPr>
          <w:ilvl w:val="0"/>
          <w:numId w:val="208"/>
        </w:numPr>
        <w:rPr>
          <w:rFonts w:ascii="Arial" w:cs="Arial" w:eastAsia="Arial" w:hAnsi="Arial"/>
          <w:sz w:val="22"/>
          <w:szCs w:val="22"/>
          <w:color w:val="auto"/>
        </w:rPr>
      </w:pPr>
      <w:r>
        <w:rPr>
          <w:rFonts w:ascii="Arial" w:cs="Arial" w:eastAsia="Arial" w:hAnsi="Arial"/>
          <w:sz w:val="22"/>
          <w:szCs w:val="22"/>
          <w:i w:val="1"/>
          <w:iCs w:val="1"/>
          <w:color w:val="auto"/>
        </w:rPr>
        <w:t>Payments Free of Taxes; Obligation to Withhold; Payments on Account of Taxes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644"/>
        <w:spacing w:after="0" w:line="302" w:lineRule="auto"/>
        <w:tabs>
          <w:tab w:leader="none" w:pos="1735" w:val="left"/>
        </w:tabs>
        <w:numPr>
          <w:ilvl w:val="1"/>
          <w:numId w:val="208"/>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such Tax, such Tax shall be withheld or deducted in accordance with such laws as determined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2" w:right="339" w:bottom="1440" w:gutter="0" w:footer="0" w:header="0"/>
        </w:sectPr>
      </w:pPr>
    </w:p>
    <w:bookmarkStart w:id="270" w:name="page271"/>
    <w:bookmarkEnd w:id="270"/>
    <w:p>
      <w:pPr>
        <w:ind w:left="660" w:right="20"/>
        <w:spacing w:after="0" w:line="263" w:lineRule="auto"/>
        <w:rPr>
          <w:sz w:val="20"/>
          <w:szCs w:val="20"/>
          <w:color w:val="auto"/>
        </w:rPr>
      </w:pPr>
      <w:r>
        <w:rPr>
          <w:rFonts w:ascii="Arial" w:cs="Arial" w:eastAsia="Arial" w:hAnsi="Arial"/>
          <w:sz w:val="22"/>
          <w:szCs w:val="22"/>
          <w:color w:val="auto"/>
        </w:rPr>
        <w:t>or the Administrative Agent, as the case may be, upon the basis of the information and documentation to be delivered pursuant to subsection (e) below.</w:t>
      </w:r>
    </w:p>
    <w:p>
      <w:pPr>
        <w:spacing w:after="0" w:line="121" w:lineRule="exact"/>
        <w:rPr>
          <w:sz w:val="20"/>
          <w:szCs w:val="20"/>
          <w:color w:val="auto"/>
        </w:rPr>
      </w:pPr>
    </w:p>
    <w:p>
      <w:pPr>
        <w:jc w:val="both"/>
        <w:ind w:left="660" w:firstLine="644"/>
        <w:spacing w:after="0" w:line="286" w:lineRule="auto"/>
        <w:tabs>
          <w:tab w:leader="none" w:pos="1842"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If the Borrower or the Administrative Agent shall be required by applicable law to withhold or deduct any Taxes from any payment under any Loan Document, then (A) the Borrower or the Administrative Agent, as applicable, shall withhold or make such deductions as are determined by the Borrower or the Administrative Agent, as applicable, to be required based upon the information and documentation it, or the applicable taxing authority, has received pursuant to subsection (e) below (for the avoidance of doubt, in the case of any such information and documentation received by an applicable taxing authority, solely to the extent the Borrower or the Administrative Agent has been provided with a copy of such information and documentation or otherwise has actual knowledge of such information and documentation and, in each case, is entitled to rely thereon), (B) the Borrower or the Administrative Agent, as applicable, shall timely pay the full amount withheld or deducted to the relevant Governmental Authority in accordance with applicable law,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the Administrative Agent or any Lender or Issuing Lender receives an amount equal to the sum it would have received had no such withholding or deduction been made.</w:t>
      </w:r>
    </w:p>
    <w:p>
      <w:pPr>
        <w:spacing w:after="0" w:line="368" w:lineRule="exact"/>
        <w:rPr>
          <w:rFonts w:ascii="Arial" w:cs="Arial" w:eastAsia="Arial" w:hAnsi="Arial"/>
          <w:sz w:val="19"/>
          <w:szCs w:val="19"/>
          <w:color w:val="auto"/>
        </w:rPr>
      </w:pPr>
    </w:p>
    <w:p>
      <w:pPr>
        <w:ind w:firstLine="656"/>
        <w:spacing w:after="0" w:line="263" w:lineRule="auto"/>
        <w:tabs>
          <w:tab w:leader="none" w:pos="1129" w:val="left"/>
        </w:tabs>
        <w:numPr>
          <w:ilvl w:val="0"/>
          <w:numId w:val="210"/>
        </w:numPr>
        <w:rPr>
          <w:rFonts w:ascii="Arial" w:cs="Arial" w:eastAsia="Arial" w:hAnsi="Arial"/>
          <w:sz w:val="22"/>
          <w:szCs w:val="22"/>
          <w:color w:val="auto"/>
        </w:rPr>
      </w:pPr>
      <w:r>
        <w:rPr>
          <w:rFonts w:ascii="Arial" w:cs="Arial" w:eastAsia="Arial" w:hAnsi="Arial"/>
          <w:sz w:val="22"/>
          <w:szCs w:val="22"/>
          <w:i w:val="1"/>
          <w:iCs w:val="1"/>
          <w:color w:val="auto"/>
        </w:rPr>
        <w:t>Payment of Other Taxes</w:t>
      </w:r>
      <w:r>
        <w:rPr>
          <w:rFonts w:ascii="Arial" w:cs="Arial" w:eastAsia="Arial" w:hAnsi="Arial"/>
          <w:sz w:val="22"/>
          <w:szCs w:val="22"/>
          <w:color w:val="auto"/>
        </w:rPr>
        <w:t>. Without limiting the provisions of subsection (a) above, the Borrower shall timely pay any</w:t>
      </w:r>
      <w:r>
        <w:rPr>
          <w:rFonts w:ascii="Arial" w:cs="Arial" w:eastAsia="Arial" w:hAnsi="Arial"/>
          <w:sz w:val="22"/>
          <w:szCs w:val="22"/>
          <w:i w:val="1"/>
          <w:iCs w:val="1"/>
          <w:color w:val="auto"/>
        </w:rPr>
        <w:t xml:space="preserve"> </w:t>
      </w:r>
      <w:r>
        <w:rPr>
          <w:rFonts w:ascii="Arial" w:cs="Arial" w:eastAsia="Arial" w:hAnsi="Arial"/>
          <w:sz w:val="22"/>
          <w:szCs w:val="22"/>
          <w:color w:val="auto"/>
        </w:rPr>
        <w:t>Other Taxes to the relevant Governmental Authority in accordance with applicable laws.</w:t>
      </w:r>
    </w:p>
    <w:p>
      <w:pPr>
        <w:spacing w:after="0" w:line="120" w:lineRule="exact"/>
        <w:rPr>
          <w:rFonts w:ascii="Arial" w:cs="Arial" w:eastAsia="Arial" w:hAnsi="Arial"/>
          <w:sz w:val="22"/>
          <w:szCs w:val="22"/>
          <w:color w:val="auto"/>
        </w:rPr>
      </w:pPr>
    </w:p>
    <w:p>
      <w:pPr>
        <w:ind w:left="1120" w:hanging="464"/>
        <w:spacing w:after="0"/>
        <w:tabs>
          <w:tab w:leader="none" w:pos="1120" w:val="left"/>
        </w:tabs>
        <w:numPr>
          <w:ilvl w:val="0"/>
          <w:numId w:val="210"/>
        </w:numPr>
        <w:rPr>
          <w:rFonts w:ascii="Arial" w:cs="Arial" w:eastAsia="Arial" w:hAnsi="Arial"/>
          <w:sz w:val="22"/>
          <w:szCs w:val="22"/>
          <w:color w:val="auto"/>
        </w:rPr>
      </w:pPr>
      <w:r>
        <w:rPr>
          <w:rFonts w:ascii="Arial" w:cs="Arial" w:eastAsia="Arial" w:hAnsi="Arial"/>
          <w:sz w:val="22"/>
          <w:szCs w:val="22"/>
          <w:i w:val="1"/>
          <w:iCs w:val="1"/>
          <w:color w:val="auto"/>
        </w:rPr>
        <w:t>Indemnification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968"/>
        <w:spacing w:after="0" w:line="288" w:lineRule="auto"/>
        <w:tabs>
          <w:tab w:leader="none" w:pos="2249" w:val="left"/>
        </w:tabs>
        <w:numPr>
          <w:ilvl w:val="2"/>
          <w:numId w:val="210"/>
        </w:numPr>
        <w:rPr>
          <w:rFonts w:ascii="Arial" w:cs="Arial" w:eastAsia="Arial" w:hAnsi="Arial"/>
          <w:sz w:val="19"/>
          <w:szCs w:val="19"/>
          <w:color w:val="auto"/>
        </w:rPr>
      </w:pPr>
      <w:r>
        <w:rPr>
          <w:rFonts w:ascii="Arial" w:cs="Arial" w:eastAsia="Arial" w:hAnsi="Arial"/>
          <w:sz w:val="19"/>
          <w:szCs w:val="19"/>
          <w:color w:val="auto"/>
        </w:rPr>
        <w:t xml:space="preserve">Without limiting the provisions of subsection (a) or (b) above, the Borrower shall indemnify the Administrative Agent, each Lender and each Issuing Lender and shall make payment in respect thereof within thirty (30) days after written demand therefor, for the full amount of any Indemnified Taxes or Other Taxes (including Indemnified Taxes or Other Taxes imposed or asserted on or attributable to amounts payable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withheld or deducted by the Borrower or the Administrative Agent or paid by the Administrative Agent or such Lender or Issuing Lender, and any penalties, interest and reasonable expenses arising therefrom or with respect thereto, whether or not such Indemnified Taxes or Other Taxes were correctly or legally imposed or asserted by the relevant Governmental Authority. A certificate as to the amount of any such payment or liability delivered to the Borrower by a Lender or Issuing Lender (with a copy to the Administrative Agent), or by the Administrative Agent on its own behalf or on behalf of a Lender or Issuing Lender, shall be conclusive absent manifest error.</w:t>
      </w:r>
    </w:p>
    <w:p>
      <w:pPr>
        <w:spacing w:after="0" w:line="105" w:lineRule="exact"/>
        <w:rPr>
          <w:rFonts w:ascii="Arial" w:cs="Arial" w:eastAsia="Arial" w:hAnsi="Arial"/>
          <w:sz w:val="19"/>
          <w:szCs w:val="19"/>
          <w:color w:val="auto"/>
        </w:rPr>
      </w:pPr>
    </w:p>
    <w:p>
      <w:pPr>
        <w:ind w:left="660" w:firstLine="968"/>
        <w:spacing w:after="0" w:line="263" w:lineRule="auto"/>
        <w:tabs>
          <w:tab w:leader="none" w:pos="2119" w:val="left"/>
        </w:tabs>
        <w:numPr>
          <w:ilvl w:val="2"/>
          <w:numId w:val="210"/>
        </w:numPr>
        <w:rPr>
          <w:rFonts w:ascii="Arial" w:cs="Arial" w:eastAsia="Arial" w:hAnsi="Arial"/>
          <w:sz w:val="22"/>
          <w:szCs w:val="22"/>
          <w:color w:val="auto"/>
        </w:rPr>
      </w:pPr>
      <w:r>
        <w:rPr>
          <w:rFonts w:ascii="Arial" w:cs="Arial" w:eastAsia="Arial" w:hAnsi="Arial"/>
          <w:sz w:val="22"/>
          <w:szCs w:val="22"/>
          <w:color w:val="auto"/>
        </w:rPr>
        <w:t>Without limiting the provisions of subsection (a) or (b) above, each Lender and Issuing Lender shall, and does hereby, indemnify (x)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271" w:name="page272"/>
    <w:bookmarkEnd w:id="271"/>
    <w:p>
      <w:pPr>
        <w:jc w:val="both"/>
        <w:ind w:left="660"/>
        <w:spacing w:after="0" w:line="285" w:lineRule="auto"/>
        <w:rPr>
          <w:sz w:val="20"/>
          <w:szCs w:val="20"/>
          <w:color w:val="auto"/>
        </w:rPr>
      </w:pPr>
      <w:r>
        <w:rPr>
          <w:rFonts w:ascii="Arial" w:cs="Arial" w:eastAsia="Arial" w:hAnsi="Arial"/>
          <w:sz w:val="19"/>
          <w:szCs w:val="19"/>
          <w:color w:val="auto"/>
        </w:rPr>
        <w:t xml:space="preserve">the Administrative Agent, and shall make payment in respect thereof within thirty (30) days after demand therefor, against any and all Taxes and any and all related losses, claims, liabilities, penalties, interest and expenses (including the fees, charges and disbursements of any counsel for the Borrower or the Administrative Agent) incurred by or asserted against the Borrower or the Administrative Agent by any Governmental Authority as a result of (1) the failure by such Lender to deliver, or as a result of the inaccuracy, inadequacy or deficiency of, any documentation required to be delivered by such Lender or Issuing Lender to the Borrower or the Administrative Agent pursuant to subsection (e) or (2) the failure of such Lender or Issuing Lender to comply with the provisions of </w:t>
      </w:r>
      <w:r>
        <w:rPr>
          <w:rFonts w:ascii="Arial" w:cs="Arial" w:eastAsia="Arial" w:hAnsi="Arial"/>
          <w:sz w:val="19"/>
          <w:szCs w:val="19"/>
          <w:u w:val="single" w:color="auto"/>
          <w:color w:val="auto"/>
        </w:rPr>
        <w:t>Section 12.01(d)</w:t>
      </w:r>
      <w:r>
        <w:rPr>
          <w:rFonts w:ascii="Arial" w:cs="Arial" w:eastAsia="Arial" w:hAnsi="Arial"/>
          <w:sz w:val="19"/>
          <w:szCs w:val="19"/>
          <w:color w:val="auto"/>
        </w:rPr>
        <w:t xml:space="preserve"> relating to the maintenance of a Participant Register and (y) the Administrative Agent against any Indemnified Taxes or Other Taxes attributable to such Lender or Issuing Lender (but only to the extent the Borrower has not already indemnified the Administrative Agent for such Indemnified Taxes or Other Taxes and without limiting the obligation of the Borrower to do so) or Excluded Taxes attributable to such Lender or Issuing Lender,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Borrower shall be conclusive absent manifest error. Each Lender and Issuing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survive the resignation and/or replacement of the Administrative Agent, any assignment of rights by, or the replacement of, a Lender, the termination of the Aggregate Commitments and the repayment, satisfaction or discharge of all other Obligations.</w:t>
      </w:r>
    </w:p>
    <w:p>
      <w:pPr>
        <w:spacing w:after="0" w:line="365" w:lineRule="exact"/>
        <w:rPr>
          <w:sz w:val="20"/>
          <w:szCs w:val="20"/>
          <w:color w:val="auto"/>
        </w:rPr>
      </w:pPr>
    </w:p>
    <w:p>
      <w:pPr>
        <w:jc w:val="both"/>
        <w:ind w:firstLine="656"/>
        <w:spacing w:after="0" w:line="247" w:lineRule="auto"/>
        <w:tabs>
          <w:tab w:leader="none" w:pos="1183"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Evidence of Payments</w:t>
      </w:r>
      <w:r>
        <w:rPr>
          <w:rFonts w:ascii="Arial" w:cs="Arial" w:eastAsia="Arial" w:hAnsi="Arial"/>
          <w:sz w:val="22"/>
          <w:szCs w:val="22"/>
          <w:color w:val="auto"/>
        </w:rPr>
        <w:t>. Upon request by the Borrower or the Administrative Agent, as the case may be, after 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payment of Taxes by the Borrower or the Administrative Agent to a Governmental Authority as provided in this </w:t>
      </w:r>
      <w:r>
        <w:rPr>
          <w:rFonts w:ascii="Arial" w:cs="Arial" w:eastAsia="Arial" w:hAnsi="Arial"/>
          <w:sz w:val="22"/>
          <w:szCs w:val="22"/>
          <w:u w:val="single" w:color="auto"/>
          <w:color w:val="auto"/>
        </w:rPr>
        <w:t>Section 3.05</w:t>
      </w:r>
      <w:r>
        <w:rPr>
          <w:rFonts w:ascii="Arial" w:cs="Arial" w:eastAsia="Arial" w:hAnsi="Arial"/>
          <w:sz w:val="22"/>
          <w:szCs w:val="22"/>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 to report such payment or other evidence of such payment reasonably satisfactory to the Borrower or the - Administrative Agent, as the case may be.</w:t>
      </w:r>
    </w:p>
    <w:p>
      <w:pPr>
        <w:spacing w:after="0" w:line="138" w:lineRule="exact"/>
        <w:rPr>
          <w:rFonts w:ascii="Arial" w:cs="Arial" w:eastAsia="Arial" w:hAnsi="Arial"/>
          <w:sz w:val="22"/>
          <w:szCs w:val="22"/>
          <w:color w:val="auto"/>
        </w:rPr>
      </w:pPr>
    </w:p>
    <w:p>
      <w:pPr>
        <w:ind w:left="1120" w:hanging="464"/>
        <w:spacing w:after="0"/>
        <w:tabs>
          <w:tab w:leader="none" w:pos="1120" w:val="left"/>
        </w:tabs>
        <w:numPr>
          <w:ilvl w:val="0"/>
          <w:numId w:val="211"/>
        </w:numPr>
        <w:rPr>
          <w:rFonts w:ascii="Arial" w:cs="Arial" w:eastAsia="Arial" w:hAnsi="Arial"/>
          <w:sz w:val="22"/>
          <w:szCs w:val="22"/>
          <w:color w:val="auto"/>
        </w:rPr>
      </w:pPr>
      <w:r>
        <w:rPr>
          <w:rFonts w:ascii="Arial" w:cs="Arial" w:eastAsia="Arial" w:hAnsi="Arial"/>
          <w:sz w:val="22"/>
          <w:szCs w:val="22"/>
          <w:i w:val="1"/>
          <w:iCs w:val="1"/>
          <w:color w:val="auto"/>
        </w:rPr>
        <w:t>Status of Lenders and Issuing Lenders; Tax Documentation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644"/>
        <w:spacing w:after="0" w:line="247" w:lineRule="auto"/>
        <w:tabs>
          <w:tab w:leader="none" w:pos="1807" w:val="left"/>
        </w:tabs>
        <w:numPr>
          <w:ilvl w:val="1"/>
          <w:numId w:val="211"/>
        </w:numPr>
        <w:rPr>
          <w:rFonts w:ascii="Arial" w:cs="Arial" w:eastAsia="Arial" w:hAnsi="Arial"/>
          <w:sz w:val="22"/>
          <w:szCs w:val="22"/>
          <w:color w:val="auto"/>
        </w:rPr>
      </w:pPr>
      <w:r>
        <w:rPr>
          <w:rFonts w:ascii="Arial" w:cs="Arial" w:eastAsia="Arial" w:hAnsi="Arial"/>
          <w:sz w:val="22"/>
          <w:szCs w:val="22"/>
          <w:color w:val="auto"/>
        </w:rPr>
        <w:t>Each Lender and Issuing Lender shall deliver to the Borrower, the Administrative Agent or the applicable taxing authority,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 to secure any applicable exemption from, or reduction in the rate of, deduction or withholding imposed by any jurisdiction in respect of any payments to be made by the Borrower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272" w:name="page273"/>
    <w:bookmarkEnd w:id="272"/>
    <w:p>
      <w:pPr>
        <w:jc w:val="both"/>
        <w:spacing w:after="0" w:line="261" w:lineRule="auto"/>
        <w:rPr>
          <w:sz w:val="20"/>
          <w:szCs w:val="20"/>
          <w:color w:val="auto"/>
        </w:rPr>
      </w:pPr>
      <w:r>
        <w:rPr>
          <w:rFonts w:ascii="Arial" w:cs="Arial" w:eastAsia="Arial" w:hAnsi="Arial"/>
          <w:sz w:val="21"/>
          <w:szCs w:val="21"/>
          <w:color w:val="auto"/>
        </w:rPr>
        <w:t>Lender or Issuing Lender, and (B) as will permit the Borrower or the Administrative Agent, as the case may be, to determine (1) whether or not payments made hereunder or under any other Loan Document are subject to Taxes, (2) if applicable, the required rate of withholding or deduction, and (3) such Lender’s or Issuing Lender’s entitlement to any available exemption from, or reduction of, applicable Taxes in respect of all payments to be made to such Lender or Issuing Lender by the Borrower pursuant to this Agreement or otherwise to establish such Lender’s or Issuing Lender’s status for withholding tax purposes in the applicable jurisdiction.</w:t>
      </w:r>
    </w:p>
    <w:p>
      <w:pPr>
        <w:spacing w:after="0" w:line="125" w:lineRule="exact"/>
        <w:rPr>
          <w:sz w:val="20"/>
          <w:szCs w:val="20"/>
          <w:color w:val="auto"/>
        </w:rPr>
      </w:pPr>
    </w:p>
    <w:p>
      <w:pPr>
        <w:jc w:val="both"/>
        <w:ind w:firstLine="644"/>
        <w:spacing w:after="0" w:line="271" w:lineRule="auto"/>
        <w:tabs>
          <w:tab w:leader="none" w:pos="120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if the Borrower (or, if the Borrower is disregarded as an entity separate from its owner for U.S. federal income tax purposes, the Person treated as its owner for U.S. federal income tax purposes) is a “United States person” within the meaning of Section 7701(a)(30) of the Code,</w:t>
      </w:r>
    </w:p>
    <w:p>
      <w:pPr>
        <w:spacing w:after="0" w:line="113" w:lineRule="exact"/>
        <w:rPr>
          <w:rFonts w:ascii="Arial" w:cs="Arial" w:eastAsia="Arial" w:hAnsi="Arial"/>
          <w:sz w:val="21"/>
          <w:szCs w:val="21"/>
          <w:color w:val="auto"/>
        </w:rPr>
      </w:pPr>
    </w:p>
    <w:p>
      <w:pPr>
        <w:jc w:val="both"/>
        <w:ind w:left="640" w:firstLine="652"/>
        <w:spacing w:after="0" w:line="258" w:lineRule="auto"/>
        <w:tabs>
          <w:tab w:leader="none" w:pos="1942" w:val="left"/>
        </w:tabs>
        <w:numPr>
          <w:ilvl w:val="1"/>
          <w:numId w:val="212"/>
        </w:numPr>
        <w:rPr>
          <w:rFonts w:ascii="Arial" w:cs="Arial" w:eastAsia="Arial" w:hAnsi="Arial"/>
          <w:sz w:val="21"/>
          <w:szCs w:val="21"/>
          <w:color w:val="auto"/>
        </w:rPr>
      </w:pPr>
      <w:r>
        <w:rPr>
          <w:rFonts w:ascii="Arial" w:cs="Arial" w:eastAsia="Arial" w:hAnsi="Arial"/>
          <w:sz w:val="21"/>
          <w:szCs w:val="21"/>
          <w:color w:val="auto"/>
        </w:rPr>
        <w:t>any Lender or Issuing Lender (or, if such Lender or Issuing Lender is disregarded as an entity separate from its owner for U.S. federal income tax purposes, the Person treated as its owner for U.S. federal income tax purposes) that is a “United States person” within the meaning of Section 7701(a)(30) of the Code shall deliver to the Borrower and the Administrative Agent on or prior to the date on which such Lender becomes a Lender or Issuing Lender becomes an Issuing Lender under this Agreement (and from time to time thereafter upon the request of the Borrower or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or Issuing Lender is subject to backup withholding or information reporting requirements;</w:t>
      </w:r>
    </w:p>
    <w:p>
      <w:pPr>
        <w:spacing w:after="0" w:line="131" w:lineRule="exact"/>
        <w:rPr>
          <w:rFonts w:ascii="Arial" w:cs="Arial" w:eastAsia="Arial" w:hAnsi="Arial"/>
          <w:sz w:val="21"/>
          <w:szCs w:val="21"/>
          <w:color w:val="auto"/>
        </w:rPr>
      </w:pPr>
    </w:p>
    <w:p>
      <w:pPr>
        <w:jc w:val="both"/>
        <w:ind w:left="640" w:firstLine="652"/>
        <w:spacing w:after="0" w:line="258" w:lineRule="auto"/>
        <w:tabs>
          <w:tab w:leader="none" w:pos="1880" w:val="left"/>
        </w:tabs>
        <w:numPr>
          <w:ilvl w:val="1"/>
          <w:numId w:val="212"/>
        </w:numPr>
        <w:rPr>
          <w:rFonts w:ascii="Arial" w:cs="Arial" w:eastAsia="Arial" w:hAnsi="Arial"/>
          <w:sz w:val="21"/>
          <w:szCs w:val="21"/>
          <w:color w:val="auto"/>
        </w:rPr>
      </w:pPr>
      <w:r>
        <w:rPr>
          <w:rFonts w:ascii="Arial" w:cs="Arial" w:eastAsia="Arial" w:hAnsi="Arial"/>
          <w:sz w:val="21"/>
          <w:szCs w:val="21"/>
          <w:color w:val="auto"/>
        </w:rPr>
        <w:t>each Foreign Lender or non-U.S. Issuing Lender (or, if such Foreign Lender or Issuing Lender is disregarded as an entity separate from its owner for U.S. federal income tax purposes, the Person treated as its owner for U.S. federal income tax purposes)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or Issuing Lender becomes a Lender or Issuing Lender under this Agreement (and from time to time thereafter upon the request of the Borrower or the Administrative Agent, but only if such Foreign Lender or Issuing Lender (or, if such Foreign Lender or Issuing Lender is disregarded as an entity separate from its owner for U.S. federal income tax purposes, the Person treated as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580"/>
          </w:cols>
          <w:pgMar w:left="980" w:top="1428" w:right="339" w:bottom="1440" w:gutter="0" w:footer="0" w:header="0"/>
        </w:sectPr>
      </w:pPr>
    </w:p>
    <w:bookmarkStart w:id="273" w:name="page274"/>
    <w:bookmarkEnd w:id="273"/>
    <w:p>
      <w:pPr>
        <w:ind w:left="200"/>
        <w:spacing w:after="0"/>
        <w:rPr>
          <w:sz w:val="20"/>
          <w:szCs w:val="20"/>
          <w:color w:val="auto"/>
        </w:rPr>
      </w:pPr>
      <w:r>
        <w:rPr>
          <w:rFonts w:ascii="Arial" w:cs="Arial" w:eastAsia="Arial" w:hAnsi="Arial"/>
          <w:sz w:val="19"/>
          <w:szCs w:val="19"/>
          <w:color w:val="auto"/>
        </w:rPr>
        <w:t>owner for U.S. federal income tax purposes) is legally entitled to do so), whichever of the following is applicable:</w:t>
      </w:r>
    </w:p>
    <w:p>
      <w:pPr>
        <w:spacing w:after="0" w:line="200" w:lineRule="exact"/>
        <w:rPr>
          <w:sz w:val="20"/>
          <w:szCs w:val="20"/>
          <w:color w:val="auto"/>
        </w:rPr>
      </w:pPr>
    </w:p>
    <w:p>
      <w:pPr>
        <w:ind w:left="840" w:firstLine="964"/>
        <w:spacing w:after="0" w:line="343" w:lineRule="auto"/>
        <w:tabs>
          <w:tab w:leader="none" w:pos="255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executed originals of Internal Revenue Service Form W-8BEN or W-BEN-E, as applicable, claiming eligibility for benefits of an income tax treaty to which the United States is a party,</w:t>
      </w:r>
    </w:p>
    <w:p>
      <w:pPr>
        <w:spacing w:after="0" w:line="50" w:lineRule="exact"/>
        <w:rPr>
          <w:rFonts w:ascii="Arial" w:cs="Arial" w:eastAsia="Arial" w:hAnsi="Arial"/>
          <w:sz w:val="19"/>
          <w:szCs w:val="19"/>
          <w:color w:val="auto"/>
        </w:rPr>
      </w:pPr>
    </w:p>
    <w:p>
      <w:pPr>
        <w:ind w:left="840" w:firstLine="964"/>
        <w:spacing w:after="0" w:line="287" w:lineRule="auto"/>
        <w:tabs>
          <w:tab w:leader="none" w:pos="2371" w:val="left"/>
        </w:tabs>
        <w:numPr>
          <w:ilvl w:val="0"/>
          <w:numId w:val="213"/>
        </w:numPr>
        <w:rPr>
          <w:rFonts w:ascii="Arial" w:cs="Arial" w:eastAsia="Arial" w:hAnsi="Arial"/>
          <w:sz w:val="21"/>
          <w:szCs w:val="21"/>
          <w:color w:val="auto"/>
        </w:rPr>
      </w:pPr>
      <w:r>
        <w:rPr>
          <w:rFonts w:ascii="Arial" w:cs="Arial" w:eastAsia="Arial" w:hAnsi="Arial"/>
          <w:sz w:val="21"/>
          <w:szCs w:val="21"/>
          <w:color w:val="auto"/>
        </w:rPr>
        <w:t>in the case of a Foreign Lender claiming that its extension of credit will generate U.S. effectively connected income, executed originals of Internal Revenue Service Form W-8ECI,</w:t>
      </w:r>
    </w:p>
    <w:p>
      <w:pPr>
        <w:spacing w:after="0" w:line="97" w:lineRule="exact"/>
        <w:rPr>
          <w:rFonts w:ascii="Arial" w:cs="Arial" w:eastAsia="Arial" w:hAnsi="Arial"/>
          <w:sz w:val="21"/>
          <w:szCs w:val="21"/>
          <w:color w:val="auto"/>
        </w:rPr>
      </w:pPr>
    </w:p>
    <w:p>
      <w:pPr>
        <w:jc w:val="both"/>
        <w:ind w:left="840" w:firstLine="964"/>
        <w:spacing w:after="0" w:line="289" w:lineRule="auto"/>
        <w:tabs>
          <w:tab w:leader="none" w:pos="230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in the case of a Foreign Lender or non-U.S. Issuing Lender (or, if such Foreign Lender or Issuing Lender is disregarded as an entity separate from its owner for U.S. federal income tax purposes, the Person treated as its owner for U.S. federal income tax purposes) claiming the benefits of the exemption for portfolio interest under Section 881(c) of the Code, (x) a certificate substantially in the form of Exhibit H-1 to the effect that such Foreign Lender or Issuing Lender (or such other Person) is not (A) a “bank” within the meaning of Section 881(c)(3)(A) of the Code, (B) a “10 percent shareholder” of the Borrower within the meaning of Section 881(c)(3)(B) of the Code, or (C) a “controlled foreign corporation”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and (y) executed originals of Internal Revenue Service Form W-8BEN or W-8BEN-E, as applicable,</w:t>
      </w:r>
    </w:p>
    <w:p>
      <w:pPr>
        <w:spacing w:after="0" w:line="102" w:lineRule="exact"/>
        <w:rPr>
          <w:rFonts w:ascii="Arial" w:cs="Arial" w:eastAsia="Arial" w:hAnsi="Arial"/>
          <w:sz w:val="19"/>
          <w:szCs w:val="19"/>
          <w:color w:val="auto"/>
        </w:rPr>
      </w:pPr>
    </w:p>
    <w:p>
      <w:pPr>
        <w:jc w:val="both"/>
        <w:ind w:left="840" w:firstLine="964"/>
        <w:spacing w:after="0" w:line="246" w:lineRule="auto"/>
        <w:tabs>
          <w:tab w:leader="none" w:pos="229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executed originals of Internal Revenue Service Form W-8IMY and all required supporting documentation, including IRS Form W-8ECI, IRS Form W-8BEN, IRS Form W-8BEN-E, a U.S. Tax Compliance Certificate substantially in the form of Exhibit H-2 or Exhibit H-3,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Lender or Issuing Lender is a partnership and one or more direct or indirect partners of such Lender or Issuing Lender are claiming the portfolio interest exemption, such Lender or Issuing Lender may provide a U.S. Tax Compliance Certificate substantially in the form of Exhibit H-4 on behalf of each such direct and indirect partner, or</w:t>
      </w:r>
    </w:p>
    <w:p>
      <w:pPr>
        <w:spacing w:after="0" w:line="139" w:lineRule="exact"/>
        <w:rPr>
          <w:rFonts w:ascii="Arial" w:cs="Arial" w:eastAsia="Arial" w:hAnsi="Arial"/>
          <w:sz w:val="22"/>
          <w:szCs w:val="22"/>
          <w:color w:val="auto"/>
        </w:rPr>
      </w:pPr>
    </w:p>
    <w:p>
      <w:pPr>
        <w:jc w:val="both"/>
        <w:ind w:left="840" w:firstLine="964"/>
        <w:spacing w:after="0" w:line="253" w:lineRule="auto"/>
        <w:tabs>
          <w:tab w:leader="none" w:pos="230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executed originals of any other form prescribed by applicable laws as a basis for claiming exemption from or a reduction in U.S. federal withholding tax together with such supplementary documentation as may be prescribed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0120"/>
          </w:cols>
          <w:pgMar w:left="1440" w:top="1428" w:right="339" w:bottom="1440" w:gutter="0" w:footer="0" w:header="0"/>
        </w:sectPr>
      </w:pPr>
    </w:p>
    <w:bookmarkStart w:id="274" w:name="page275"/>
    <w:bookmarkEnd w:id="274"/>
    <w:p>
      <w:pPr>
        <w:ind w:left="1960" w:right="20"/>
        <w:spacing w:after="0" w:line="263" w:lineRule="auto"/>
        <w:rPr>
          <w:sz w:val="20"/>
          <w:szCs w:val="20"/>
          <w:color w:val="auto"/>
        </w:rPr>
      </w:pPr>
      <w:r>
        <w:rPr>
          <w:rFonts w:ascii="Arial" w:cs="Arial" w:eastAsia="Arial" w:hAnsi="Arial"/>
          <w:sz w:val="22"/>
          <w:szCs w:val="22"/>
          <w:color w:val="auto"/>
        </w:rPr>
        <w:t>laws to permit the Borrower or the Administrative Agent to determine the withholding or deduction required to be made.</w:t>
      </w:r>
    </w:p>
    <w:p>
      <w:pPr>
        <w:spacing w:after="0" w:line="121" w:lineRule="exact"/>
        <w:rPr>
          <w:sz w:val="20"/>
          <w:szCs w:val="20"/>
          <w:color w:val="auto"/>
        </w:rPr>
      </w:pPr>
    </w:p>
    <w:p>
      <w:pPr>
        <w:jc w:val="both"/>
        <w:ind w:left="1300" w:firstLine="652"/>
        <w:spacing w:after="0" w:line="297" w:lineRule="auto"/>
        <w:tabs>
          <w:tab w:leader="none" w:pos="2542" w:val="left"/>
        </w:tabs>
        <w:numPr>
          <w:ilvl w:val="2"/>
          <w:numId w:val="214"/>
        </w:numPr>
        <w:rPr>
          <w:rFonts w:ascii="Arial" w:cs="Arial" w:eastAsia="Arial" w:hAnsi="Arial"/>
          <w:sz w:val="19"/>
          <w:szCs w:val="19"/>
          <w:color w:val="auto"/>
        </w:rPr>
      </w:pPr>
      <w:r>
        <w:rPr>
          <w:rFonts w:ascii="Arial" w:cs="Arial" w:eastAsia="Arial" w:hAnsi="Arial"/>
          <w:sz w:val="19"/>
          <w:szCs w:val="19"/>
          <w:color w:val="auto"/>
        </w:rPr>
        <w:t xml:space="preserve">each Lender and Issuing Lender shall deliver to the Administrative Agent and the Borrower such documentation reasonably requested by the Administrative Agent or the Borrower sufficient for the Administrative Agent and the Borrower to comply with their obligations under FATCA and to determine whether payments to such Lender or Issuing Lender are subject to withholding tax under FATCA. Solely for purposes of this </w:t>
      </w:r>
      <w:r>
        <w:rPr>
          <w:rFonts w:ascii="Arial" w:cs="Arial" w:eastAsia="Arial" w:hAnsi="Arial"/>
          <w:sz w:val="19"/>
          <w:szCs w:val="19"/>
          <w:u w:val="single" w:color="auto"/>
          <w:color w:val="auto"/>
        </w:rPr>
        <w:t>subclause (C)</w:t>
      </w:r>
      <w:r>
        <w:rPr>
          <w:rFonts w:ascii="Arial" w:cs="Arial" w:eastAsia="Arial" w:hAnsi="Arial"/>
          <w:sz w:val="19"/>
          <w:szCs w:val="19"/>
          <w:color w:val="auto"/>
        </w:rPr>
        <w:t>, “FATCA” shall include any amendments made to FATCA after the date of this Agreement.</w:t>
      </w:r>
    </w:p>
    <w:p>
      <w:pPr>
        <w:spacing w:after="0" w:line="92" w:lineRule="exact"/>
        <w:rPr>
          <w:rFonts w:ascii="Arial" w:cs="Arial" w:eastAsia="Arial" w:hAnsi="Arial"/>
          <w:sz w:val="19"/>
          <w:szCs w:val="19"/>
          <w:color w:val="auto"/>
        </w:rPr>
      </w:pPr>
    </w:p>
    <w:p>
      <w:pPr>
        <w:jc w:val="both"/>
        <w:ind w:left="660" w:firstLine="644"/>
        <w:spacing w:after="0" w:line="261" w:lineRule="auto"/>
        <w:tabs>
          <w:tab w:leader="none" w:pos="1910" w:val="left"/>
        </w:tabs>
        <w:numPr>
          <w:ilvl w:val="1"/>
          <w:numId w:val="215"/>
        </w:numPr>
        <w:rPr>
          <w:rFonts w:ascii="Arial" w:cs="Arial" w:eastAsia="Arial" w:hAnsi="Arial"/>
          <w:sz w:val="21"/>
          <w:szCs w:val="21"/>
          <w:color w:val="auto"/>
        </w:rPr>
      </w:pPr>
      <w:r>
        <w:rPr>
          <w:rFonts w:ascii="Arial" w:cs="Arial" w:eastAsia="Arial" w:hAnsi="Arial"/>
          <w:sz w:val="21"/>
          <w:szCs w:val="21"/>
          <w:color w:val="auto"/>
        </w:rPr>
        <w:t>Each Lender and Issuing Lender shall promptly (A) notify the Borrower and the Administrative Agent of any change in circumstances which would modify or render invalid any claimed exemption or reduction, and (B) take such steps as shall not be materially disadvantageous to it, in the reasonable judgment of such Lender or Issuing Lender and as may be reasonably necessary (including the redesignation of its Lending Installation) to avoid any requirement of applicable laws of any jurisdiction that the Borrower or the Administrative Agent make any withholding or deduction for taxes from amounts payable to such Lender or Issuing Lender.</w:t>
      </w:r>
    </w:p>
    <w:p>
      <w:pPr>
        <w:spacing w:after="0" w:line="125" w:lineRule="exact"/>
        <w:rPr>
          <w:rFonts w:ascii="Arial" w:cs="Arial" w:eastAsia="Arial" w:hAnsi="Arial"/>
          <w:sz w:val="21"/>
          <w:szCs w:val="21"/>
          <w:color w:val="auto"/>
        </w:rPr>
      </w:pPr>
    </w:p>
    <w:p>
      <w:pPr>
        <w:jc w:val="both"/>
        <w:ind w:firstLine="656"/>
        <w:spacing w:after="0" w:line="285" w:lineRule="auto"/>
        <w:tabs>
          <w:tab w:leader="none" w:pos="1134" w:val="left"/>
        </w:tabs>
        <w:numPr>
          <w:ilvl w:val="0"/>
          <w:numId w:val="216"/>
        </w:numPr>
        <w:rPr>
          <w:rFonts w:ascii="Arial" w:cs="Arial" w:eastAsia="Arial" w:hAnsi="Arial"/>
          <w:sz w:val="19"/>
          <w:szCs w:val="19"/>
          <w:color w:val="auto"/>
        </w:rPr>
      </w:pPr>
      <w:r>
        <w:rPr>
          <w:rFonts w:ascii="Arial" w:cs="Arial" w:eastAsia="Arial" w:hAnsi="Arial"/>
          <w:sz w:val="19"/>
          <w:szCs w:val="19"/>
          <w:i w:val="1"/>
          <w:iCs w:val="1"/>
          <w:color w:val="auto"/>
        </w:rPr>
        <w:t>Treatment of Certain Refunds</w:t>
      </w:r>
      <w:r>
        <w:rPr>
          <w:rFonts w:ascii="Arial" w:cs="Arial" w:eastAsia="Arial" w:hAnsi="Arial"/>
          <w:sz w:val="19"/>
          <w:szCs w:val="19"/>
          <w:color w:val="auto"/>
        </w:rPr>
        <w:t>. Unless required by applicable laws, at no time shall the Administrative Agent have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obligation to file for or otherwise pursue on behalf of a Lender or Issuing Lender, or have any obligation to pay to any Lender or Issuing Lender, any refund of Taxes withheld or deducted from funds paid for the account of such Lender or Issuing Lender. If the Administrative Agent or any Lender or Issuing Lender determines, in its sole discretion, that it has received a refund of any Taxes or Other Taxes as to which it has been indemnified by the Borrower or with respect to which the Borrower has paid additional amounts pursuant to this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with respect to the Taxes or Other Taxes giving rise to such refund), net of all out-of-pocket expenses incurred by the Administrative Agent or such Lender, and without interest (other than any interest paid by the relevant Governmental Authority with respect to such refund), provided that the Borrower, upon the request of the Administrative Agent or such Lender, as the case may be, agrees to repay the amount paid over to the Borrower (plus any penalties, interest (to the extent accrued from the date such refund is paid over to the Borrower)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275" w:name="page276"/>
    <w:bookmarkEnd w:id="275"/>
    <w:p>
      <w:pPr>
        <w:jc w:val="both"/>
        <w:spacing w:after="0" w:line="263" w:lineRule="auto"/>
        <w:rPr>
          <w:sz w:val="20"/>
          <w:szCs w:val="20"/>
          <w:color w:val="auto"/>
        </w:rPr>
      </w:pPr>
      <w:r>
        <w:rPr>
          <w:rFonts w:ascii="Arial" w:cs="Arial" w:eastAsia="Arial" w:hAnsi="Arial"/>
          <w:sz w:val="22"/>
          <w:szCs w:val="22"/>
          <w:color w:val="auto"/>
        </w:rPr>
        <w:t>Administrative Agent or any Lender or Issuing Lender to make available its Tax returns (or any other information relating to its Taxes that it deems confidential) to the Borrower or any other Person.</w:t>
      </w:r>
    </w:p>
    <w:p>
      <w:pPr>
        <w:spacing w:after="0" w:line="1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3.06 </w:t>
      </w:r>
      <w:r>
        <w:rPr>
          <w:rFonts w:ascii="Arial" w:cs="Arial" w:eastAsia="Arial" w:hAnsi="Arial"/>
          <w:sz w:val="21"/>
          <w:szCs w:val="21"/>
          <w:i w:val="1"/>
          <w:iCs w:val="1"/>
          <w:color w:val="auto"/>
        </w:rPr>
        <w:t>Mitigation Obligations</w:t>
      </w:r>
      <w:r>
        <w:rPr>
          <w:rFonts w:ascii="Arial" w:cs="Arial" w:eastAsia="Arial" w:hAnsi="Arial"/>
          <w:sz w:val="21"/>
          <w:szCs w:val="21"/>
          <w:color w:val="auto"/>
        </w:rPr>
        <w:t>. If any Lender requests compensation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3.01</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3.02</w:t>
      </w:r>
      <w:r>
        <w:rPr>
          <w:rFonts w:ascii="Arial" w:cs="Arial" w:eastAsia="Arial" w:hAnsi="Arial"/>
          <w:sz w:val="21"/>
          <w:szCs w:val="21"/>
          <w:color w:val="auto"/>
        </w:rPr>
        <w:t>, or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 is required to pay any additional amount to any Lender or Issuing Lender or any Governmental Authority for the account of any Lender or Issuing Lender pursuant to </w:t>
      </w:r>
      <w:r>
        <w:rPr>
          <w:rFonts w:ascii="Arial" w:cs="Arial" w:eastAsia="Arial" w:hAnsi="Arial"/>
          <w:sz w:val="21"/>
          <w:szCs w:val="21"/>
          <w:u w:val="single" w:color="auto"/>
          <w:color w:val="auto"/>
        </w:rPr>
        <w:t>Section 3.05</w:t>
      </w:r>
      <w:r>
        <w:rPr>
          <w:rFonts w:ascii="Arial" w:cs="Arial" w:eastAsia="Arial" w:hAnsi="Arial"/>
          <w:sz w:val="21"/>
          <w:szCs w:val="21"/>
          <w:color w:val="auto"/>
        </w:rPr>
        <w:t xml:space="preserve">, or if any Lender gives a notice pursuant to </w:t>
      </w:r>
      <w:r>
        <w:rPr>
          <w:rFonts w:ascii="Arial" w:cs="Arial" w:eastAsia="Arial" w:hAnsi="Arial"/>
          <w:sz w:val="21"/>
          <w:szCs w:val="21"/>
          <w:u w:val="single" w:color="auto"/>
          <w:color w:val="auto"/>
        </w:rPr>
        <w:t>Section 3.03</w:t>
      </w:r>
      <w:r>
        <w:rPr>
          <w:rFonts w:ascii="Arial" w:cs="Arial" w:eastAsia="Arial" w:hAnsi="Arial"/>
          <w:sz w:val="21"/>
          <w:szCs w:val="21"/>
          <w:color w:val="auto"/>
        </w:rPr>
        <w:t xml:space="preserve">, then such Lender or Issuing Lender shall use reasonable efforts to designate a different Lending Installation for funding or booking its Loans hereunder or to assign its rights and obligations hereunder to another of its offices, branches or affiliates, if, in the judgment of such Lender or Issuing Lender, such designation or assignment (i) would eliminate or reduce amounts payable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as the case may be, in the future, or eliminate the need for the notice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3.03</w:t>
      </w:r>
      <w:r>
        <w:rPr>
          <w:rFonts w:ascii="Arial" w:cs="Arial" w:eastAsia="Arial" w:hAnsi="Arial"/>
          <w:sz w:val="21"/>
          <w:szCs w:val="21"/>
          <w:color w:val="auto"/>
        </w:rPr>
        <w:t>, as applicable, and (ii) in each case, would not subject such Lender or Issuing Lender, as the case may be, to any unreimbursed cost or expense and would not otherwise be disadvantageous to such Lender or Issuing Lender. The Borrower hereby agrees to pay all reasonable costs and expenses incurred by any Lender or Issuing Lender in connection with any such designation or assignment.</w:t>
      </w:r>
    </w:p>
    <w:p>
      <w:pPr>
        <w:spacing w:after="0" w:line="12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3.07</w:t>
      </w:r>
      <w:r>
        <w:rPr>
          <w:sz w:val="20"/>
          <w:szCs w:val="20"/>
          <w:color w:val="auto"/>
        </w:rPr>
        <w:tab/>
      </w:r>
      <w:r>
        <w:rPr>
          <w:rFonts w:ascii="Arial" w:cs="Arial" w:eastAsia="Arial" w:hAnsi="Arial"/>
          <w:sz w:val="19"/>
          <w:szCs w:val="19"/>
          <w:i w:val="1"/>
          <w:iCs w:val="1"/>
          <w:color w:val="auto"/>
        </w:rPr>
        <w:t>Inability to Determine Rates; Replacing LIBOR; Replacing Other and Future Benchmarks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6" w:lineRule="auto"/>
        <w:tabs>
          <w:tab w:leader="none" w:pos="942" w:val="left"/>
        </w:tabs>
        <w:numPr>
          <w:ilvl w:val="0"/>
          <w:numId w:val="217"/>
        </w:numPr>
        <w:rPr>
          <w:rFonts w:ascii="Arial" w:cs="Arial" w:eastAsia="Arial" w:hAnsi="Arial"/>
          <w:sz w:val="19"/>
          <w:szCs w:val="19"/>
          <w:color w:val="auto"/>
        </w:rPr>
      </w:pPr>
      <w:r>
        <w:rPr>
          <w:rFonts w:ascii="Arial" w:cs="Arial" w:eastAsia="Arial" w:hAnsi="Arial"/>
          <w:sz w:val="19"/>
          <w:szCs w:val="19"/>
          <w:i w:val="1"/>
          <w:iCs w:val="1"/>
          <w:color w:val="auto"/>
        </w:rPr>
        <w:t xml:space="preserve">Inability to Determine Rates. </w:t>
      </w:r>
      <w:r>
        <w:rPr>
          <w:rFonts w:ascii="Arial" w:cs="Arial" w:eastAsia="Arial" w:hAnsi="Arial"/>
          <w:sz w:val="19"/>
          <w:szCs w:val="19"/>
          <w:color w:val="auto"/>
        </w:rPr>
        <w:t>Subject to 3.07(b) and (c), if (x) the Required Lenders determine that for any reason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any request for a Eurocurrency Loan or a conversion to or continuation thereof that (i) deposits (whether in Dollars or a Foreign Currency) are not being offered to banks in the London interbank eurodollar market for the applicable amount and Interest Period of such Eurocurrency Loan or (ii) adequate and reasonable means do not exist for determining the Eurocurrency Base Rate for any requested Interest Period with respect to a proposed Eurocurrency Loan (whether denominated in Dollars or a Foreign Currency), or (y) the Required Lenders determine that Eurocurrency Base Rate for any requested Interest Period with respect to a proposed Eurocurrency Loan does not adequately and fairly reflect the cost to such Lenders of funding such Loan (which determination shall be made by notice to the Administrative Agent), the Administrative Agent will promptly so notify the Borrower and each Lender. Thereafter, the obligation of the Lenders to convert Alternate Base Rate Loans to, or to continue, make or maintain Eurocurrency Loans in the affected currency shall be suspended until the Administrative Agent (upon the instruction of the Required Lenders) revokes such notice. Upon receipt of such notice, the Borrower may revoke any pending request for an Advance of, conversion to or continuation of Eurocurrency Loans of the affected currency or, failing that, will be deemed to have converted such request into a request for Alternate Base Rate Loans in the amount specified therein.</w:t>
      </w:r>
    </w:p>
    <w:p>
      <w:pPr>
        <w:spacing w:after="0" w:line="105" w:lineRule="exact"/>
        <w:rPr>
          <w:rFonts w:ascii="Arial" w:cs="Arial" w:eastAsia="Arial" w:hAnsi="Arial"/>
          <w:sz w:val="19"/>
          <w:szCs w:val="19"/>
          <w:color w:val="auto"/>
        </w:rPr>
      </w:pPr>
    </w:p>
    <w:p>
      <w:pPr>
        <w:jc w:val="both"/>
        <w:ind w:firstLine="656"/>
        <w:spacing w:after="0" w:line="274" w:lineRule="auto"/>
        <w:tabs>
          <w:tab w:leader="none" w:pos="954" w:val="left"/>
        </w:tabs>
        <w:numPr>
          <w:ilvl w:val="0"/>
          <w:numId w:val="217"/>
        </w:numPr>
        <w:rPr>
          <w:rFonts w:ascii="Arial" w:cs="Arial" w:eastAsia="Arial" w:hAnsi="Arial"/>
          <w:sz w:val="21"/>
          <w:szCs w:val="21"/>
          <w:color w:val="auto"/>
        </w:rPr>
      </w:pPr>
      <w:r>
        <w:rPr>
          <w:rFonts w:ascii="Arial" w:cs="Arial" w:eastAsia="Arial" w:hAnsi="Arial"/>
          <w:sz w:val="21"/>
          <w:szCs w:val="21"/>
          <w:i w:val="1"/>
          <w:iCs w:val="1"/>
          <w:color w:val="auto"/>
        </w:rPr>
        <w:t>Replacing LIBOR</w:t>
      </w:r>
      <w:r>
        <w:rPr>
          <w:rFonts w:ascii="Arial" w:cs="Arial" w:eastAsia="Arial" w:hAnsi="Arial"/>
          <w:sz w:val="21"/>
          <w:szCs w:val="21"/>
          <w:color w:val="auto"/>
        </w:rPr>
        <w:t>. On March 5, 2021 the Financial Conduct Authority (“</w:t>
      </w:r>
      <w:r>
        <w:rPr>
          <w:rFonts w:ascii="Arial" w:cs="Arial" w:eastAsia="Arial" w:hAnsi="Arial"/>
          <w:sz w:val="21"/>
          <w:szCs w:val="21"/>
          <w:b w:val="1"/>
          <w:bCs w:val="1"/>
          <w:color w:val="auto"/>
        </w:rPr>
        <w:t>FCA</w:t>
      </w:r>
      <w:r>
        <w:rPr>
          <w:rFonts w:ascii="Arial" w:cs="Arial" w:eastAsia="Arial" w:hAnsi="Arial"/>
          <w:sz w:val="21"/>
          <w:szCs w:val="21"/>
          <w:color w:val="auto"/>
        </w:rPr>
        <w:t>”), the regulatory supervisor of LIBOR’s</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administrator (“</w:t>
      </w:r>
      <w:r>
        <w:rPr>
          <w:rFonts w:ascii="Arial" w:cs="Arial" w:eastAsia="Arial" w:hAnsi="Arial"/>
          <w:sz w:val="21"/>
          <w:szCs w:val="21"/>
          <w:b w:val="1"/>
          <w:bCs w:val="1"/>
          <w:color w:val="auto"/>
        </w:rPr>
        <w:t>IBA</w:t>
      </w:r>
      <w:r>
        <w:rPr>
          <w:rFonts w:ascii="Arial" w:cs="Arial" w:eastAsia="Arial" w:hAnsi="Arial"/>
          <w:sz w:val="21"/>
          <w:szCs w:val="21"/>
          <w:color w:val="auto"/>
        </w:rPr>
        <w:t>”), announced in a public statement the future cessation or loss of representativeness of overnight/Spot Next, 1-month, 3-month, 6-month and 12-month LIBOR tenor settings. On the earlier of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276" w:name="page277"/>
    <w:bookmarkEnd w:id="276"/>
    <w:p>
      <w:pPr>
        <w:jc w:val="both"/>
        <w:spacing w:after="0" w:line="294" w:lineRule="auto"/>
        <w:rPr>
          <w:sz w:val="20"/>
          <w:szCs w:val="20"/>
          <w:color w:val="auto"/>
        </w:rPr>
      </w:pPr>
      <w:r>
        <w:rPr>
          <w:rFonts w:ascii="Arial" w:cs="Arial" w:eastAsia="Arial" w:hAnsi="Arial"/>
          <w:sz w:val="19"/>
          <w:szCs w:val="19"/>
          <w:color w:val="auto"/>
        </w:rPr>
        <w:t>date that all Available Tenors of LIBOR have either permanently or indefinitely ceased to be provided by IBA or have been announced by the FCA pursuant to public statement or publication of information to be no longer representative and (ii) the Early Opt-in Effective Date,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95" w:lineRule="exact"/>
        <w:rPr>
          <w:sz w:val="20"/>
          <w:szCs w:val="20"/>
          <w:color w:val="auto"/>
        </w:rPr>
      </w:pPr>
    </w:p>
    <w:p>
      <w:pPr>
        <w:jc w:val="both"/>
        <w:ind w:firstLine="656"/>
        <w:spacing w:after="0" w:line="289" w:lineRule="auto"/>
        <w:tabs>
          <w:tab w:leader="none" w:pos="952" w:val="left"/>
        </w:tabs>
        <w:numPr>
          <w:ilvl w:val="0"/>
          <w:numId w:val="218"/>
        </w:numPr>
        <w:rPr>
          <w:rFonts w:ascii="Arial" w:cs="Arial" w:eastAsia="Arial" w:hAnsi="Arial"/>
          <w:sz w:val="19"/>
          <w:szCs w:val="19"/>
          <w:color w:val="auto"/>
        </w:rPr>
      </w:pPr>
      <w:r>
        <w:rPr>
          <w:rFonts w:ascii="Arial" w:cs="Arial" w:eastAsia="Arial" w:hAnsi="Arial"/>
          <w:sz w:val="19"/>
          <w:szCs w:val="19"/>
          <w:i w:val="1"/>
          <w:iCs w:val="1"/>
          <w:color w:val="auto"/>
        </w:rPr>
        <w:t>Replacing Other and Future Benchmarks</w:t>
      </w:r>
      <w:r>
        <w:rPr>
          <w:rFonts w:ascii="Arial" w:cs="Arial" w:eastAsia="Arial" w:hAnsi="Arial"/>
          <w:sz w:val="19"/>
          <w:szCs w:val="19"/>
          <w:color w:val="auto"/>
        </w:rPr>
        <w:t>. Upon (i) the occurrence of a Benchmark Transition Event, the Benchmark</w:t>
      </w:r>
      <w:r>
        <w:rPr>
          <w:rFonts w:ascii="Arial" w:cs="Arial" w:eastAsia="Arial" w:hAnsi="Arial"/>
          <w:sz w:val="19"/>
          <w:szCs w:val="19"/>
          <w:i w:val="1"/>
          <w:iCs w:val="1"/>
          <w:color w:val="auto"/>
        </w:rPr>
        <w:t xml:space="preserve"> </w:t>
      </w:r>
      <w:r>
        <w:rPr>
          <w:rFonts w:ascii="Arial" w:cs="Arial" w:eastAsia="Arial" w:hAnsi="Arial"/>
          <w:sz w:val="19"/>
          <w:szCs w:val="19"/>
          <w:color w:val="auto"/>
        </w:rPr>
        <w:t>Replacement will replace the then-current Benchmark for all purposes hereunder and under any Loan Document in respect of any such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or (ii) an Early Opt-in Effective Date with respect to an Other Rate Early Opt-in Election,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any time that the administrator of the then-current Benchmark has permanently or indefinitely ceased to provide such Benchmark or such Benchmark has been announced by the regulatory supervisor for the administrator or the administrator of such Benchmark pursuant to public statement or publication of information to be no longer representative of the underlying market and economic reality that such Benchmark is intended to measure and that representativeness will not be restored, (a)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(i) with respect to amounts denominated in Dollars, the Borrower will be deemed to have converted any such request into a request for a borrowing of or conversion to Alternate Base Rate Loans and (ii) with respect to amounts denominated in any currency other than Dollars, such request shall be deemed ineffective and (b) the obligation of the Lenders to make or maintain Loans referencing such Benchmark in the affected currency shall be suspended (to the extent of the affected amounts or Interest Periods (as applicable)).</w:t>
      </w:r>
    </w:p>
    <w:p>
      <w:pPr>
        <w:spacing w:after="0" w:line="1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the period referenced in the foregoing sentence, the component (if any) of the Alternate Base Rate based upon the Benchmark will not be used in any determination of the Alternate Base Rate.</w:t>
      </w:r>
    </w:p>
    <w:p>
      <w:pPr>
        <w:spacing w:after="0" w:line="121" w:lineRule="exact"/>
        <w:rPr>
          <w:sz w:val="20"/>
          <w:szCs w:val="20"/>
          <w:color w:val="auto"/>
        </w:rPr>
      </w:pPr>
    </w:p>
    <w:p>
      <w:pPr>
        <w:ind w:firstLine="656"/>
        <w:spacing w:after="0" w:line="263" w:lineRule="auto"/>
        <w:tabs>
          <w:tab w:leader="none" w:pos="981" w:val="left"/>
        </w:tabs>
        <w:numPr>
          <w:ilvl w:val="0"/>
          <w:numId w:val="219"/>
        </w:numPr>
        <w:rPr>
          <w:rFonts w:ascii="Arial" w:cs="Arial" w:eastAsia="Arial" w:hAnsi="Arial"/>
          <w:sz w:val="22"/>
          <w:szCs w:val="22"/>
          <w:color w:val="auto"/>
        </w:rPr>
      </w:pPr>
      <w:r>
        <w:rPr>
          <w:rFonts w:ascii="Arial" w:cs="Arial" w:eastAsia="Arial" w:hAnsi="Arial"/>
          <w:sz w:val="22"/>
          <w:szCs w:val="22"/>
          <w:i w:val="1"/>
          <w:iCs w:val="1"/>
          <w:color w:val="auto"/>
        </w:rPr>
        <w:t>Benchmark Replacement Conforming Changes</w:t>
      </w:r>
      <w:r>
        <w:rPr>
          <w:rFonts w:ascii="Arial" w:cs="Arial" w:eastAsia="Arial" w:hAnsi="Arial"/>
          <w:sz w:val="22"/>
          <w:szCs w:val="22"/>
          <w:color w:val="auto"/>
        </w:rPr>
        <w:t>. In connection with the implementation and administration of any</w:t>
      </w:r>
      <w:r>
        <w:rPr>
          <w:rFonts w:ascii="Arial" w:cs="Arial" w:eastAsia="Arial" w:hAnsi="Arial"/>
          <w:sz w:val="22"/>
          <w:szCs w:val="22"/>
          <w:i w:val="1"/>
          <w:iCs w:val="1"/>
          <w:color w:val="auto"/>
        </w:rPr>
        <w:t xml:space="preserve"> </w:t>
      </w:r>
      <w:r>
        <w:rPr>
          <w:rFonts w:ascii="Arial" w:cs="Arial" w:eastAsia="Arial" w:hAnsi="Arial"/>
          <w:sz w:val="22"/>
          <w:szCs w:val="22"/>
          <w:color w:val="auto"/>
        </w:rPr>
        <w:t>Benchmark Replacement,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277" w:name="page278"/>
    <w:bookmarkEnd w:id="277"/>
    <w:p>
      <w:pPr>
        <w:jc w:val="both"/>
        <w:spacing w:after="0" w:line="312" w:lineRule="auto"/>
        <w:rPr>
          <w:sz w:val="20"/>
          <w:szCs w:val="20"/>
          <w:color w:val="auto"/>
        </w:rPr>
      </w:pPr>
      <w:r>
        <w:rPr>
          <w:rFonts w:ascii="Arial" w:cs="Arial" w:eastAsia="Arial" w:hAnsi="Arial"/>
          <w:sz w:val="19"/>
          <w:szCs w:val="19"/>
          <w:color w:val="auto"/>
        </w:rPr>
        <w:t>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79" w:lineRule="exact"/>
        <w:rPr>
          <w:sz w:val="20"/>
          <w:szCs w:val="20"/>
          <w:color w:val="auto"/>
        </w:rPr>
      </w:pPr>
    </w:p>
    <w:p>
      <w:pPr>
        <w:jc w:val="both"/>
        <w:ind w:firstLine="656"/>
        <w:spacing w:after="0" w:line="258" w:lineRule="auto"/>
        <w:tabs>
          <w:tab w:leader="none" w:pos="955" w:val="left"/>
        </w:tabs>
        <w:numPr>
          <w:ilvl w:val="0"/>
          <w:numId w:val="220"/>
        </w:numPr>
        <w:rPr>
          <w:rFonts w:ascii="Arial" w:cs="Arial" w:eastAsia="Arial" w:hAnsi="Arial"/>
          <w:sz w:val="21"/>
          <w:szCs w:val="21"/>
          <w:color w:val="auto"/>
        </w:rPr>
      </w:pPr>
      <w:r>
        <w:rPr>
          <w:rFonts w:ascii="Arial" w:cs="Arial" w:eastAsia="Arial" w:hAnsi="Arial"/>
          <w:sz w:val="21"/>
          <w:szCs w:val="21"/>
          <w:i w:val="1"/>
          <w:iCs w:val="1"/>
          <w:color w:val="auto"/>
        </w:rPr>
        <w:t>Notices; Standards for Decisions and Determinations</w:t>
      </w:r>
      <w:r>
        <w:rPr>
          <w:rFonts w:ascii="Arial" w:cs="Arial" w:eastAsia="Arial" w:hAnsi="Arial"/>
          <w:sz w:val="21"/>
          <w:szCs w:val="21"/>
          <w:color w:val="auto"/>
        </w:rPr>
        <w:t>. The Administrative Agent will promptly notify the Borrower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the Lenders of (i) the implementation of any Benchmark Replacement and (ii) the effectiveness of any Benchmark Replacement Conforming Changes. For the avoidance of doubt, any notice required to be delivered by the Administrative Agent as set forth in this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3.07</w:t>
      </w:r>
      <w:r>
        <w:rPr>
          <w:rFonts w:ascii="Arial" w:cs="Arial" w:eastAsia="Arial" w:hAnsi="Arial"/>
          <w:sz w:val="21"/>
          <w:szCs w:val="21"/>
          <w:color w:val="auto"/>
        </w:rPr>
        <w:t>.</w:t>
      </w:r>
    </w:p>
    <w:p>
      <w:pPr>
        <w:spacing w:after="0" w:line="127" w:lineRule="exact"/>
        <w:rPr>
          <w:rFonts w:ascii="Arial" w:cs="Arial" w:eastAsia="Arial" w:hAnsi="Arial"/>
          <w:sz w:val="21"/>
          <w:szCs w:val="21"/>
          <w:color w:val="auto"/>
        </w:rPr>
      </w:pPr>
    </w:p>
    <w:p>
      <w:pPr>
        <w:jc w:val="both"/>
        <w:ind w:firstLine="656"/>
        <w:spacing w:after="0" w:line="248" w:lineRule="auto"/>
        <w:tabs>
          <w:tab w:leader="none" w:pos="972" w:val="left"/>
        </w:tabs>
        <w:numPr>
          <w:ilvl w:val="0"/>
          <w:numId w:val="220"/>
        </w:numPr>
        <w:rPr>
          <w:rFonts w:ascii="Arial" w:cs="Arial" w:eastAsia="Arial" w:hAnsi="Arial"/>
          <w:sz w:val="22"/>
          <w:szCs w:val="22"/>
          <w:color w:val="auto"/>
        </w:rPr>
      </w:pPr>
      <w:r>
        <w:rPr>
          <w:rFonts w:ascii="Arial" w:cs="Arial" w:eastAsia="Arial" w:hAnsi="Arial"/>
          <w:sz w:val="22"/>
          <w:szCs w:val="22"/>
          <w:i w:val="1"/>
          <w:iCs w:val="1"/>
          <w:color w:val="auto"/>
        </w:rPr>
        <w:t>Unavailability of Tenor of Benchmark</w:t>
      </w:r>
      <w:r>
        <w:rPr>
          <w:rFonts w:ascii="Arial" w:cs="Arial" w:eastAsia="Arial" w:hAnsi="Arial"/>
          <w:sz w:val="22"/>
          <w:szCs w:val="22"/>
          <w:color w:val="auto"/>
        </w:rPr>
        <w:t>. At any time (including in connection with the implementation of any</w:t>
      </w:r>
      <w:r>
        <w:rPr>
          <w:rFonts w:ascii="Arial" w:cs="Arial" w:eastAsia="Arial" w:hAnsi="Arial"/>
          <w:sz w:val="22"/>
          <w:szCs w:val="22"/>
          <w:i w:val="1"/>
          <w:iCs w:val="1"/>
          <w:color w:val="auto"/>
        </w:rPr>
        <w:t xml:space="preserve"> </w:t>
      </w:r>
      <w:r>
        <w:rPr>
          <w:rFonts w:ascii="Arial" w:cs="Arial" w:eastAsia="Arial" w:hAnsi="Arial"/>
          <w:sz w:val="22"/>
          <w:szCs w:val="22"/>
          <w:color w:val="auto"/>
        </w:rPr>
        <w:t>Benchmark Replacement), (i) if any then-current Benchmark is a term rate (including Term SOFR, LIBOR, CDOR or EURIBOR),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37" w:lineRule="exact"/>
        <w:rPr>
          <w:rFonts w:ascii="Arial" w:cs="Arial" w:eastAsia="Arial" w:hAnsi="Arial"/>
          <w:sz w:val="22"/>
          <w:szCs w:val="22"/>
          <w:color w:val="auto"/>
        </w:rPr>
      </w:pPr>
    </w:p>
    <w:p>
      <w:pPr>
        <w:jc w:val="both"/>
        <w:ind w:firstLine="656"/>
        <w:spacing w:after="0" w:line="257" w:lineRule="auto"/>
        <w:tabs>
          <w:tab w:leader="none" w:pos="981" w:val="left"/>
        </w:tabs>
        <w:numPr>
          <w:ilvl w:val="0"/>
          <w:numId w:val="220"/>
        </w:numPr>
        <w:rPr>
          <w:rFonts w:ascii="Arial" w:cs="Arial" w:eastAsia="Arial" w:hAnsi="Arial"/>
          <w:sz w:val="21"/>
          <w:szCs w:val="21"/>
          <w:color w:val="auto"/>
        </w:rPr>
      </w:pPr>
      <w:r>
        <w:rPr>
          <w:rFonts w:ascii="Arial" w:cs="Arial" w:eastAsia="Arial" w:hAnsi="Arial"/>
          <w:sz w:val="21"/>
          <w:szCs w:val="21"/>
          <w:i w:val="1"/>
          <w:iCs w:val="1"/>
          <w:color w:val="auto"/>
        </w:rPr>
        <w:t>Disclaimer</w:t>
      </w:r>
      <w:r>
        <w:rPr>
          <w:rFonts w:ascii="Arial" w:cs="Arial" w:eastAsia="Arial" w:hAnsi="Arial"/>
          <w:sz w:val="21"/>
          <w:szCs w:val="21"/>
          <w:color w:val="auto"/>
        </w:rPr>
        <w:t>. The Administrative Agent does not warrant or accept any responsibility for, and shall not have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liability with respect to (i) the administration, submission or any other matter related to the London interbank offered rate or other rates in the definition of “Eurocurrency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LIBOR, CDOR or EURIBOR or any other then-current Benchmark or have the same volume or liquidity as did LIBOR, CDOR or EURIBOR or any other then-current Benchmark, (iii) any actions or use of its discretion or other decisions or determinations made with respect to any matters covered by this </w:t>
      </w:r>
      <w:r>
        <w:rPr>
          <w:rFonts w:ascii="Arial" w:cs="Arial" w:eastAsia="Arial" w:hAnsi="Arial"/>
          <w:sz w:val="21"/>
          <w:szCs w:val="21"/>
          <w:u w:val="single" w:color="auto"/>
          <w:color w:val="auto"/>
        </w:rPr>
        <w:t>Section 3.07(b)</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(g)</w:t>
      </w:r>
      <w:r>
        <w:rPr>
          <w:rFonts w:ascii="Arial" w:cs="Arial" w:eastAsia="Arial" w:hAnsi="Arial"/>
          <w:sz w:val="21"/>
          <w:szCs w:val="21"/>
          <w:color w:val="auto"/>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clause (e) above or otherwise in accordance herewith, and (iv) the effect of any of the foregoing provisions of this </w:t>
      </w:r>
      <w:r>
        <w:rPr>
          <w:rFonts w:ascii="Arial" w:cs="Arial" w:eastAsia="Arial" w:hAnsi="Arial"/>
          <w:sz w:val="21"/>
          <w:szCs w:val="21"/>
          <w:u w:val="single" w:color="auto"/>
          <w:color w:val="auto"/>
        </w:rPr>
        <w:t>Section 3.07(b)</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(g)</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278" w:name="page279"/>
    <w:bookmarkEnd w:id="278"/>
    <w:p>
      <w:pPr>
        <w:ind w:firstLine="648"/>
        <w:spacing w:after="0" w:line="269" w:lineRule="auto"/>
        <w:rPr>
          <w:sz w:val="20"/>
          <w:szCs w:val="20"/>
          <w:color w:val="auto"/>
        </w:rPr>
      </w:pPr>
      <w:r>
        <w:rPr>
          <w:rFonts w:ascii="Arial" w:cs="Arial" w:eastAsia="Arial" w:hAnsi="Arial"/>
          <w:sz w:val="22"/>
          <w:szCs w:val="22"/>
          <w:b w:val="1"/>
          <w:bCs w:val="1"/>
          <w:color w:val="auto"/>
        </w:rPr>
        <w:t xml:space="preserve">Section 3.08 </w:t>
      </w:r>
      <w:r>
        <w:rPr>
          <w:rFonts w:ascii="Arial" w:cs="Arial" w:eastAsia="Arial" w:hAnsi="Arial"/>
          <w:sz w:val="22"/>
          <w:szCs w:val="22"/>
          <w:i w:val="1"/>
          <w:iCs w:val="1"/>
          <w:color w:val="auto"/>
        </w:rPr>
        <w:t>Survival</w:t>
      </w:r>
      <w:r>
        <w:rPr>
          <w:rFonts w:ascii="Arial" w:cs="Arial" w:eastAsia="Arial" w:hAnsi="Arial"/>
          <w:sz w:val="22"/>
          <w:szCs w:val="22"/>
          <w:color w:val="auto"/>
        </w:rPr>
        <w:t>. All of the Borrower’s obligations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3</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termination of the Aggregate</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Commitments, repayment of all other Obligations hereunder and resignation of the Administrative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ONDITIONS</w:t>
      </w:r>
      <w:r>
        <w:rPr>
          <w:rFonts w:ascii="Arial" w:cs="Arial" w:eastAsia="Arial" w:hAnsi="Arial"/>
          <w:sz w:val="22"/>
          <w:szCs w:val="22"/>
          <w:color w:val="auto"/>
        </w:rPr>
        <w:t xml:space="preserve"> P</w:t>
      </w:r>
      <w:r>
        <w:rPr>
          <w:rFonts w:ascii="Arial" w:cs="Arial" w:eastAsia="Arial" w:hAnsi="Arial"/>
          <w:sz w:val="17"/>
          <w:szCs w:val="17"/>
          <w:color w:val="auto"/>
        </w:rPr>
        <w:t>RECEDENT</w:t>
      </w:r>
    </w:p>
    <w:p>
      <w:pPr>
        <w:spacing w:after="0" w:line="14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4.01 </w:t>
      </w:r>
      <w:r>
        <w:rPr>
          <w:rFonts w:ascii="Arial" w:cs="Arial" w:eastAsia="Arial" w:hAnsi="Arial"/>
          <w:sz w:val="22"/>
          <w:szCs w:val="22"/>
          <w:i w:val="1"/>
          <w:iCs w:val="1"/>
          <w:color w:val="auto"/>
        </w:rPr>
        <w:t>Effectiveness</w:t>
      </w:r>
      <w:r>
        <w:rPr>
          <w:rFonts w:ascii="Arial" w:cs="Arial" w:eastAsia="Arial" w:hAnsi="Arial"/>
          <w:sz w:val="22"/>
          <w:szCs w:val="22"/>
          <w:color w:val="auto"/>
        </w:rPr>
        <w:t>. The occurrence of the Effective Date is subject to the satisfaction (or waiver) of only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conditions precedent:</w:t>
      </w:r>
    </w:p>
    <w:p>
      <w:pPr>
        <w:spacing w:after="0" w:line="114" w:lineRule="exact"/>
        <w:rPr>
          <w:sz w:val="20"/>
          <w:szCs w:val="20"/>
          <w:color w:val="auto"/>
        </w:rPr>
      </w:pPr>
    </w:p>
    <w:p>
      <w:pPr>
        <w:ind w:left="1120" w:hanging="464"/>
        <w:spacing w:after="0"/>
        <w:tabs>
          <w:tab w:leader="none" w:pos="112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(I) all Lenders hereunder as of the Effective Date,</w:t>
      </w:r>
    </w:p>
    <w:p>
      <w:pPr>
        <w:spacing w:after="0" w:line="55" w:lineRule="exact"/>
        <w:rPr>
          <w:rFonts w:ascii="Arial" w:cs="Arial" w:eastAsia="Arial" w:hAnsi="Arial"/>
          <w:sz w:val="19"/>
          <w:szCs w:val="19"/>
          <w:color w:val="auto"/>
        </w:rPr>
      </w:pPr>
    </w:p>
    <w:p>
      <w:pPr>
        <w:ind w:right="60" w:firstLine="8"/>
        <w:spacing w:after="0" w:line="244" w:lineRule="auto"/>
        <w:tabs>
          <w:tab w:leader="none" w:pos="34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Administrative Agent, (III) each Issuing Lender and (IV) the Borrower either (i) a counterpart of this Agreement signed on behalf of such party or (ii) customary written evidence reasonably satisfactory to the Administrative Agent (which may include telecopy or electronic transmission of a signed signature page of this Agreement) that such party has signed a counterpart of this Agreement;</w:t>
      </w:r>
    </w:p>
    <w:p>
      <w:pPr>
        <w:spacing w:after="0" w:line="141" w:lineRule="exact"/>
        <w:rPr>
          <w:rFonts w:ascii="Arial" w:cs="Arial" w:eastAsia="Arial" w:hAnsi="Arial"/>
          <w:sz w:val="22"/>
          <w:szCs w:val="22"/>
          <w:color w:val="auto"/>
        </w:rPr>
      </w:pPr>
    </w:p>
    <w:p>
      <w:pPr>
        <w:ind w:right="60" w:firstLine="656"/>
        <w:spacing w:after="0" w:line="253" w:lineRule="auto"/>
        <w:tabs>
          <w:tab w:leader="none" w:pos="111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Borrower shall have paid all fees, costs and expenses due and payable to the Administrative Agent, for itself and on behalf of the Lenders, or its counsel on the Effective Date and (in the case of expenses) for which the Borrower has received an invoice at least three (3) Business Days prior to the Effective Date;</w:t>
      </w:r>
    </w:p>
    <w:p>
      <w:pPr>
        <w:spacing w:after="0" w:line="131" w:lineRule="exact"/>
        <w:rPr>
          <w:rFonts w:ascii="Arial" w:cs="Arial" w:eastAsia="Arial" w:hAnsi="Arial"/>
          <w:sz w:val="22"/>
          <w:szCs w:val="22"/>
          <w:color w:val="auto"/>
        </w:rPr>
      </w:pPr>
    </w:p>
    <w:p>
      <w:pPr>
        <w:jc w:val="both"/>
        <w:ind w:right="280" w:firstLine="656"/>
        <w:spacing w:after="0" w:line="263" w:lineRule="auto"/>
        <w:tabs>
          <w:tab w:leader="none" w:pos="1104" w:val="left"/>
        </w:tabs>
        <w:numPr>
          <w:ilvl w:val="1"/>
          <w:numId w:val="222"/>
        </w:numPr>
        <w:rPr>
          <w:rFonts w:ascii="Arial" w:cs="Arial" w:eastAsia="Arial" w:hAnsi="Arial"/>
          <w:sz w:val="21"/>
          <w:szCs w:val="21"/>
          <w:color w:val="auto"/>
        </w:rPr>
      </w:pPr>
      <w:r>
        <w:rPr>
          <w:rFonts w:ascii="Arial" w:cs="Arial" w:eastAsia="Arial" w:hAnsi="Arial"/>
          <w:sz w:val="21"/>
          <w:szCs w:val="21"/>
          <w:color w:val="auto"/>
        </w:rPr>
        <w:t>at least three (3) days prior to the Effective Date, the Borrower shall have provided the documentation and other information about the Borrower to the Administrative Agent that is required by bank regulatory authorities under applicable “know your customer” and anti-money laundering rules and regulations, including, without limitation, the U.S. Patriot Act and the Beneficial Ownership Regulation, to the extent such information was reasonably requested by the Arrangers or a Lender in writing at least ten (10) Business Days prior to the Effective Date; and</w:t>
      </w:r>
    </w:p>
    <w:p>
      <w:pPr>
        <w:spacing w:after="0" w:line="121" w:lineRule="exact"/>
        <w:rPr>
          <w:rFonts w:ascii="Arial" w:cs="Arial" w:eastAsia="Arial" w:hAnsi="Arial"/>
          <w:sz w:val="21"/>
          <w:szCs w:val="21"/>
          <w:color w:val="auto"/>
        </w:rPr>
      </w:pPr>
    </w:p>
    <w:p>
      <w:pPr>
        <w:ind w:right="440" w:firstLine="656"/>
        <w:spacing w:after="0" w:line="263" w:lineRule="auto"/>
        <w:tabs>
          <w:tab w:leader="none" w:pos="1116" w:val="left"/>
        </w:tabs>
        <w:numPr>
          <w:ilvl w:val="1"/>
          <w:numId w:val="222"/>
        </w:numPr>
        <w:rPr>
          <w:rFonts w:ascii="Arial" w:cs="Arial" w:eastAsia="Arial" w:hAnsi="Arial"/>
          <w:sz w:val="22"/>
          <w:szCs w:val="22"/>
          <w:color w:val="auto"/>
        </w:rPr>
      </w:pPr>
      <w:r>
        <w:rPr>
          <w:rFonts w:ascii="Arial" w:cs="Arial" w:eastAsia="Arial" w:hAnsi="Arial"/>
          <w:sz w:val="22"/>
          <w:szCs w:val="22"/>
          <w:color w:val="auto"/>
        </w:rPr>
        <w:t>the Borrower shall have received a Public Debt Rating of BBB- or better from S&amp;P and a Public Debt Rating of BBB- or better from Fitch.</w:t>
      </w:r>
    </w:p>
    <w:p>
      <w:pPr>
        <w:spacing w:after="0" w:line="1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The occurrence of the Effective Date shall be confirmed by a written notice from the Administrative Agent to the Borrower on the Effective Date, and shall be conclusive evidence of the occurrence thereof. Without limiting the generality of the provisions of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4.02 </w:t>
      </w:r>
      <w:r>
        <w:rPr>
          <w:rFonts w:ascii="Arial" w:cs="Arial" w:eastAsia="Arial" w:hAnsi="Arial"/>
          <w:sz w:val="22"/>
          <w:szCs w:val="22"/>
          <w:i w:val="1"/>
          <w:iCs w:val="1"/>
          <w:color w:val="auto"/>
        </w:rPr>
        <w:t>Closing</w:t>
      </w:r>
      <w:r>
        <w:rPr>
          <w:rFonts w:ascii="Arial" w:cs="Arial" w:eastAsia="Arial" w:hAnsi="Arial"/>
          <w:sz w:val="22"/>
          <w:szCs w:val="22"/>
          <w:color w:val="auto"/>
        </w:rPr>
        <w:t>. The occurrence of the Closing Date is subject to the satisfaction (or waiver) of only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2" w:right="339" w:bottom="1440" w:gutter="0" w:footer="0" w:header="0"/>
        </w:sectPr>
      </w:pPr>
    </w:p>
    <w:bookmarkStart w:id="279" w:name="page280"/>
    <w:bookmarkEnd w:id="279"/>
    <w:p>
      <w:pPr>
        <w:ind w:left="1100" w:hanging="464"/>
        <w:spacing w:after="0"/>
        <w:tabs>
          <w:tab w:leader="none" w:pos="11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Effective Date shall have occurred;</w:t>
      </w:r>
    </w:p>
    <w:p>
      <w:pPr>
        <w:spacing w:after="0" w:line="165" w:lineRule="exact"/>
        <w:rPr>
          <w:rFonts w:ascii="Arial" w:cs="Arial" w:eastAsia="Arial" w:hAnsi="Arial"/>
          <w:sz w:val="22"/>
          <w:szCs w:val="22"/>
          <w:color w:val="auto"/>
        </w:rPr>
      </w:pPr>
    </w:p>
    <w:p>
      <w:pPr>
        <w:ind w:left="1100" w:hanging="464"/>
        <w:spacing w:after="0"/>
        <w:tabs>
          <w:tab w:leader="none" w:pos="110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GXO Distribution Condition shall have been satisfied;</w:t>
      </w:r>
    </w:p>
    <w:p>
      <w:pPr>
        <w:spacing w:after="0" w:line="165" w:lineRule="exact"/>
        <w:rPr>
          <w:rFonts w:ascii="Arial" w:cs="Arial" w:eastAsia="Arial" w:hAnsi="Arial"/>
          <w:sz w:val="22"/>
          <w:szCs w:val="22"/>
          <w:color w:val="auto"/>
        </w:rPr>
      </w:pPr>
    </w:p>
    <w:p>
      <w:pPr>
        <w:ind w:left="-20" w:firstLine="656"/>
        <w:spacing w:after="0" w:line="258" w:lineRule="auto"/>
        <w:tabs>
          <w:tab w:leader="none" w:pos="1084"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xml:space="preserve">the Borrower shall have delivered to the Administrative Agent an officer’s certificate, substantially in the form attached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 dated as of the Closing Date, signed by an Authorized Officer of the Borrower, certifying that (x) on the Closing Date, no Default or Unmatured Default has occurred and is continuing and (y) the representations and warranties contained in Article 5 are true and correct in all material respects (except to the extent such representations and warranties are qualified by “materiality” or “Material Adverse Effect” or similar terms, in which case such representations and warranties are true and correct in all respects) as of the Closing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have been true and correct in all respects) on and as of such earlier date;</w:t>
      </w:r>
    </w:p>
    <w:p>
      <w:pPr>
        <w:spacing w:after="0" w:line="131" w:lineRule="exact"/>
        <w:rPr>
          <w:rFonts w:ascii="Arial" w:cs="Arial" w:eastAsia="Arial" w:hAnsi="Arial"/>
          <w:sz w:val="21"/>
          <w:szCs w:val="21"/>
          <w:color w:val="auto"/>
        </w:rPr>
      </w:pPr>
    </w:p>
    <w:p>
      <w:pPr>
        <w:ind w:left="-20" w:right="220" w:firstLine="656"/>
        <w:spacing w:after="0" w:line="253" w:lineRule="auto"/>
        <w:tabs>
          <w:tab w:leader="none" w:pos="109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Borrower shall have delivered to the Administrative Agent a favorable written opinion (addressed to the Administrative Agent and the Lenders and dated the Closing Date) of Wachtell, Lipton, Rosen &amp; Katz reasonably acceptable to the Administrative Agent;</w:t>
      </w:r>
    </w:p>
    <w:p>
      <w:pPr>
        <w:spacing w:after="0" w:line="131" w:lineRule="exact"/>
        <w:rPr>
          <w:rFonts w:ascii="Arial" w:cs="Arial" w:eastAsia="Arial" w:hAnsi="Arial"/>
          <w:sz w:val="22"/>
          <w:szCs w:val="22"/>
          <w:color w:val="auto"/>
        </w:rPr>
      </w:pPr>
    </w:p>
    <w:p>
      <w:pPr>
        <w:ind w:left="-20" w:right="280" w:firstLine="656"/>
        <w:spacing w:after="0" w:line="263" w:lineRule="auto"/>
        <w:tabs>
          <w:tab w:leader="none" w:pos="1084" w:val="left"/>
        </w:tabs>
        <w:numPr>
          <w:ilvl w:val="0"/>
          <w:numId w:val="223"/>
        </w:numPr>
        <w:rPr>
          <w:rFonts w:ascii="Arial" w:cs="Arial" w:eastAsia="Arial" w:hAnsi="Arial"/>
          <w:sz w:val="22"/>
          <w:szCs w:val="22"/>
          <w:color w:val="auto"/>
        </w:rPr>
      </w:pPr>
      <w:r>
        <w:rPr>
          <w:rFonts w:ascii="Arial" w:cs="Arial" w:eastAsia="Arial" w:hAnsi="Arial"/>
          <w:sz w:val="22"/>
          <w:szCs w:val="22"/>
          <w:color w:val="auto"/>
        </w:rPr>
        <w:t xml:space="preserve">each Note requested from the Borrower in writing at least five (5) Business Days prior to the Closing Date by any Lender pursuant to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shall have been executed by the Borrower; and</w:t>
      </w:r>
    </w:p>
    <w:p>
      <w:pPr>
        <w:spacing w:after="0" w:line="120" w:lineRule="exact"/>
        <w:rPr>
          <w:rFonts w:ascii="Arial" w:cs="Arial" w:eastAsia="Arial" w:hAnsi="Arial"/>
          <w:sz w:val="22"/>
          <w:szCs w:val="22"/>
          <w:color w:val="auto"/>
        </w:rPr>
      </w:pPr>
    </w:p>
    <w:p>
      <w:pPr>
        <w:jc w:val="both"/>
        <w:ind w:left="-20" w:right="60" w:firstLine="656"/>
        <w:spacing w:after="0" w:line="297" w:lineRule="auto"/>
        <w:tabs>
          <w:tab w:leader="none" w:pos="106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Borrower shall have paid all fees, costs and expenses due and payable to the Administrative Agent, for itself and on behalf of the Lenders, or its counsel on the Closing Date and (in the case of expenses) for which the Borrower has received an invoice at least three (3) Business Days prior to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invoice may reflect an estimate and/or only costs processed to date and shall not thereafter preclude a final settling of accounts between the Borrower and the Administrative Agent, including with respect to fees, costs or expenses incurred prior to the Closing Date);</w:t>
      </w:r>
    </w:p>
    <w:p>
      <w:pPr>
        <w:spacing w:after="0" w:line="92" w:lineRule="exact"/>
        <w:rPr>
          <w:rFonts w:ascii="Arial" w:cs="Arial" w:eastAsia="Arial" w:hAnsi="Arial"/>
          <w:sz w:val="19"/>
          <w:szCs w:val="19"/>
          <w:color w:val="auto"/>
        </w:rPr>
      </w:pPr>
    </w:p>
    <w:p>
      <w:pPr>
        <w:ind w:left="-20" w:firstLine="656"/>
        <w:spacing w:after="0" w:line="261" w:lineRule="auto"/>
        <w:tabs>
          <w:tab w:leader="none" w:pos="109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Borrower shall have delivered to the Administrative Agent copies of the certificate of incorporation of the Borrower, together with all amendments thereto, and a certificate of good standing for the Borrower, each certified by the appropriate governmental officer in its jurisdiction of incorporation (or, to the extent such certificate of incorporation is not certified by the appropriate governmental officer in its jurisdiction of incorporation, the Borrower shall have delivered to the Administrative Agent a certification that such certificate of incorporation has been filed with the appropriate government office in its jurisdiction of incorporation to become effective on the date the Spinoff is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-4037965</wp:posOffset>
            </wp:positionV>
            <wp:extent cx="1028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20"/>
          </w:cols>
          <w:pgMar w:left="340" w:top="1428" w:right="339" w:bottom="1440" w:gutter="0" w:footer="0" w:header="0"/>
        </w:sectPr>
      </w:pPr>
    </w:p>
    <w:bookmarkStart w:id="280" w:name="page281"/>
    <w:bookmarkEnd w:id="280"/>
    <w:p>
      <w:pPr>
        <w:ind w:right="100" w:firstLine="656"/>
        <w:spacing w:after="0" w:line="265" w:lineRule="auto"/>
        <w:tabs>
          <w:tab w:leader="none" w:pos="1116"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the Borrower shall have delivered to the Administrative Agent copies, certified by the Secretary or Assistant Secretary of the Borrower, of the Borrower’s by-laws and of its Board of Directors’ resolutions and of resolutions or actions of any other body authorizing the execution of the Loan Documents to which it is a party and a certification that there have been no changes to its certificate of incorporation provided pursuant to </w:t>
      </w:r>
      <w:r>
        <w:rPr>
          <w:rFonts w:ascii="Arial" w:cs="Arial" w:eastAsia="Arial" w:hAnsi="Arial"/>
          <w:sz w:val="21"/>
          <w:szCs w:val="21"/>
          <w:u w:val="single" w:color="auto"/>
          <w:color w:val="auto"/>
        </w:rPr>
        <w:t>Section 4.02(g)</w:t>
      </w:r>
      <w:r>
        <w:rPr>
          <w:rFonts w:ascii="Arial" w:cs="Arial" w:eastAsia="Arial" w:hAnsi="Arial"/>
          <w:sz w:val="21"/>
          <w:szCs w:val="21"/>
          <w:color w:val="auto"/>
        </w:rPr>
        <w:t>;</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occurrence of the Closing Date shall be confirmed by a written notice from the Administrative Agent to the Borrower on the Closing Date, and shall be conclusive evidence of the occurrence thereof.</w:t>
      </w:r>
    </w:p>
    <w:p>
      <w:pPr>
        <w:spacing w:after="0" w:line="11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Section 4.03 </w:t>
      </w:r>
      <w:r>
        <w:rPr>
          <w:rFonts w:ascii="Arial" w:cs="Arial" w:eastAsia="Arial" w:hAnsi="Arial"/>
          <w:sz w:val="22"/>
          <w:szCs w:val="22"/>
          <w:i w:val="1"/>
          <w:iCs w:val="1"/>
          <w:color w:val="auto"/>
        </w:rPr>
        <w:t>Each Request for Credit Extension</w:t>
      </w:r>
      <w:r>
        <w:rPr>
          <w:rFonts w:ascii="Arial" w:cs="Arial" w:eastAsia="Arial" w:hAnsi="Arial"/>
          <w:sz w:val="22"/>
          <w:szCs w:val="22"/>
          <w:color w:val="auto"/>
        </w:rPr>
        <w:t>. The Lenders shall not be required to honor any Request for Credit</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unless on the applicable Borrowing Date:</w:t>
      </w:r>
    </w:p>
    <w:p>
      <w:pPr>
        <w:spacing w:after="0" w:line="114" w:lineRule="exact"/>
        <w:rPr>
          <w:sz w:val="20"/>
          <w:szCs w:val="20"/>
          <w:color w:val="auto"/>
        </w:rPr>
      </w:pPr>
    </w:p>
    <w:p>
      <w:pPr>
        <w:ind w:left="1220" w:hanging="564"/>
        <w:spacing w:after="0"/>
        <w:tabs>
          <w:tab w:leader="none" w:pos="12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no Unmatured Default or Default has occurred and is continuing or would result from such Request for Credit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Extension;</w:t>
      </w:r>
    </w:p>
    <w:p>
      <w:pPr>
        <w:spacing w:after="0" w:line="147" w:lineRule="exact"/>
        <w:rPr>
          <w:rFonts w:ascii="Arial" w:cs="Arial" w:eastAsia="Arial" w:hAnsi="Arial"/>
          <w:sz w:val="19"/>
          <w:szCs w:val="19"/>
          <w:color w:val="auto"/>
        </w:rPr>
      </w:pPr>
    </w:p>
    <w:p>
      <w:pPr>
        <w:jc w:val="both"/>
        <w:ind w:firstLine="656"/>
        <w:spacing w:after="0" w:line="259" w:lineRule="auto"/>
        <w:tabs>
          <w:tab w:leader="none" w:pos="119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 xml:space="preserve">each of the representations and warranties set forth in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(other than the representations and warranties set forth in </w:t>
      </w:r>
      <w:r>
        <w:rPr>
          <w:rFonts w:ascii="Arial" w:cs="Arial" w:eastAsia="Arial" w:hAnsi="Arial"/>
          <w:sz w:val="21"/>
          <w:szCs w:val="21"/>
          <w:u w:val="single" w:color="auto"/>
          <w:color w:val="auto"/>
        </w:rPr>
        <w:t>Sections 5.05</w:t>
      </w:r>
      <w:r>
        <w:rPr>
          <w:rFonts w:ascii="Arial" w:cs="Arial" w:eastAsia="Arial" w:hAnsi="Arial"/>
          <w:sz w:val="21"/>
          <w:szCs w:val="21"/>
          <w:color w:val="auto"/>
        </w:rPr>
        <w:t xml:space="preserve">, </w:t>
      </w:r>
      <w:r>
        <w:rPr>
          <w:rFonts w:ascii="Arial" w:cs="Arial" w:eastAsia="Arial" w:hAnsi="Arial"/>
          <w:sz w:val="21"/>
          <w:szCs w:val="21"/>
          <w:u w:val="single" w:color="auto"/>
          <w:color w:val="auto"/>
        </w:rPr>
        <w:t>5.06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5.07</w:t>
      </w:r>
      <w:r>
        <w:rPr>
          <w:rFonts w:ascii="Arial" w:cs="Arial" w:eastAsia="Arial" w:hAnsi="Arial"/>
          <w:sz w:val="21"/>
          <w:szCs w:val="21"/>
          <w:color w:val="auto"/>
        </w:rPr>
        <w:t>) are true and correct in all material respects (except to the extent such representations and warranties are qualified with “materiality” or “Material Adverse Effect” or similar terms, in which case such representations and warranties are true and correct in all respects) as of such Borrowing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have been true and correct in all respects) on and as of such earlier date; and</w:t>
      </w:r>
    </w:p>
    <w:p>
      <w:pPr>
        <w:spacing w:after="0" w:line="129" w:lineRule="exact"/>
        <w:rPr>
          <w:rFonts w:ascii="Arial" w:cs="Arial" w:eastAsia="Arial" w:hAnsi="Arial"/>
          <w:sz w:val="21"/>
          <w:szCs w:val="21"/>
          <w:color w:val="auto"/>
        </w:rPr>
      </w:pPr>
    </w:p>
    <w:p>
      <w:pPr>
        <w:ind w:left="1120" w:hanging="464"/>
        <w:spacing w:after="0"/>
        <w:tabs>
          <w:tab w:leader="none" w:pos="112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Borrower shall have delivered a Request for Credit Extension.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Each Request for Credit Extension shall constitute a representation and warranty by the Borrower that the applicable conditions contained in this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have been satisfied as of the applicable Borrowing Date.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EPRESENTATIONS AND</w:t>
      </w:r>
      <w:r>
        <w:rPr>
          <w:rFonts w:ascii="Arial" w:cs="Arial" w:eastAsia="Arial" w:hAnsi="Arial"/>
          <w:sz w:val="22"/>
          <w:szCs w:val="22"/>
          <w:color w:val="auto"/>
        </w:rPr>
        <w:t xml:space="preserve"> W</w:t>
      </w:r>
      <w:r>
        <w:rPr>
          <w:rFonts w:ascii="Arial" w:cs="Arial" w:eastAsia="Arial" w:hAnsi="Arial"/>
          <w:sz w:val="17"/>
          <w:szCs w:val="17"/>
          <w:color w:val="auto"/>
        </w:rPr>
        <w:t>ARRANTIES</w:t>
      </w:r>
    </w:p>
    <w:p>
      <w:pPr>
        <w:spacing w:after="0" w:line="1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The Borrower represents and warrants as follows to each Lender and the Agents as of the Closing Date and thereafter on each date as required by </w:t>
      </w:r>
      <w:r>
        <w:rPr>
          <w:rFonts w:ascii="Arial" w:cs="Arial" w:eastAsia="Arial" w:hAnsi="Arial"/>
          <w:sz w:val="22"/>
          <w:szCs w:val="22"/>
          <w:u w:val="single" w:color="auto"/>
          <w:color w:val="auto"/>
        </w:rPr>
        <w:t>Section 4.03</w:t>
      </w:r>
      <w:r>
        <w:rPr>
          <w:rFonts w:ascii="Arial" w:cs="Arial" w:eastAsia="Arial" w:hAnsi="Arial"/>
          <w:sz w:val="22"/>
          <w:szCs w:val="22"/>
          <w:color w:val="auto"/>
        </w:rPr>
        <w: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5.01 </w:t>
      </w:r>
      <w:r>
        <w:rPr>
          <w:rFonts w:ascii="Arial" w:cs="Arial" w:eastAsia="Arial" w:hAnsi="Arial"/>
          <w:sz w:val="22"/>
          <w:szCs w:val="22"/>
          <w:i w:val="1"/>
          <w:iCs w:val="1"/>
          <w:color w:val="auto"/>
        </w:rPr>
        <w:t>Existence and Standing</w:t>
      </w:r>
      <w:r>
        <w:rPr>
          <w:rFonts w:ascii="Arial" w:cs="Arial" w:eastAsia="Arial" w:hAnsi="Arial"/>
          <w:sz w:val="22"/>
          <w:szCs w:val="22"/>
          <w:color w:val="auto"/>
        </w:rPr>
        <w:t>. The Borrower (a) is a corporation, partnership, limited liability company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entity duly and properly incorporated or organized, as the case may be, validly existing and (to the extent such concept applies to such entity) in good standing under the laws of its jurisdiction of incorporation or organization and (b) has all requisite authority to conduct its business in each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281" w:name="page282"/>
    <w:bookmarkEnd w:id="281"/>
    <w:p>
      <w:pPr>
        <w:jc w:val="both"/>
        <w:spacing w:after="0" w:line="263" w:lineRule="auto"/>
        <w:rPr>
          <w:sz w:val="20"/>
          <w:szCs w:val="20"/>
          <w:color w:val="auto"/>
        </w:rPr>
      </w:pPr>
      <w:r>
        <w:rPr>
          <w:rFonts w:ascii="Arial" w:cs="Arial" w:eastAsia="Arial" w:hAnsi="Arial"/>
          <w:sz w:val="22"/>
          <w:szCs w:val="22"/>
          <w:color w:val="auto"/>
        </w:rPr>
        <w:t>in which its business is conducted, except to the extent that the failure to have such authority would not reasonably be expected to have a Material Adverse Effect.</w:t>
      </w:r>
    </w:p>
    <w:p>
      <w:pPr>
        <w:spacing w:after="0" w:line="11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5.02 </w:t>
      </w:r>
      <w:r>
        <w:rPr>
          <w:rFonts w:ascii="Arial" w:cs="Arial" w:eastAsia="Arial" w:hAnsi="Arial"/>
          <w:sz w:val="19"/>
          <w:szCs w:val="19"/>
          <w:i w:val="1"/>
          <w:iCs w:val="1"/>
          <w:color w:val="auto"/>
        </w:rPr>
        <w:t>Authorization and Validity</w:t>
      </w:r>
      <w:r>
        <w:rPr>
          <w:rFonts w:ascii="Arial" w:cs="Arial" w:eastAsia="Arial" w:hAnsi="Arial"/>
          <w:sz w:val="19"/>
          <w:szCs w:val="19"/>
          <w:color w:val="auto"/>
        </w:rPr>
        <w:t>. The Borrower has the power and authority and legal right to execute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 the Loan Documents and to perform its obligations thereunder. The execution and delivery by the Borrower of the Loan Documents and the performance of its obligations thereunder have been duly authorized by proper proceedings, and the Loan Documents constitute legal, valid and binding obligations of the Borrower enforceable against it in accordance with their terms, except as may be limited by bankruptcy, insolvency or similar laws relating to or affecting creditors’ rights generally and by general principles of equity, regardless of whether considered in a proceeding in equity or at law.</w:t>
      </w:r>
    </w:p>
    <w:p>
      <w:pPr>
        <w:spacing w:after="0" w:line="9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5.03</w:t>
      </w:r>
      <w:r>
        <w:rPr>
          <w:sz w:val="20"/>
          <w:szCs w:val="20"/>
          <w:color w:val="auto"/>
        </w:rPr>
        <w:tab/>
      </w:r>
      <w:r>
        <w:rPr>
          <w:rFonts w:ascii="Arial" w:cs="Arial" w:eastAsia="Arial" w:hAnsi="Arial"/>
          <w:sz w:val="19"/>
          <w:szCs w:val="19"/>
          <w:i w:val="1"/>
          <w:iCs w:val="1"/>
          <w:color w:val="auto"/>
        </w:rPr>
        <w:t>No Conflict; Government Consent</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59" w:lineRule="auto"/>
        <w:tabs>
          <w:tab w:leader="none" w:pos="130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 xml:space="preserve">Neither the execution and delivery by the Borrower of the Loan Documents, nor the consummation of the transactions therein contemplated, nor compliance with the provisions thereof will violate (i) any law, rule, regulation, order, writ, judgment, injunction, decree or award binding on the Borrower, (ii) the Borrower’s bylaws, articles or certificate of incorporation, partnership agreement, certificate of partnership, operating agreement or other management agreement, articles or certificate of organization or other similar formation, organizational or governing documents, instruments and agreements, as the case may be, or (iii) the provisions of any indenture, instrument or agreement to which the Borrower is a party or is subject, or by which it, or its Property, is bound, except in the case of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where such violation would not reasonably be expected to have a Material Adverse Effect.</w:t>
      </w:r>
    </w:p>
    <w:p>
      <w:pPr>
        <w:spacing w:after="0" w:line="129" w:lineRule="exact"/>
        <w:rPr>
          <w:rFonts w:ascii="Arial" w:cs="Arial" w:eastAsia="Arial" w:hAnsi="Arial"/>
          <w:sz w:val="21"/>
          <w:szCs w:val="21"/>
          <w:color w:val="auto"/>
        </w:rPr>
      </w:pPr>
    </w:p>
    <w:p>
      <w:pPr>
        <w:jc w:val="both"/>
        <w:ind w:firstLine="656"/>
        <w:spacing w:after="0" w:line="297" w:lineRule="auto"/>
        <w:tabs>
          <w:tab w:leader="none" w:pos="114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No order, consent, adjudication, approval, license, authorization, or validation of, or filing, recording or registration with, or exemption by, or other action in respect of any governmental or public body or authority, or any subdivision thereof, which has not been obtained by the Borrower, is required to be obtained by the Borrower in connection with the execution and delivery of the Loan Documents, the borrowings under the Loan Documents, the payment and performance by the Borrower of its Obligations or the legality, validity, binding effect or enforceability of the Loan Documents.</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5.04 </w:t>
      </w:r>
      <w:r>
        <w:rPr>
          <w:rFonts w:ascii="Arial" w:cs="Arial" w:eastAsia="Arial" w:hAnsi="Arial"/>
          <w:sz w:val="21"/>
          <w:szCs w:val="21"/>
          <w:i w:val="1"/>
          <w:iCs w:val="1"/>
          <w:color w:val="auto"/>
        </w:rPr>
        <w:t>Financial Statements</w:t>
      </w:r>
      <w:r>
        <w:rPr>
          <w:rFonts w:ascii="Arial" w:cs="Arial" w:eastAsia="Arial" w:hAnsi="Arial"/>
          <w:sz w:val="21"/>
          <w:szCs w:val="21"/>
          <w:color w:val="auto"/>
        </w:rPr>
        <w:t>. The December 31, 2020 audited consolidated financial statements of the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March 31, 2021 unaudited consolidated financial statements of the Borrower, and, if applicable, the unaudited consolidated financial statements of the Borrower as of the last day of any subsequent fiscal quarter (other than the fourth fiscal quarter of any fiscal year), in each case delivered prior to the Effective Date to the Arrangers and the Lenders, copies of which are included in the Borrower Form 10, (a) were prepared in accordance with GAAP (except as otherwise expressly noted therein), (b) fairly present in all material respects the consolidated financial condition and operations of the Borrower and its Subsidiaries at such date and the consolidated results of their operations and cash flows for the period then ended (subject, in the case of unaudited quarterly reports, to the absence of footnotes and to normal year-end audit adjustments) and (c) show all material indebtedness and other liabilities,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282" w:name="page283"/>
    <w:bookmarkEnd w:id="282"/>
    <w:p>
      <w:pPr>
        <w:jc w:val="both"/>
        <w:spacing w:after="0" w:line="263" w:lineRule="auto"/>
        <w:rPr>
          <w:sz w:val="20"/>
          <w:szCs w:val="20"/>
          <w:color w:val="auto"/>
        </w:rPr>
      </w:pPr>
      <w:r>
        <w:rPr>
          <w:rFonts w:ascii="Arial" w:cs="Arial" w:eastAsia="Arial" w:hAnsi="Arial"/>
          <w:sz w:val="22"/>
          <w:szCs w:val="22"/>
          <w:color w:val="auto"/>
        </w:rPr>
        <w:t>or contingent, of the Borrower and its Subsidiaries as of the date thereof that are required under Agreement Accounting Principles to be reflected thereon.</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5.05 </w:t>
      </w:r>
      <w:r>
        <w:rPr>
          <w:rFonts w:ascii="Arial" w:cs="Arial" w:eastAsia="Arial" w:hAnsi="Arial"/>
          <w:sz w:val="22"/>
          <w:szCs w:val="22"/>
          <w:i w:val="1"/>
          <w:iCs w:val="1"/>
          <w:color w:val="auto"/>
        </w:rPr>
        <w:t>Material Adverse Effect</w:t>
      </w:r>
      <w:r>
        <w:rPr>
          <w:rFonts w:ascii="Arial" w:cs="Arial" w:eastAsia="Arial" w:hAnsi="Arial"/>
          <w:sz w:val="22"/>
          <w:szCs w:val="22"/>
          <w:color w:val="auto"/>
        </w:rPr>
        <w:t>. As of the Effective Date, except as disclosed in the Borrower Form 10 (excluding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disclosures set forth in any risk factor section and in any section relating to forward-looking or safe harbor statements), since December 31, 2020, there has been no material adverse effect on the financial condition, results of operations, business or Property of the Borrower and its Subsidiaries taken as a whole.</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5.06 </w:t>
      </w:r>
      <w:r>
        <w:rPr>
          <w:rFonts w:ascii="Arial" w:cs="Arial" w:eastAsia="Arial" w:hAnsi="Arial"/>
          <w:sz w:val="21"/>
          <w:szCs w:val="21"/>
          <w:i w:val="1"/>
          <w:iCs w:val="1"/>
          <w:color w:val="auto"/>
        </w:rPr>
        <w:t>Solvency.</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Closing Date, immediately after giving effect to the Spinoff, (i) the Borrower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Subsidiaries on a consolidated basis are able to pay their debts and other liabilities, contingent obligations and other commitments as they mature in their ordinary course; (ii) the Borrower and its Subsidiaries do not intend to, and do not believe that they will, incur debts or liabilities beyond their ability to pay as such debts and liabilities mature in their ordinary course; (iii) the Borrower and its Subsidiaries on a consolidated basis are not engaged in a business or a transaction, and are not about to engage in a business or a transaction, for which their property would constitute unreasonably small capital after giving due consideration to the prevailing practice in the industry in which they are engaged; (iv) the fair value of the property and assets of the Borrower and its Subsidiaries on a consolidated basis is greater than the total amount of liabilities, including, without limitation, contingent liabilities, of the Borrower and its Subsidiaries on a consolidated basis; and (v) the present fair salable value of the property and assets of the Borrower and its Subsidiaries on a consolidated basis is not less than the amount that will be required to pay the probable liability of the Borrower and its Subsidiaries on a consolidated basis on their debts as they become absolute and matured. In computing the amount of contingent liabilities for purposes of this </w:t>
      </w:r>
      <w:r>
        <w:rPr>
          <w:rFonts w:ascii="Arial" w:cs="Arial" w:eastAsia="Arial" w:hAnsi="Arial"/>
          <w:sz w:val="21"/>
          <w:szCs w:val="21"/>
          <w:u w:val="single" w:color="auto"/>
          <w:color w:val="auto"/>
        </w:rPr>
        <w:t>Section 5.06</w:t>
      </w:r>
      <w:r>
        <w:rPr>
          <w:rFonts w:ascii="Arial" w:cs="Arial" w:eastAsia="Arial" w:hAnsi="Arial"/>
          <w:sz w:val="21"/>
          <w:szCs w:val="21"/>
          <w:color w:val="auto"/>
        </w:rPr>
        <w:t>, it is intended that such liabilities will be computed at the amount which, in light of all the facts and circumstances existing as of the date hereof, represents the amount that can reasonably be expected to become an actual or matured liability, and all in accordance with GAAP.</w:t>
      </w:r>
    </w:p>
    <w:p>
      <w:pPr>
        <w:spacing w:after="0" w:line="1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5.07 </w:t>
      </w:r>
      <w:r>
        <w:rPr>
          <w:rFonts w:ascii="Arial" w:cs="Arial" w:eastAsia="Arial" w:hAnsi="Arial"/>
          <w:sz w:val="19"/>
          <w:szCs w:val="19"/>
          <w:i w:val="1"/>
          <w:iCs w:val="1"/>
          <w:color w:val="auto"/>
        </w:rPr>
        <w:t>Litigation</w:t>
      </w:r>
      <w:r>
        <w:rPr>
          <w:rFonts w:ascii="Arial" w:cs="Arial" w:eastAsia="Arial" w:hAnsi="Arial"/>
          <w:sz w:val="19"/>
          <w:szCs w:val="19"/>
          <w:color w:val="auto"/>
        </w:rPr>
        <w:t>. As of the Effective Date, there is no litigation, arbitration, governmental investigation,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or inquiry pending or, to the knowledge of any of their officers, threatened against or affecting the Borrower or any of its Subsidiaries which has not been disclosed in the Borrower Form 10 (a) that would reasonably be expected to have a Material Adverse Effect or (b) which seeks to prevent, enjoin or delay the making of any Loan or otherwise calls into question the validity of any Loan Document and as to which there is a reasonable possibility of an adverse decision.</w:t>
      </w:r>
    </w:p>
    <w:p>
      <w:pPr>
        <w:spacing w:after="0" w:line="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5.08 </w:t>
      </w:r>
      <w:r>
        <w:rPr>
          <w:rFonts w:ascii="Arial" w:cs="Arial" w:eastAsia="Arial" w:hAnsi="Arial"/>
          <w:sz w:val="19"/>
          <w:szCs w:val="19"/>
          <w:i w:val="1"/>
          <w:iCs w:val="1"/>
          <w:color w:val="auto"/>
        </w:rPr>
        <w:t>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All written information other than financial projections and other forward-looking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information of a general economic or industry nature (as used in this </w:t>
      </w:r>
      <w:r>
        <w:rPr>
          <w:rFonts w:ascii="Arial" w:cs="Arial" w:eastAsia="Arial" w:hAnsi="Arial"/>
          <w:sz w:val="19"/>
          <w:szCs w:val="19"/>
          <w:u w:val="single" w:color="auto"/>
          <w:color w:val="auto"/>
        </w:rPr>
        <w:t>Section 5.08</w:t>
      </w:r>
      <w:r>
        <w:rPr>
          <w:rFonts w:ascii="Arial" w:cs="Arial" w:eastAsia="Arial" w:hAnsi="Arial"/>
          <w:sz w:val="19"/>
          <w:szCs w:val="19"/>
          <w:color w:val="auto"/>
        </w:rPr>
        <w:t>, the “</w:t>
      </w:r>
      <w:r>
        <w:rPr>
          <w:rFonts w:ascii="Arial" w:cs="Arial" w:eastAsia="Arial" w:hAnsi="Arial"/>
          <w:sz w:val="19"/>
          <w:szCs w:val="19"/>
          <w:u w:val="single" w:color="auto"/>
          <w:color w:val="auto"/>
        </w:rPr>
        <w:t>Information</w:t>
      </w:r>
      <w:r>
        <w:rPr>
          <w:rFonts w:ascii="Arial" w:cs="Arial" w:eastAsia="Arial" w:hAnsi="Arial"/>
          <w:sz w:val="19"/>
          <w:szCs w:val="19"/>
          <w:color w:val="auto"/>
        </w:rPr>
        <w:t>”) provided on or prior to the Effective Date by the Borrower or on behalf of the Borrower by its representatives to the Agents or the Lenders in connection with the negotiation of this Agreement does not, when taken as a whole, contain any untrue statement of a material fact or omit to state a material fact necessary to make the statements contained therein, when taken as a whole, not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283" w:name="page284"/>
    <w:bookmarkEnd w:id="283"/>
    <w:p>
      <w:pPr>
        <w:jc w:val="both"/>
        <w:spacing w:after="0" w:line="263" w:lineRule="auto"/>
        <w:rPr>
          <w:sz w:val="20"/>
          <w:szCs w:val="20"/>
          <w:color w:val="auto"/>
        </w:rPr>
      </w:pPr>
      <w:r>
        <w:rPr>
          <w:rFonts w:ascii="Arial" w:cs="Arial" w:eastAsia="Arial" w:hAnsi="Arial"/>
          <w:sz w:val="22"/>
          <w:szCs w:val="22"/>
          <w:color w:val="auto"/>
        </w:rPr>
        <w:t>misleading when taken as a whole and in light of the circumstances under which such statements were made (giving effect to any supplements then or theretofore furnished).</w:t>
      </w:r>
    </w:p>
    <w:p>
      <w:pPr>
        <w:spacing w:after="0" w:line="1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5.09 </w:t>
      </w:r>
      <w:r>
        <w:rPr>
          <w:rFonts w:ascii="Arial" w:cs="Arial" w:eastAsia="Arial" w:hAnsi="Arial"/>
          <w:sz w:val="21"/>
          <w:szCs w:val="21"/>
          <w:i w:val="1"/>
          <w:iCs w:val="1"/>
          <w:color w:val="auto"/>
        </w:rPr>
        <w:t>Regulation U</w:t>
      </w:r>
      <w:r>
        <w:rPr>
          <w:rFonts w:ascii="Arial" w:cs="Arial" w:eastAsia="Arial" w:hAnsi="Arial"/>
          <w:sz w:val="21"/>
          <w:szCs w:val="21"/>
          <w:color w:val="auto"/>
        </w:rPr>
        <w:t>. The Borrower is not engaged principally, or as one of its important activities, in the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of extending credit for the purpose, whether immediate, incidental or ultimate of buying or carrying margin stock (within the meaning of Regulation U or Regulation X); and after applying the proceeds of each Advance, margin stock (as defined in Regulation U) constitutes not more than twenty-five percent (25%) of the value of those assets of the Borrower which are subject to any limitation on sale or pledge, or any other restriction hereunder.</w:t>
      </w:r>
    </w:p>
    <w:p>
      <w:pPr>
        <w:spacing w:after="0" w:line="11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5.10 </w:t>
      </w:r>
      <w:r>
        <w:rPr>
          <w:rFonts w:ascii="Arial" w:cs="Arial" w:eastAsia="Arial" w:hAnsi="Arial"/>
          <w:sz w:val="22"/>
          <w:szCs w:val="22"/>
          <w:i w:val="1"/>
          <w:iCs w:val="1"/>
          <w:color w:val="auto"/>
        </w:rPr>
        <w:t>Investment Company Act</w:t>
      </w:r>
      <w:r>
        <w:rPr>
          <w:rFonts w:ascii="Arial" w:cs="Arial" w:eastAsia="Arial" w:hAnsi="Arial"/>
          <w:sz w:val="22"/>
          <w:szCs w:val="22"/>
          <w:color w:val="auto"/>
        </w:rPr>
        <w:t>. The Borrower is not an “investment company”, a company “controlled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company” or a company required to register as an “investment company,” each as defined in the Investment Company Act of 1940, as amended.</w:t>
      </w:r>
    </w:p>
    <w:p>
      <w:pPr>
        <w:spacing w:after="0" w:line="1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5.11 </w:t>
      </w:r>
      <w:r>
        <w:rPr>
          <w:rFonts w:ascii="Arial" w:cs="Arial" w:eastAsia="Arial" w:hAnsi="Arial"/>
          <w:sz w:val="22"/>
          <w:szCs w:val="22"/>
          <w:i w:val="1"/>
          <w:iCs w:val="1"/>
          <w:color w:val="auto"/>
        </w:rPr>
        <w:t>OFAC, FCPA</w:t>
      </w:r>
      <w:r>
        <w:rPr>
          <w:rFonts w:ascii="Arial" w:cs="Arial" w:eastAsia="Arial" w:hAnsi="Arial"/>
          <w:sz w:val="22"/>
          <w:szCs w:val="22"/>
          <w:color w:val="auto"/>
        </w:rPr>
        <w:t>. Neither the Borrower nor any of its Subsidiaries, nor, to the knowledge of the Borrower, any</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or officer thereof, is an individual or entity that is (a) the subject or target of any Sanctions or in violation of applicable Anti-Corruption Laws, (b) included on OFAC’s List of Specially Designated Nationals, HMT’s Consolidated List of Financial Sanctions Targets and the Investment Ban List, or any similar list enforced by the United States federal government (including, without limitation, OFAC), the European Union or Her Majesty’s Treasury or (c) located, organized or resident in a Designated Jurisdiction.</w:t>
      </w:r>
    </w:p>
    <w:p>
      <w:pPr>
        <w:spacing w:after="0" w:line="1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5.12 </w:t>
      </w:r>
      <w:r>
        <w:rPr>
          <w:rFonts w:ascii="Arial" w:cs="Arial" w:eastAsia="Arial" w:hAnsi="Arial"/>
          <w:sz w:val="19"/>
          <w:szCs w:val="19"/>
          <w:i w:val="1"/>
          <w:iCs w:val="1"/>
          <w:color w:val="auto"/>
        </w:rPr>
        <w:t>Taxes</w:t>
      </w:r>
      <w:r>
        <w:rPr>
          <w:rFonts w:ascii="Arial" w:cs="Arial" w:eastAsia="Arial" w:hAnsi="Arial"/>
          <w:sz w:val="19"/>
          <w:szCs w:val="19"/>
          <w:color w:val="auto"/>
        </w:rPr>
        <w:t>. Each of Borrower and its Subsidiaries has timely filed or caused to be filed all Tax returns and</w:t>
      </w:r>
      <w:r>
        <w:rPr>
          <w:rFonts w:ascii="Arial" w:cs="Arial" w:eastAsia="Arial" w:hAnsi="Arial"/>
          <w:sz w:val="19"/>
          <w:szCs w:val="19"/>
          <w:b w:val="1"/>
          <w:bCs w:val="1"/>
          <w:color w:val="auto"/>
        </w:rPr>
        <w:t xml:space="preserve"> </w:t>
      </w:r>
      <w:r>
        <w:rPr>
          <w:rFonts w:ascii="Arial" w:cs="Arial" w:eastAsia="Arial" w:hAnsi="Arial"/>
          <w:sz w:val="19"/>
          <w:szCs w:val="19"/>
          <w:color w:val="auto"/>
        </w:rPr>
        <w:t>reports required to have been filed and has paid or caused to be paid all Taxes required to have been paid by it, except (a) Taxes that are being contested in good faith by appropriate proceedings and for which reserves have been provided in accordance with GAAP or (b) to the extent that the failure to do so would not reasonably be expected to result in a Material Adverse Effect.</w:t>
      </w:r>
    </w:p>
    <w:p>
      <w:pPr>
        <w:spacing w:after="0" w:line="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5.13</w:t>
      </w:r>
      <w:r>
        <w:rPr>
          <w:sz w:val="20"/>
          <w:szCs w:val="20"/>
          <w:color w:val="auto"/>
        </w:rPr>
        <w:tab/>
      </w:r>
      <w:r>
        <w:rPr>
          <w:rFonts w:ascii="Arial" w:cs="Arial" w:eastAsia="Arial" w:hAnsi="Arial"/>
          <w:sz w:val="19"/>
          <w:szCs w:val="19"/>
          <w:i w:val="1"/>
          <w:iCs w:val="1"/>
          <w:color w:val="auto"/>
        </w:rPr>
        <w:t>Affected Financial Institution</w:t>
      </w:r>
      <w:r>
        <w:rPr>
          <w:rFonts w:ascii="Arial" w:cs="Arial" w:eastAsia="Arial" w:hAnsi="Arial"/>
          <w:sz w:val="19"/>
          <w:szCs w:val="19"/>
          <w:color w:val="auto"/>
        </w:rPr>
        <w:t>. The Borrower is not an Affected Financial Institution.</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OVENANTS</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From the Closing Date, so long as any Lender shall have any Commitment hereunder, or any Loan or other Obligation hereunder (other than any contingent indemnification obligations for which no claim has been made) shall remain unpaid or unsatisfied or (except to the extent agreed by the Issuing Lender that has issued such Letter of Credit or to the extent such Letter of Credit has been Cash Collateralized) any Letter of Credit shall remain outstanding:</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6.01 </w:t>
      </w:r>
      <w:r>
        <w:rPr>
          <w:rFonts w:ascii="Arial" w:cs="Arial" w:eastAsia="Arial" w:hAnsi="Arial"/>
          <w:sz w:val="22"/>
          <w:szCs w:val="22"/>
          <w:i w:val="1"/>
          <w:iCs w:val="1"/>
          <w:color w:val="auto"/>
        </w:rPr>
        <w:t>Financial Reporting</w:t>
      </w:r>
      <w:r>
        <w:rPr>
          <w:rFonts w:ascii="Arial" w:cs="Arial" w:eastAsia="Arial" w:hAnsi="Arial"/>
          <w:sz w:val="22"/>
          <w:szCs w:val="22"/>
          <w:color w:val="auto"/>
        </w:rPr>
        <w:t>. The Borrower will maintain, for itself and each Subsidiary, a system of accounting</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and administered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GAAP, and furnish to the Administrative Agent for the Administrative Agent’s distribution to the Lenders:</w:t>
      </w:r>
    </w:p>
    <w:p>
      <w:pPr>
        <w:spacing w:after="0" w:line="166" w:lineRule="exact"/>
        <w:rPr>
          <w:sz w:val="20"/>
          <w:szCs w:val="20"/>
          <w:color w:val="auto"/>
        </w:rPr>
      </w:pPr>
    </w:p>
    <w:p>
      <w:pPr>
        <w:jc w:val="both"/>
        <w:ind w:firstLine="656"/>
        <w:spacing w:after="0" w:line="261" w:lineRule="auto"/>
        <w:tabs>
          <w:tab w:leader="none" w:pos="125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As soon as available, but in any event on or prior to the 90th day after the close of each of its fiscal years (commencing with the first fiscal year of the Borrower ending after the Closing Date), a consolidated balance sheet as of the end of such period, related statements of operations, comprehensive income (loss), changes in equity and cash flows prepared in accordance with GAAP on a consolidated basis for itself and its Subsidiaries, together with an audit report certified by independent certified public accountants of recognized standing, whose opinion shall not be qualified as to the scope of the audit or as to the status of the Borrower and its consolidated Subsidiaries as a going concern.</w:t>
      </w:r>
    </w:p>
    <w:p>
      <w:pPr>
        <w:spacing w:after="0" w:line="125" w:lineRule="exact"/>
        <w:rPr>
          <w:rFonts w:ascii="Arial" w:cs="Arial" w:eastAsia="Arial" w:hAnsi="Arial"/>
          <w:sz w:val="21"/>
          <w:szCs w:val="21"/>
          <w:color w:val="auto"/>
        </w:rPr>
      </w:pPr>
    </w:p>
    <w:p>
      <w:pPr>
        <w:jc w:val="both"/>
        <w:ind w:firstLine="656"/>
        <w:spacing w:after="0" w:line="294" w:lineRule="auto"/>
        <w:tabs>
          <w:tab w:leader="none" w:pos="111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As soon as available, but in any event on or prior to the 45th day after the close of the first three quarterly periods of each of its fiscal years (commencing with the first such fiscal quarter of the Borrower ending after the Closing Date), for itself and its Subsidiaries, a consolidated (or, at the Borrower’s option and to the extent filed (or to be filed) with the SEC in its quarterly report on Form 10-Q, condensed consolidated) unaudited balance sheet as at the close of each such period and consolidated unaudited statements of operations, comprehensive income (loss) and cash flows for the period from the beginning of such fiscal year to the end of such quarter, all certified by its chief financial officer, chief accounting officer or treasurer.</w:t>
      </w:r>
    </w:p>
    <w:p>
      <w:pPr>
        <w:spacing w:after="0" w:line="95" w:lineRule="exact"/>
        <w:rPr>
          <w:rFonts w:ascii="Arial" w:cs="Arial" w:eastAsia="Arial" w:hAnsi="Arial"/>
          <w:sz w:val="19"/>
          <w:szCs w:val="19"/>
          <w:color w:val="auto"/>
        </w:rPr>
      </w:pPr>
    </w:p>
    <w:p>
      <w:pPr>
        <w:jc w:val="both"/>
        <w:ind w:firstLine="656"/>
        <w:spacing w:after="0" w:line="257" w:lineRule="auto"/>
        <w:tabs>
          <w:tab w:leader="none" w:pos="1321"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Together with the financial statements required under </w:t>
      </w:r>
      <w:r>
        <w:rPr>
          <w:rFonts w:ascii="Arial" w:cs="Arial" w:eastAsia="Arial" w:hAnsi="Arial"/>
          <w:sz w:val="21"/>
          <w:szCs w:val="21"/>
          <w:u w:val="single" w:color="auto"/>
          <w:color w:val="auto"/>
        </w:rPr>
        <w:t>Sections 6.01(a)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 compliance certificate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signed by its chief financial officer, chief accounting officer or treasurer showing the calculations necessary to determine compliance with the financial covenant set forth in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and stating that no Default or Unmatured Default exists, or if any Default or Unmatured Default exists, stating the nature and status thereof, it being understood and agreed that in the event the Borrower delivers a notice to the Administrative Agent pursuant to the proviso to the definition of “Agreement Accounting Principles”, “Capitalized Leases” and/or “Capitalized Lease Obligations”, the Borrower shall deliver an additional calculation of compliance with the financial covenant set forth in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demonstrating that notwithstanding GAAP in effect at such time, the Borrower has complied with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under GAAP (i) as in effect and applied immediately before such change in GAAP (in the case of such a notice under “Agreement Accounting Principles”) or (ii) as it relates to operating leases, as in effect on January 31, 2018 (in the case of such a notice under “Capitalized Leases” or “Capitalized Lease Obligations”), which shall satisfy the Borrower’s obligation to furnish a calculation of compliance in this </w:t>
      </w:r>
      <w:r>
        <w:rPr>
          <w:rFonts w:ascii="Arial" w:cs="Arial" w:eastAsia="Arial" w:hAnsi="Arial"/>
          <w:sz w:val="21"/>
          <w:szCs w:val="21"/>
          <w:u w:val="single" w:color="auto"/>
          <w:color w:val="auto"/>
        </w:rPr>
        <w:t>Section 6.01(c)</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the Borrower be required to furnish the Administrative Agent with more than one version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financial statements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6.01(b)</w:t>
      </w:r>
      <w:r>
        <w:rPr>
          <w:rFonts w:ascii="Arial" w:cs="Arial" w:eastAsia="Arial" w:hAnsi="Arial"/>
          <w:sz w:val="21"/>
          <w:szCs w:val="21"/>
          <w:color w:val="auto"/>
        </w:rPr>
        <w:t xml:space="preserve"> prepared in accordance with different versions of GAAP as a result of any such notice.</w:t>
      </w:r>
    </w:p>
    <w:p>
      <w:pPr>
        <w:spacing w:after="0" w:line="132" w:lineRule="exact"/>
        <w:rPr>
          <w:rFonts w:ascii="Arial" w:cs="Arial" w:eastAsia="Arial" w:hAnsi="Arial"/>
          <w:sz w:val="21"/>
          <w:szCs w:val="21"/>
          <w:color w:val="auto"/>
        </w:rPr>
      </w:pPr>
    </w:p>
    <w:p>
      <w:pPr>
        <w:ind w:firstLine="656"/>
        <w:spacing w:after="0" w:line="263" w:lineRule="auto"/>
        <w:tabs>
          <w:tab w:leader="none" w:pos="1127"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Promptly upon the filing thereof, copies of all registration statements or other regular reports not otherwise provided pursuant to this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which the Borrower or any of its Subsidiaries files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285" w:name="page286"/>
    <w:bookmarkEnd w:id="285"/>
    <w:p>
      <w:pPr>
        <w:jc w:val="both"/>
        <w:ind w:firstLine="656"/>
        <w:spacing w:after="0" w:line="253" w:lineRule="auto"/>
        <w:tabs>
          <w:tab w:leader="none" w:pos="110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Such other information with respect to the business, condition or operations, financial or otherwise, and Properties of the Borrower and its Subsidiaries as the Administrative Agent, including at the request of any Lender, may from time to time reasonably request.</w:t>
      </w:r>
    </w:p>
    <w:p>
      <w:pPr>
        <w:spacing w:after="0" w:line="1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may be delivered electronically and if so delivered, shall be deemed to have been delivered on the date (i) on which the Borrower posts such documents, or provides a link thereto on the Borrower’s website or such other website with respect to which the Borrower may from time to time notify the Administrative Agent and to which the Lenders have access; or (ii) on which such documents are posted on the Borrower’s behalf by the Administrative Agent on DebtDomain, SyndTrak or another relevant website, if any, to which each Lender and the Administrative Agent have access (whether a commercial, third-party website or whether sponsored by the Administrative Agent) or filed electronically through EDGAR and available on the Internet at www.sec.gov. The Administrative Agent shall have no obligation to request the delivery or to maintain copies of the documents referred to above, and in any event shall have no responsibility to monitor compliance by the Borrower with any such request for delivery.</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9"/>
          <w:szCs w:val="19"/>
          <w:b w:val="1"/>
          <w:bCs w:val="1"/>
          <w:color w:val="auto"/>
        </w:rPr>
        <w:t>Borrower Materials</w:t>
      </w:r>
      <w:r>
        <w:rPr>
          <w:rFonts w:ascii="Arial" w:cs="Arial" w:eastAsia="Arial" w:hAnsi="Arial"/>
          <w:sz w:val="19"/>
          <w:szCs w:val="19"/>
          <w:color w:val="auto"/>
        </w:rPr>
        <w:t>”) by posting the Borrower Materials on DebtDomain, SyndTrak or another similar electronic system (the “</w:t>
      </w:r>
      <w:r>
        <w:rPr>
          <w:rFonts w:ascii="Arial" w:cs="Arial" w:eastAsia="Arial" w:hAnsi="Arial"/>
          <w:sz w:val="19"/>
          <w:szCs w:val="19"/>
          <w:b w:val="1"/>
          <w:bCs w:val="1"/>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b w:val="1"/>
          <w:bCs w:val="1"/>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9.10</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that is not designated “Public Side Information.”</w:t>
      </w:r>
    </w:p>
    <w:p>
      <w:pPr>
        <w:spacing w:after="0" w:line="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6.02 </w:t>
      </w:r>
      <w:r>
        <w:rPr>
          <w:rFonts w:ascii="Arial" w:cs="Arial" w:eastAsia="Arial" w:hAnsi="Arial"/>
          <w:sz w:val="22"/>
          <w:szCs w:val="22"/>
          <w:i w:val="1"/>
          <w:iCs w:val="1"/>
          <w:color w:val="auto"/>
        </w:rPr>
        <w:t>Use of Proceeds</w:t>
      </w:r>
      <w:r>
        <w:rPr>
          <w:rFonts w:ascii="Arial" w:cs="Arial" w:eastAsia="Arial" w:hAnsi="Arial"/>
          <w:sz w:val="22"/>
          <w:szCs w:val="22"/>
          <w:color w:val="auto"/>
        </w:rPr>
        <w:t>. The Borrower will, and will cause each of its Subsidiaries to, use the proceeds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Advances for general corporate purposes (which may include, without limitation, financing the consideration for and fees, costs and expenses related to any Acquisition). The Borrower shall use the proceeds of the Advances in compliance with all applicable legal and regulatory requirements and any such use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286" w:name="page287"/>
    <w:bookmarkEnd w:id="286"/>
    <w:p>
      <w:pPr>
        <w:jc w:val="both"/>
        <w:spacing w:after="0" w:line="263" w:lineRule="auto"/>
        <w:rPr>
          <w:sz w:val="20"/>
          <w:szCs w:val="20"/>
          <w:color w:val="auto"/>
        </w:rPr>
      </w:pPr>
      <w:r>
        <w:rPr>
          <w:rFonts w:ascii="Arial" w:cs="Arial" w:eastAsia="Arial" w:hAnsi="Arial"/>
          <w:sz w:val="22"/>
          <w:szCs w:val="22"/>
          <w:color w:val="auto"/>
        </w:rPr>
        <w:t>not result in a violation of any such requirements, including, without limitation, Regulation U and Regulation X, the Securities Act of 1933 and the Securities Exchange Act of 1934 and the regulations promulgated thereunder.</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6.03 </w:t>
      </w:r>
      <w:r>
        <w:rPr>
          <w:rFonts w:ascii="Arial" w:cs="Arial" w:eastAsia="Arial" w:hAnsi="Arial"/>
          <w:sz w:val="22"/>
          <w:szCs w:val="22"/>
          <w:i w:val="1"/>
          <w:iCs w:val="1"/>
          <w:color w:val="auto"/>
        </w:rPr>
        <w:t>Notice of Default</w:t>
      </w:r>
      <w:r>
        <w:rPr>
          <w:rFonts w:ascii="Arial" w:cs="Arial" w:eastAsia="Arial" w:hAnsi="Arial"/>
          <w:sz w:val="22"/>
          <w:szCs w:val="22"/>
          <w:color w:val="auto"/>
        </w:rPr>
        <w:t>. The Borrower will give prompt notice in writing to the Lenders of the occurrence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Default or Unmatured Default.</w:t>
      </w:r>
    </w:p>
    <w:p>
      <w:pPr>
        <w:spacing w:after="0" w:line="10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6.04 </w:t>
      </w:r>
      <w:r>
        <w:rPr>
          <w:rFonts w:ascii="Arial" w:cs="Arial" w:eastAsia="Arial" w:hAnsi="Arial"/>
          <w:sz w:val="19"/>
          <w:szCs w:val="19"/>
          <w:i w:val="1"/>
          <w:iCs w:val="1"/>
          <w:color w:val="auto"/>
        </w:rPr>
        <w:t>Conduct of Business</w:t>
      </w:r>
      <w:r>
        <w:rPr>
          <w:rFonts w:ascii="Arial" w:cs="Arial" w:eastAsia="Arial" w:hAnsi="Arial"/>
          <w:sz w:val="19"/>
          <w:szCs w:val="19"/>
          <w:color w:val="auto"/>
        </w:rPr>
        <w:t>. The Borrower will, and will cause each of its Subsidiaries to,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permitted by </w:t>
      </w:r>
      <w:r>
        <w:rPr>
          <w:rFonts w:ascii="Arial" w:cs="Arial" w:eastAsia="Arial" w:hAnsi="Arial"/>
          <w:sz w:val="19"/>
          <w:szCs w:val="19"/>
          <w:u w:val="single" w:color="auto"/>
          <w:color w:val="auto"/>
        </w:rPr>
        <w:t>Section 6.09</w:t>
      </w:r>
      <w:r>
        <w:rPr>
          <w:rFonts w:ascii="Arial" w:cs="Arial" w:eastAsia="Arial" w:hAnsi="Arial"/>
          <w:sz w:val="19"/>
          <w:szCs w:val="19"/>
          <w:color w:val="auto"/>
        </w:rPr>
        <w:t>, do all things necessary to remain duly incorporated or organized, validly existing and (to the extent such concept applies to such entity) in good standing as a corporation, partnership, limited liability company or other entity in its jurisdiction of incorporation or organization, as the case may be, and maintain all requisite authority to conduct its business in each jurisdiction in which its business is conducted, except in each case (other than valid existence of the Borrower) where the failure to do so would not reasonably be expected to have a Material Adverse Effect.</w:t>
      </w:r>
    </w:p>
    <w:p>
      <w:pPr>
        <w:spacing w:after="0" w:line="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6.05 </w:t>
      </w:r>
      <w:r>
        <w:rPr>
          <w:rFonts w:ascii="Arial" w:cs="Arial" w:eastAsia="Arial" w:hAnsi="Arial"/>
          <w:sz w:val="22"/>
          <w:szCs w:val="22"/>
          <w:i w:val="1"/>
          <w:iCs w:val="1"/>
          <w:color w:val="auto"/>
        </w:rPr>
        <w:t>Compliance with Laws</w:t>
      </w:r>
      <w:r>
        <w:rPr>
          <w:rFonts w:ascii="Arial" w:cs="Arial" w:eastAsia="Arial" w:hAnsi="Arial"/>
          <w:sz w:val="22"/>
          <w:szCs w:val="22"/>
          <w:color w:val="auto"/>
        </w:rPr>
        <w:t>. The Borrower will, and will cause each of its Major Subsidiaries to, comply in all</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respects with all applicable laws, rules, regulations and orders (such compliance to include, without limitation, compliance with ERISA and Environmental Laws and paying before the same become delinquent all Taxes, assessments and governmental charges imposed upon it or upon its property except to the extent contested in good faith), except to the extent such noncompliance would not have a Material Adverse Effect.</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6.06 </w:t>
      </w:r>
      <w:r>
        <w:rPr>
          <w:rFonts w:ascii="Arial" w:cs="Arial" w:eastAsia="Arial" w:hAnsi="Arial"/>
          <w:sz w:val="21"/>
          <w:szCs w:val="21"/>
          <w:i w:val="1"/>
          <w:iCs w:val="1"/>
          <w:color w:val="auto"/>
        </w:rPr>
        <w:t>Inspection; Keeping of Books and Records</w:t>
      </w:r>
      <w:r>
        <w:rPr>
          <w:rFonts w:ascii="Arial" w:cs="Arial" w:eastAsia="Arial" w:hAnsi="Arial"/>
          <w:sz w:val="21"/>
          <w:szCs w:val="21"/>
          <w:color w:val="auto"/>
        </w:rPr>
        <w:t>. Subject to applicable law and third party 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entered into by the Borrower or any Subsidiary in the ordinary course of business, the Borrower will, and will cause each Subsidiary to, permit the Administrative Agent, during the continuance of a Default or Unmatured Default, by its representatives and agents, to inspect any of the Property, books and financial records of the Borrower and each Subsidiary, to examine and make copies of the books of accounts and other financial records of the Borrower and each Subsidiary, and to discuss the affairs, finances and accounts of the Borrower and each Subsidiary with their respective officers at such reasonable times and intervals as the Administrative Agent may designate but in all events upon reasonable prior notice to the Borrower. The Borrower shall keep and maintain, and cause each of its Subsidiaries to keep and maintain, in all material respects, proper books of record and account in which entries in conformity with GAAP shall be made of all dealings and transactions in relation to their respective businesses and activities.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6.07 </w:t>
      </w:r>
      <w:r>
        <w:rPr>
          <w:rFonts w:ascii="Arial" w:cs="Arial" w:eastAsia="Arial" w:hAnsi="Arial"/>
          <w:sz w:val="22"/>
          <w:szCs w:val="22"/>
          <w:i w:val="1"/>
          <w:iCs w:val="1"/>
          <w:color w:val="auto"/>
        </w:rPr>
        <w:t>OFAC, FCPA</w:t>
      </w:r>
      <w:r>
        <w:rPr>
          <w:rFonts w:ascii="Arial" w:cs="Arial" w:eastAsia="Arial" w:hAnsi="Arial"/>
          <w:sz w:val="22"/>
          <w:szCs w:val="22"/>
          <w:color w:val="auto"/>
        </w:rPr>
        <w:t>. The Borrower will maintain in effect and enforce policies and procedures designed to</w:t>
      </w:r>
      <w:r>
        <w:rPr>
          <w:rFonts w:ascii="Arial" w:cs="Arial" w:eastAsia="Arial" w:hAnsi="Arial"/>
          <w:sz w:val="22"/>
          <w:szCs w:val="22"/>
          <w:b w:val="1"/>
          <w:bCs w:val="1"/>
          <w:color w:val="auto"/>
        </w:rPr>
        <w:t xml:space="preserve"> </w:t>
      </w:r>
      <w:r>
        <w:rPr>
          <w:rFonts w:ascii="Arial" w:cs="Arial" w:eastAsia="Arial" w:hAnsi="Arial"/>
          <w:sz w:val="22"/>
          <w:szCs w:val="22"/>
          <w:color w:val="auto"/>
        </w:rPr>
        <w:t>ensure compliance by the Borrower, its Subsidiaries and their respective directors, employees and agents with Anti-Corruption Laws and applicable Sanctions.</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6.08 </w:t>
      </w:r>
      <w:r>
        <w:rPr>
          <w:rFonts w:ascii="Arial" w:cs="Arial" w:eastAsia="Arial" w:hAnsi="Arial"/>
          <w:sz w:val="22"/>
          <w:szCs w:val="22"/>
          <w:i w:val="1"/>
          <w:iCs w:val="1"/>
          <w:color w:val="auto"/>
        </w:rPr>
        <w:t>Maintenance of Material Property and Insurance</w:t>
      </w:r>
      <w:r>
        <w:rPr>
          <w:rFonts w:ascii="Arial" w:cs="Arial" w:eastAsia="Arial" w:hAnsi="Arial"/>
          <w:sz w:val="22"/>
          <w:szCs w:val="22"/>
          <w:color w:val="auto"/>
        </w:rPr>
        <w:t>. The Borrower will, and will cause each of the Major</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to, (a) keep and maintain all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8" w:right="339" w:bottom="1440" w:gutter="0" w:footer="0" w:header="0"/>
        </w:sectPr>
      </w:pPr>
    </w:p>
    <w:bookmarkStart w:id="287" w:name="page288"/>
    <w:bookmarkEnd w:id="287"/>
    <w:p>
      <w:pPr>
        <w:jc w:val="both"/>
        <w:spacing w:after="0" w:line="302" w:lineRule="auto"/>
        <w:rPr>
          <w:sz w:val="20"/>
          <w:szCs w:val="20"/>
          <w:color w:val="auto"/>
        </w:rPr>
      </w:pPr>
      <w:r>
        <w:rPr>
          <w:rFonts w:ascii="Arial" w:cs="Arial" w:eastAsia="Arial" w:hAnsi="Arial"/>
          <w:sz w:val="19"/>
          <w:szCs w:val="19"/>
          <w:color w:val="auto"/>
        </w:rPr>
        <w:t>material to the conduct of its business in good working order and condition, ordinary wear and tear excepted, except where the failure to do so would not reasonably be expected to have a Material Adverse Effect, and (b) maintain, with reputable insurance companies, insurance, or maintain a self-insurance program, in such amounts and against such risks as are in accordance with normal industry practice, except where the failure to do so would not reasonably be expected to have a Material Adverse Effect.</w:t>
      </w:r>
    </w:p>
    <w:p>
      <w:pPr>
        <w:spacing w:after="0" w:line="8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6.09</w:t>
      </w:r>
      <w:r>
        <w:rPr>
          <w:sz w:val="20"/>
          <w:szCs w:val="20"/>
          <w:color w:val="auto"/>
        </w:rPr>
        <w:tab/>
      </w:r>
      <w:r>
        <w:rPr>
          <w:rFonts w:ascii="Arial" w:cs="Arial" w:eastAsia="Arial" w:hAnsi="Arial"/>
          <w:sz w:val="19"/>
          <w:szCs w:val="19"/>
          <w:i w:val="1"/>
          <w:iCs w:val="1"/>
          <w:color w:val="auto"/>
        </w:rPr>
        <w:t>Merger</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90" w:lineRule="auto"/>
        <w:tabs>
          <w:tab w:leader="none" w:pos="118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Borrower will not (x) merge into or consolidate with any other Person, (y) effect a Disposition to any other Person (other than the Borrower or its Subsidiaries) or (z) liquidate or dissolve, unless (i) the Person formed by such consolidation or into which the Borrower is merged or to whom such Disposition is made shall be a Person organized and existing under the laws of the United States of America, any State thereof or the District of Columbia and shall expressly assume pursuant to an instrument executed and delivered to the Administrative Agent, and in form and substance reasonably satisfactory to the Administrative Agent, the Borrower’s obligations for the due and punctual payment of the Obligations and the performance of every covenant of this Agreement on the part of the Borrower to be performed; and (ii) immediately after giving effect to such transaction, no Default or Unmatured Default shall have occurred and be continuing.</w:t>
      </w:r>
    </w:p>
    <w:p>
      <w:pPr>
        <w:spacing w:after="0" w:line="101" w:lineRule="exact"/>
        <w:rPr>
          <w:rFonts w:ascii="Arial" w:cs="Arial" w:eastAsia="Arial" w:hAnsi="Arial"/>
          <w:sz w:val="19"/>
          <w:szCs w:val="19"/>
          <w:color w:val="auto"/>
        </w:rPr>
      </w:pPr>
    </w:p>
    <w:p>
      <w:pPr>
        <w:jc w:val="both"/>
        <w:ind w:firstLine="656"/>
        <w:spacing w:after="0" w:line="248" w:lineRule="auto"/>
        <w:tabs>
          <w:tab w:leader="none" w:pos="1155" w:val="left"/>
        </w:tabs>
        <w:numPr>
          <w:ilvl w:val="0"/>
          <w:numId w:val="229"/>
        </w:numPr>
        <w:rPr>
          <w:rFonts w:ascii="Arial" w:cs="Arial" w:eastAsia="Arial" w:hAnsi="Arial"/>
          <w:sz w:val="22"/>
          <w:szCs w:val="22"/>
          <w:color w:val="auto"/>
        </w:rPr>
      </w:pPr>
      <w:r>
        <w:rPr>
          <w:rFonts w:ascii="Arial" w:cs="Arial" w:eastAsia="Arial" w:hAnsi="Arial"/>
          <w:sz w:val="22"/>
          <w:szCs w:val="22"/>
          <w:color w:val="auto"/>
        </w:rPr>
        <w:t>Upon any consolidation by the Borrower with, merger by the Borrower into or Disposition by the Borrower to any other Person (other than the Borrower or its Subsidiaries), the successor Person formed by such consolidation, into which the Borrower is merged or to whom such Disposition is made shall succeed to, and be substituted for, and may exercise every right and power of, the Borrower under this Agreement with the same effect as if such successor Person had been named as the Borrower herein.</w:t>
      </w:r>
    </w:p>
    <w:p>
      <w:pPr>
        <w:spacing w:after="0" w:line="137" w:lineRule="exact"/>
        <w:rPr>
          <w:rFonts w:ascii="Arial" w:cs="Arial" w:eastAsia="Arial" w:hAnsi="Arial"/>
          <w:sz w:val="22"/>
          <w:szCs w:val="22"/>
          <w:color w:val="auto"/>
        </w:rPr>
      </w:pPr>
    </w:p>
    <w:p>
      <w:pPr>
        <w:ind w:right="20" w:firstLine="656"/>
        <w:spacing w:after="0" w:line="263" w:lineRule="auto"/>
        <w:tabs>
          <w:tab w:leader="none" w:pos="116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For the avoidance of doubt, the only merger or consolidation as to which </w:t>
      </w:r>
      <w:r>
        <w:rPr>
          <w:rFonts w:ascii="Arial" w:cs="Arial" w:eastAsia="Arial" w:hAnsi="Arial"/>
          <w:sz w:val="22"/>
          <w:szCs w:val="22"/>
          <w:u w:val="single" w:color="auto"/>
          <w:color w:val="auto"/>
        </w:rPr>
        <w:t>Section 6.09(a)(x)</w:t>
      </w:r>
      <w:r>
        <w:rPr>
          <w:rFonts w:ascii="Arial" w:cs="Arial" w:eastAsia="Arial" w:hAnsi="Arial"/>
          <w:sz w:val="22"/>
          <w:szCs w:val="22"/>
          <w:color w:val="auto"/>
        </w:rPr>
        <w:t xml:space="preserve"> shall apply shall be a merger or consolidation in which the Borrower is not the surviving Person.</w:t>
      </w:r>
    </w:p>
    <w:p>
      <w:pPr>
        <w:spacing w:after="0" w:line="115"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 xml:space="preserve">Section 6.10 </w:t>
      </w:r>
      <w:r>
        <w:rPr>
          <w:rFonts w:ascii="Arial" w:cs="Arial" w:eastAsia="Arial" w:hAnsi="Arial"/>
          <w:sz w:val="21"/>
          <w:szCs w:val="21"/>
          <w:i w:val="1"/>
          <w:iCs w:val="1"/>
          <w:color w:val="auto"/>
        </w:rPr>
        <w:t>Non-Guarantor Subsidiary Indebtedness.</w:t>
      </w:r>
      <w:r>
        <w:rPr>
          <w:rFonts w:ascii="Arial" w:cs="Arial" w:eastAsia="Arial" w:hAnsi="Arial"/>
          <w:sz w:val="21"/>
          <w:szCs w:val="21"/>
          <w:b w:val="1"/>
          <w:bCs w:val="1"/>
          <w:color w:val="auto"/>
        </w:rPr>
        <w:t xml:space="preserve"> </w:t>
      </w:r>
      <w:r>
        <w:rPr>
          <w:rFonts w:ascii="Arial" w:cs="Arial" w:eastAsia="Arial" w:hAnsi="Arial"/>
          <w:sz w:val="21"/>
          <w:szCs w:val="21"/>
          <w:color w:val="auto"/>
        </w:rPr>
        <w:t>The Borrower will not permit any Major Subsidiary which is not</w:t>
      </w:r>
      <w:r>
        <w:rPr>
          <w:rFonts w:ascii="Arial" w:cs="Arial" w:eastAsia="Arial" w:hAnsi="Arial"/>
          <w:sz w:val="21"/>
          <w:szCs w:val="21"/>
          <w:b w:val="1"/>
          <w:bCs w:val="1"/>
          <w:color w:val="auto"/>
        </w:rPr>
        <w:t xml:space="preserve"> </w:t>
      </w:r>
      <w:r>
        <w:rPr>
          <w:rFonts w:ascii="Arial" w:cs="Arial" w:eastAsia="Arial" w:hAnsi="Arial"/>
          <w:sz w:val="21"/>
          <w:szCs w:val="21"/>
          <w:color w:val="auto"/>
        </w:rPr>
        <w:t>a Guarantor to create, incur, assume or suffer to exist any Specified Indebtedness for Borrowed Money, except:</w:t>
      </w:r>
    </w:p>
    <w:p>
      <w:pPr>
        <w:spacing w:after="0" w:line="91" w:lineRule="exact"/>
        <w:rPr>
          <w:sz w:val="20"/>
          <w:szCs w:val="20"/>
          <w:color w:val="auto"/>
        </w:rPr>
      </w:pPr>
    </w:p>
    <w:p>
      <w:pPr>
        <w:ind w:left="1120" w:hanging="464"/>
        <w:spacing w:after="0"/>
        <w:tabs>
          <w:tab w:leader="none" w:pos="11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Specified Indebtedness for Borrowed Money pursuant to any Loan Document.</w:t>
      </w:r>
    </w:p>
    <w:p>
      <w:pPr>
        <w:spacing w:after="0" w:line="165" w:lineRule="exact"/>
        <w:rPr>
          <w:rFonts w:ascii="Arial" w:cs="Arial" w:eastAsia="Arial" w:hAnsi="Arial"/>
          <w:sz w:val="22"/>
          <w:szCs w:val="22"/>
          <w:color w:val="auto"/>
        </w:rPr>
      </w:pPr>
    </w:p>
    <w:p>
      <w:pPr>
        <w:jc w:val="both"/>
        <w:ind w:firstLine="656"/>
        <w:spacing w:after="0" w:line="253" w:lineRule="auto"/>
        <w:tabs>
          <w:tab w:leader="none" w:pos="113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 xml:space="preserve">(i) Specified Indebtedness for Borrowed Money existing on the Effective Date and, to the extent any such Specified Indebtedness for Borrowed Money exceeds $25,000,000 in principal amount, set forth on </w:t>
      </w:r>
      <w:r>
        <w:rPr>
          <w:rFonts w:ascii="Arial" w:cs="Arial" w:eastAsia="Arial" w:hAnsi="Arial"/>
          <w:sz w:val="22"/>
          <w:szCs w:val="22"/>
          <w:u w:val="single" w:color="auto"/>
          <w:color w:val="auto"/>
        </w:rPr>
        <w:t>Schedule 6.10</w:t>
      </w:r>
      <w:r>
        <w:rPr>
          <w:rFonts w:ascii="Arial" w:cs="Arial" w:eastAsia="Arial" w:hAnsi="Arial"/>
          <w:sz w:val="22"/>
          <w:szCs w:val="22"/>
          <w:color w:val="auto"/>
        </w:rPr>
        <w:t xml:space="preserve"> and (ii) any Permitted Refinancing of any Specified Indebtedness for Borrowed Money specified in clause (i).</w:t>
      </w:r>
    </w:p>
    <w:p>
      <w:pPr>
        <w:spacing w:after="0" w:line="131" w:lineRule="exact"/>
        <w:rPr>
          <w:rFonts w:ascii="Arial" w:cs="Arial" w:eastAsia="Arial" w:hAnsi="Arial"/>
          <w:sz w:val="22"/>
          <w:szCs w:val="22"/>
          <w:color w:val="auto"/>
        </w:rPr>
      </w:pPr>
    </w:p>
    <w:p>
      <w:pPr>
        <w:ind w:left="1120" w:hanging="464"/>
        <w:spacing w:after="0"/>
        <w:tabs>
          <w:tab w:leader="none" w:pos="11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Specified Indebtedness for Borrowed Money owed to the Borrower or any other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8" w:right="339" w:bottom="1440" w:gutter="0" w:footer="0" w:header="0"/>
        </w:sectPr>
      </w:pPr>
    </w:p>
    <w:bookmarkStart w:id="288" w:name="page289"/>
    <w:bookmarkEnd w:id="288"/>
    <w:p>
      <w:pPr>
        <w:jc w:val="both"/>
        <w:ind w:firstLine="656"/>
        <w:spacing w:after="0" w:line="247" w:lineRule="auto"/>
        <w:tabs>
          <w:tab w:leader="none" w:pos="1234" w:val="left"/>
        </w:tabs>
        <w:numPr>
          <w:ilvl w:val="1"/>
          <w:numId w:val="231"/>
        </w:numPr>
        <w:rPr>
          <w:rFonts w:ascii="Arial" w:cs="Arial" w:eastAsia="Arial" w:hAnsi="Arial"/>
          <w:sz w:val="22"/>
          <w:szCs w:val="22"/>
          <w:color w:val="auto"/>
        </w:rPr>
      </w:pPr>
      <w:r>
        <w:rPr>
          <w:rFonts w:ascii="Arial" w:cs="Arial" w:eastAsia="Arial" w:hAnsi="Arial"/>
          <w:sz w:val="22"/>
          <w:szCs w:val="22"/>
          <w:color w:val="auto"/>
        </w:rPr>
        <w:t xml:space="preserve">(i) Specified Indebtedness for Borrowed Money of a Person existing at the time such Person is acquired by or merged into or consolidated with the Borrower or any Subsidiary, at the time such Person first becomes a Subsidiary or at the time of a sale, lease or other disposition of all or substantially all of the Properties or assets of a Person to the Borrower or any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that, such Specified Indebtedness for Borrowed Money was not incurred in anticipation of such acquisition, consolidation, sale, lease or other disposition; and (ii) any Permitted Refinancing of any Specified Indebtedness for Borrowed Money specified in clause (i).</w:t>
      </w:r>
    </w:p>
    <w:p>
      <w:pPr>
        <w:spacing w:after="0" w:line="138" w:lineRule="exact"/>
        <w:rPr>
          <w:rFonts w:ascii="Arial" w:cs="Arial" w:eastAsia="Arial" w:hAnsi="Arial"/>
          <w:sz w:val="22"/>
          <w:szCs w:val="22"/>
          <w:color w:val="auto"/>
        </w:rPr>
      </w:pPr>
    </w:p>
    <w:p>
      <w:pPr>
        <w:jc w:val="both"/>
        <w:ind w:firstLine="656"/>
        <w:spacing w:after="0" w:line="288" w:lineRule="auto"/>
        <w:tabs>
          <w:tab w:leader="none" w:pos="1305"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(i) other Specified Indebtedness for Borrowed Money;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creation, incurrence or assumption of any such Specified Indebtedness for Borrowed Money, the sum (without duplication) of (A) the aggregate outstanding principal amount of Specified Indebtedness for Borrowed Money created, incurred or assumed pursuant to this clause</w:t>
      </w:r>
    </w:p>
    <w:p>
      <w:pPr>
        <w:jc w:val="both"/>
        <w:ind w:firstLine="8"/>
        <w:spacing w:after="0" w:line="245" w:lineRule="auto"/>
        <w:tabs>
          <w:tab w:leader="none" w:pos="294"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and (B) the aggregate outstanding principal amount of Indebtedness for Borrowed Money that is secured by a Lien pursuant to </w:t>
      </w:r>
      <w:r>
        <w:rPr>
          <w:rFonts w:ascii="Arial" w:cs="Arial" w:eastAsia="Arial" w:hAnsi="Arial"/>
          <w:sz w:val="22"/>
          <w:szCs w:val="22"/>
          <w:u w:val="single" w:color="auto"/>
          <w:color w:val="auto"/>
        </w:rPr>
        <w:t>Section 6.11(i)</w:t>
      </w:r>
      <w:r>
        <w:rPr>
          <w:rFonts w:ascii="Arial" w:cs="Arial" w:eastAsia="Arial" w:hAnsi="Arial"/>
          <w:sz w:val="22"/>
          <w:szCs w:val="22"/>
          <w:color w:val="auto"/>
        </w:rPr>
        <w:t>, does not exceed 10% of Consolidated Assets at such time and (ii) any Permitted Refinancing of any Specified Indebtedness for Borrowed Money specified in clause (i).</w:t>
      </w:r>
    </w:p>
    <w:p>
      <w:pPr>
        <w:spacing w:after="0" w:line="138" w:lineRule="exact"/>
        <w:rPr>
          <w:rFonts w:ascii="Arial" w:cs="Arial" w:eastAsia="Arial" w:hAnsi="Arial"/>
          <w:sz w:val="22"/>
          <w:szCs w:val="22"/>
          <w:color w:val="auto"/>
        </w:rPr>
      </w:pPr>
    </w:p>
    <w:p>
      <w:pPr>
        <w:jc w:val="both"/>
        <w:ind w:firstLine="656"/>
        <w:spacing w:after="0" w:line="248" w:lineRule="auto"/>
        <w:tabs>
          <w:tab w:leader="none" w:pos="1169" w:val="left"/>
        </w:tabs>
        <w:numPr>
          <w:ilvl w:val="1"/>
          <w:numId w:val="232"/>
        </w:numPr>
        <w:rPr>
          <w:rFonts w:ascii="Arial" w:cs="Arial" w:eastAsia="Arial" w:hAnsi="Arial"/>
          <w:sz w:val="22"/>
          <w:szCs w:val="22"/>
          <w:color w:val="auto"/>
        </w:rPr>
      </w:pPr>
      <w:r>
        <w:rPr>
          <w:rFonts w:ascii="Arial" w:cs="Arial" w:eastAsia="Arial" w:hAnsi="Arial"/>
          <w:sz w:val="22"/>
          <w:szCs w:val="22"/>
          <w:color w:val="auto"/>
        </w:rPr>
        <w:t xml:space="preserve">(i) Specified Indebtedness for Borrowed Money incurred to finance the payment of all or any part of the cost of acquisition, construction, development or improvement of any fixed or capital assets; </w:t>
      </w:r>
      <w:r>
        <w:rPr>
          <w:rFonts w:ascii="Arial" w:cs="Arial" w:eastAsia="Arial" w:hAnsi="Arial"/>
          <w:sz w:val="22"/>
          <w:szCs w:val="22"/>
          <w:u w:val="single" w:color="auto"/>
          <w:color w:val="auto"/>
        </w:rPr>
        <w:t>provided</w:t>
      </w:r>
      <w:r>
        <w:rPr>
          <w:rFonts w:ascii="Arial" w:cs="Arial" w:eastAsia="Arial" w:hAnsi="Arial"/>
          <w:sz w:val="22"/>
          <w:szCs w:val="22"/>
          <w:color w:val="auto"/>
        </w:rPr>
        <w:t>, that, the commitment of the creditor to provide such Indebtedness for Borrowed Money shall have been obtained not later than 12 months after the completion of the acquisition, construction, development or improvement of such assets; and (ii) any Permitted Refinancing of any Specified Indebtedness for Borrowed Money specified in clause (i).</w:t>
      </w:r>
    </w:p>
    <w:p>
      <w:pPr>
        <w:spacing w:after="0" w:line="137" w:lineRule="exact"/>
        <w:rPr>
          <w:rFonts w:ascii="Arial" w:cs="Arial" w:eastAsia="Arial" w:hAnsi="Arial"/>
          <w:sz w:val="22"/>
          <w:szCs w:val="22"/>
          <w:color w:val="auto"/>
        </w:rPr>
      </w:pPr>
    </w:p>
    <w:p>
      <w:pPr>
        <w:ind w:firstLine="656"/>
        <w:spacing w:after="0" w:line="263" w:lineRule="auto"/>
        <w:tabs>
          <w:tab w:leader="none" w:pos="1185" w:val="left"/>
        </w:tabs>
        <w:numPr>
          <w:ilvl w:val="1"/>
          <w:numId w:val="232"/>
        </w:numPr>
        <w:rPr>
          <w:rFonts w:ascii="Arial" w:cs="Arial" w:eastAsia="Arial" w:hAnsi="Arial"/>
          <w:sz w:val="22"/>
          <w:szCs w:val="22"/>
          <w:color w:val="auto"/>
        </w:rPr>
      </w:pPr>
      <w:r>
        <w:rPr>
          <w:rFonts w:ascii="Arial" w:cs="Arial" w:eastAsia="Arial" w:hAnsi="Arial"/>
          <w:sz w:val="22"/>
          <w:szCs w:val="22"/>
          <w:color w:val="auto"/>
        </w:rPr>
        <w:t xml:space="preserve">guaranties of any Specified Indebtedness for Borrowed Money of any non-Guarantor Subsidiary that is otherwise permitted under this </w:t>
      </w:r>
      <w:r>
        <w:rPr>
          <w:rFonts w:ascii="Arial" w:cs="Arial" w:eastAsia="Arial" w:hAnsi="Arial"/>
          <w:sz w:val="22"/>
          <w:szCs w:val="22"/>
          <w:u w:val="single" w:color="auto"/>
          <w:color w:val="auto"/>
        </w:rPr>
        <w:t>Section 6.10</w:t>
      </w:r>
      <w:r>
        <w:rPr>
          <w:rFonts w:ascii="Arial" w:cs="Arial" w:eastAsia="Arial" w:hAnsi="Arial"/>
          <w:sz w:val="22"/>
          <w:szCs w:val="22"/>
          <w:color w:val="auto"/>
        </w:rPr>
        <w:t>.</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6.11 </w:t>
      </w:r>
      <w:r>
        <w:rPr>
          <w:rFonts w:ascii="Arial" w:cs="Arial" w:eastAsia="Arial" w:hAnsi="Arial"/>
          <w:sz w:val="22"/>
          <w:szCs w:val="22"/>
          <w:i w:val="1"/>
          <w:iCs w:val="1"/>
          <w:color w:val="auto"/>
        </w:rPr>
        <w:t>Liens</w:t>
      </w:r>
      <w:r>
        <w:rPr>
          <w:rFonts w:ascii="Arial" w:cs="Arial" w:eastAsia="Arial" w:hAnsi="Arial"/>
          <w:sz w:val="22"/>
          <w:szCs w:val="22"/>
          <w:color w:val="auto"/>
        </w:rPr>
        <w:t>. The Borrower will not, and will not permit any Major Subsidiary to, create or suffer to exist any</w:t>
      </w:r>
      <w:r>
        <w:rPr>
          <w:rFonts w:ascii="Arial" w:cs="Arial" w:eastAsia="Arial" w:hAnsi="Arial"/>
          <w:sz w:val="22"/>
          <w:szCs w:val="22"/>
          <w:b w:val="1"/>
          <w:bCs w:val="1"/>
          <w:color w:val="auto"/>
        </w:rPr>
        <w:t xml:space="preserve"> </w:t>
      </w:r>
      <w:r>
        <w:rPr>
          <w:rFonts w:ascii="Arial" w:cs="Arial" w:eastAsia="Arial" w:hAnsi="Arial"/>
          <w:sz w:val="22"/>
          <w:szCs w:val="22"/>
          <w:color w:val="auto"/>
        </w:rPr>
        <w:t>Lien in or on any of its Property, in each case to secure or provide for the payment of any Indebtedness for Borrowed Money, except:</w:t>
      </w:r>
    </w:p>
    <w:p>
      <w:pPr>
        <w:spacing w:after="0" w:line="128" w:lineRule="exact"/>
        <w:rPr>
          <w:sz w:val="20"/>
          <w:szCs w:val="20"/>
          <w:color w:val="auto"/>
        </w:rPr>
      </w:pPr>
    </w:p>
    <w:p>
      <w:pPr>
        <w:jc w:val="both"/>
        <w:ind w:firstLine="656"/>
        <w:spacing w:after="0" w:line="250" w:lineRule="auto"/>
        <w:tabs>
          <w:tab w:leader="none" w:pos="1195" w:val="left"/>
        </w:tabs>
        <w:numPr>
          <w:ilvl w:val="0"/>
          <w:numId w:val="233"/>
        </w:numPr>
        <w:rPr>
          <w:rFonts w:ascii="Arial" w:cs="Arial" w:eastAsia="Arial" w:hAnsi="Arial"/>
          <w:sz w:val="22"/>
          <w:szCs w:val="22"/>
          <w:color w:val="auto"/>
        </w:rPr>
      </w:pPr>
      <w:r>
        <w:rPr>
          <w:rFonts w:ascii="Arial" w:cs="Arial" w:eastAsia="Arial" w:hAnsi="Arial"/>
          <w:sz w:val="22"/>
          <w:szCs w:val="22"/>
          <w:color w:val="auto"/>
        </w:rPr>
        <w:t>Precautionary Liens provided by the Borrower or any Major Subsidiary in connection with the sale, assignment, transfer or other disposition of assets by the Borrower or any Major Subsidiary which transaction is determined by the Board of Directors of the Borrower or such Major Subsidiary to constitute a “sale” under accounting principles generally accepted in the United States.</w:t>
      </w:r>
    </w:p>
    <w:p>
      <w:pPr>
        <w:spacing w:after="0" w:line="133" w:lineRule="exact"/>
        <w:rPr>
          <w:rFonts w:ascii="Arial" w:cs="Arial" w:eastAsia="Arial" w:hAnsi="Arial"/>
          <w:sz w:val="22"/>
          <w:szCs w:val="22"/>
          <w:color w:val="auto"/>
        </w:rPr>
      </w:pPr>
    </w:p>
    <w:p>
      <w:pPr>
        <w:ind w:left="1120" w:hanging="464"/>
        <w:spacing w:after="0"/>
        <w:tabs>
          <w:tab w:leader="none" w:pos="112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Liens existing on the Closing Date securing Indebtedness for Borrowed Money.</w:t>
      </w:r>
    </w:p>
    <w:p>
      <w:pPr>
        <w:spacing w:after="0" w:line="165" w:lineRule="exact"/>
        <w:rPr>
          <w:rFonts w:ascii="Arial" w:cs="Arial" w:eastAsia="Arial" w:hAnsi="Arial"/>
          <w:sz w:val="22"/>
          <w:szCs w:val="22"/>
          <w:color w:val="auto"/>
        </w:rPr>
      </w:pPr>
    </w:p>
    <w:p>
      <w:pPr>
        <w:ind w:left="1120" w:hanging="464"/>
        <w:spacing w:after="0"/>
        <w:tabs>
          <w:tab w:leader="none" w:pos="11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Usual and customary deposits in favor of lessors and similar deposits in the ordinary course of business.</w:t>
      </w:r>
    </w:p>
    <w:p>
      <w:pPr>
        <w:spacing w:after="0" w:line="177" w:lineRule="exact"/>
        <w:rPr>
          <w:rFonts w:ascii="Arial" w:cs="Arial" w:eastAsia="Arial" w:hAnsi="Arial"/>
          <w:sz w:val="21"/>
          <w:szCs w:val="21"/>
          <w:color w:val="auto"/>
        </w:rPr>
      </w:pPr>
    </w:p>
    <w:p>
      <w:pPr>
        <w:jc w:val="both"/>
        <w:ind w:firstLine="656"/>
        <w:spacing w:after="0" w:line="253" w:lineRule="auto"/>
        <w:tabs>
          <w:tab w:leader="none" w:pos="119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Liens existing on Property of any Person acquired by the Borrower or any Major Subsidiary (which may include Property previously leased by the Borrower or any of its Subsidiaries and leasehold interests on such Property, provided that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40"/>
          </w:cols>
          <w:pgMar w:left="320" w:top="1428" w:right="339" w:bottom="1440" w:gutter="0" w:footer="0" w:header="0"/>
        </w:sectPr>
      </w:pPr>
    </w:p>
    <w:bookmarkStart w:id="289" w:name="page290"/>
    <w:bookmarkEnd w:id="289"/>
    <w:p>
      <w:pPr>
        <w:spacing w:after="0" w:line="263" w:lineRule="auto"/>
        <w:rPr>
          <w:sz w:val="20"/>
          <w:szCs w:val="20"/>
          <w:color w:val="auto"/>
        </w:rPr>
      </w:pPr>
      <w:r>
        <w:rPr>
          <w:rFonts w:ascii="Arial" w:cs="Arial" w:eastAsia="Arial" w:hAnsi="Arial"/>
          <w:sz w:val="22"/>
          <w:szCs w:val="22"/>
          <w:color w:val="auto"/>
        </w:rPr>
        <w:t>terminates prior to or upon the acquisition), other than any such Lien or security interest created in contemplation of such acquisition (and the replacement, extension or renewal thereof upon or in the same Property).</w:t>
      </w:r>
    </w:p>
    <w:p>
      <w:pPr>
        <w:spacing w:after="0" w:line="121" w:lineRule="exact"/>
        <w:rPr>
          <w:sz w:val="20"/>
          <w:szCs w:val="20"/>
          <w:color w:val="auto"/>
        </w:rPr>
      </w:pPr>
    </w:p>
    <w:p>
      <w:pPr>
        <w:jc w:val="both"/>
        <w:ind w:firstLine="656"/>
        <w:spacing w:after="0" w:line="265" w:lineRule="auto"/>
        <w:tabs>
          <w:tab w:leader="none" w:pos="114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Liens on Property of a Person existing at the time such Person is merged into or consolidated with the Borrower or any Subsidiary, at the time such Person first becomes a Subsidiary or at the time of a sale, lease or other disposition of all or substantially all of the Properties or assets of a Person to the Borrower or any Subsidiary, provided that such Lien was not incurred in anticipation of the merger, consolidation, sale, lease or other disposition.</w:t>
      </w:r>
    </w:p>
    <w:p>
      <w:pPr>
        <w:spacing w:after="0" w:line="121" w:lineRule="exact"/>
        <w:rPr>
          <w:rFonts w:ascii="Arial" w:cs="Arial" w:eastAsia="Arial" w:hAnsi="Arial"/>
          <w:sz w:val="21"/>
          <w:szCs w:val="21"/>
          <w:color w:val="auto"/>
        </w:rPr>
      </w:pPr>
    </w:p>
    <w:p>
      <w:pPr>
        <w:ind w:left="1080" w:hanging="424"/>
        <w:spacing w:after="0"/>
        <w:tabs>
          <w:tab w:leader="none" w:pos="108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Liens in favor of the Borrower or any of its Subsidiaries.</w:t>
      </w:r>
    </w:p>
    <w:p>
      <w:pPr>
        <w:spacing w:after="0" w:line="165" w:lineRule="exact"/>
        <w:rPr>
          <w:rFonts w:ascii="Arial" w:cs="Arial" w:eastAsia="Arial" w:hAnsi="Arial"/>
          <w:sz w:val="22"/>
          <w:szCs w:val="22"/>
          <w:color w:val="auto"/>
        </w:rPr>
      </w:pPr>
    </w:p>
    <w:p>
      <w:pPr>
        <w:jc w:val="both"/>
        <w:ind w:firstLine="656"/>
        <w:spacing w:after="0" w:line="245" w:lineRule="auto"/>
        <w:tabs>
          <w:tab w:leader="none" w:pos="1217"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Liens on fixed or capital assets (including real property) to secure the payment of all or any part of the cost of acquisition, construction, development or improvement of such assets, or to secure Indebtedness for Borrowed Money incurred to provide funds for any such purpose; </w:t>
      </w:r>
      <w:r>
        <w:rPr>
          <w:rFonts w:ascii="Arial" w:cs="Arial" w:eastAsia="Arial" w:hAnsi="Arial"/>
          <w:sz w:val="22"/>
          <w:szCs w:val="22"/>
          <w:u w:val="single" w:color="auto"/>
          <w:color w:val="auto"/>
        </w:rPr>
        <w:t>provided</w:t>
      </w:r>
      <w:r>
        <w:rPr>
          <w:rFonts w:ascii="Arial" w:cs="Arial" w:eastAsia="Arial" w:hAnsi="Arial"/>
          <w:sz w:val="22"/>
          <w:szCs w:val="22"/>
          <w:color w:val="auto"/>
        </w:rPr>
        <w:t>, that, (i) the commitment of the creditor to extend the credit secured by any such Lien shall have been obtained not later than 12 months after the completion of the acquisition, construction, development or improvement of such assets, (ii) at the time of creation thereof, the aggregate outstanding principal amount of any such Indebtedness for Borrowed Money secured by such Lien does not exceed the greater of (x) $200,000,000 and (y) 3% of Consolidated Assets at such time, and (iii) such Lien shall not apply to any other Property of the Borrower or any Subsidiary, except for accessions and improvements to such fixed or capital assets covered by such Lien and the proceeds and products thereof.</w:t>
      </w:r>
    </w:p>
    <w:p>
      <w:pPr>
        <w:spacing w:after="0" w:line="146" w:lineRule="exact"/>
        <w:rPr>
          <w:rFonts w:ascii="Arial" w:cs="Arial" w:eastAsia="Arial" w:hAnsi="Arial"/>
          <w:sz w:val="22"/>
          <w:szCs w:val="22"/>
          <w:color w:val="auto"/>
        </w:rPr>
      </w:pPr>
    </w:p>
    <w:p>
      <w:pPr>
        <w:jc w:val="both"/>
        <w:ind w:firstLine="656"/>
        <w:spacing w:after="0" w:line="253" w:lineRule="auto"/>
        <w:tabs>
          <w:tab w:leader="none" w:pos="1156"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Liens on cash and securities (and deposit and securities accounts) securing reimbursement obligations in respect of letters of credit and banker’s acceptances issued for the account of the Borrower or any of its Subsidiaries in the ordinary course of business.</w:t>
      </w:r>
    </w:p>
    <w:p>
      <w:pPr>
        <w:spacing w:after="0" w:line="131" w:lineRule="exact"/>
        <w:rPr>
          <w:rFonts w:ascii="Arial" w:cs="Arial" w:eastAsia="Arial" w:hAnsi="Arial"/>
          <w:sz w:val="22"/>
          <w:szCs w:val="22"/>
          <w:color w:val="auto"/>
        </w:rPr>
      </w:pPr>
    </w:p>
    <w:p>
      <w:pPr>
        <w:jc w:val="both"/>
        <w:ind w:firstLine="656"/>
        <w:spacing w:after="0" w:line="248" w:lineRule="auto"/>
        <w:tabs>
          <w:tab w:leader="none" w:pos="107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 xml:space="preserve">Liens securing Indebtedness for Borrowed Money; </w:t>
      </w:r>
      <w:r>
        <w:rPr>
          <w:rFonts w:ascii="Arial" w:cs="Arial" w:eastAsia="Arial" w:hAnsi="Arial"/>
          <w:sz w:val="22"/>
          <w:szCs w:val="22"/>
          <w:u w:val="single" w:color="auto"/>
          <w:color w:val="auto"/>
        </w:rPr>
        <w:t>provided</w:t>
      </w:r>
      <w:r>
        <w:rPr>
          <w:rFonts w:ascii="Arial" w:cs="Arial" w:eastAsia="Arial" w:hAnsi="Arial"/>
          <w:sz w:val="22"/>
          <w:szCs w:val="22"/>
          <w:color w:val="auto"/>
        </w:rPr>
        <w:t>, that, at the time of incurrence of any such Indebtedness for Borrowed Money, the sum (without duplication) of (A) the aggregate outstanding principal amount of Indebtedness for Borrowed Money secured pursuant to this clause (i) and (B) the aggregate outstanding principal amount of Specified Indebtedness for Borrowed Money created, incurred or assumed pursuant to Section 6.10(e), does not exceed 10% of Consolidated Assets at such time.</w:t>
      </w:r>
    </w:p>
    <w:p>
      <w:pPr>
        <w:spacing w:after="0" w:line="137" w:lineRule="exact"/>
        <w:rPr>
          <w:rFonts w:ascii="Arial" w:cs="Arial" w:eastAsia="Arial" w:hAnsi="Arial"/>
          <w:sz w:val="22"/>
          <w:szCs w:val="22"/>
          <w:color w:val="auto"/>
        </w:rPr>
      </w:pPr>
    </w:p>
    <w:p>
      <w:pPr>
        <w:jc w:val="both"/>
        <w:ind w:firstLine="656"/>
        <w:spacing w:after="0" w:line="246" w:lineRule="auto"/>
        <w:tabs>
          <w:tab w:leader="none" w:pos="108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any extension, renewal or replacement (or successive extensions, renewals or replacements), as a whole or in part, of any Liens (or Indebtedness for Borrowed Money secured by Liens) referred to in clauses (a) through (i) and (k), inclusive, provided that such extension, renewal or replacement Lien shall be limited to all or a part of the same Property that secured the Lien extended, renewed or replaced (plus improvements on and accessions to such Property), and (ii) the Indebtedness for Borrowed Money secured by such Lien at such time is not increased (other than by an amount equal to any related financing costs (including, but not limited to, the accrued interest and premium, if any, on the Indebtedness for Borrowed Money being refinanced)).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240"/>
          </w:cols>
          <w:pgMar w:left="320" w:top="1428" w:right="339" w:bottom="1440" w:gutter="0" w:footer="0" w:header="0"/>
        </w:sectPr>
      </w:pPr>
    </w:p>
    <w:bookmarkStart w:id="290" w:name="page291"/>
    <w:bookmarkEnd w:id="290"/>
    <w:p>
      <w:pPr>
        <w:jc w:val="both"/>
        <w:ind w:firstLine="656"/>
        <w:spacing w:after="0" w:line="247" w:lineRule="auto"/>
        <w:tabs>
          <w:tab w:leader="none" w:pos="111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Liens created in substitution of any Liens permitted by clauses (a) through (j), inclusive, provided that, (i) based on a good faith determination of a senior officer of the Borrower, the property encumbered by such substitute or replacement Lien is substantially similar in nature to the property encumbered by the otherwise permitted Lien that is being replaced, and (ii) the Indebtedness for Borrowed Money secured by such Lien at such time is not increased (other than by an amount equal to any related financing costs (including, but not limited to, the accrued interest and premium, if any, on the Indebtedness for Borrowed Money being refinanced)).</w:t>
      </w:r>
    </w:p>
    <w:p>
      <w:pPr>
        <w:spacing w:after="0" w:line="13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If a Subsidiary incurs a Lien in or on any of its Property to secure or provide for the payment of any Indebtedness for Borrowed Money at the time that it is not a Major Subsidiary, the incurrence and existence of such Lien shall not be prohibited or restricted by, and shall not reduce availability under any clause of, this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upon such Subsidiary subsequently becoming a Major Subsidiary unless such Lien was incurred in contemplation of such Subsidiary becoming a Major Subsidiary.</w:t>
      </w:r>
    </w:p>
    <w:p>
      <w:pPr>
        <w:spacing w:after="0" w:line="13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6.12</w:t>
      </w:r>
      <w:r>
        <w:rPr>
          <w:sz w:val="20"/>
          <w:szCs w:val="20"/>
          <w:color w:val="auto"/>
        </w:rPr>
        <w:tab/>
      </w:r>
      <w:r>
        <w:rPr>
          <w:rFonts w:ascii="Arial" w:cs="Arial" w:eastAsia="Arial" w:hAnsi="Arial"/>
          <w:sz w:val="19"/>
          <w:szCs w:val="19"/>
          <w:i w:val="1"/>
          <w:iCs w:val="1"/>
          <w:color w:val="auto"/>
        </w:rPr>
        <w:t>Financial Covenant</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59" w:lineRule="auto"/>
        <w:tabs>
          <w:tab w:leader="none" w:pos="114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As of the last day of each fiscal quarter of the Borrower commencing on the last day of the first full fiscal quarter ending after the Closing Date, the Consolidated Leverage Ratio shall not be greater than 3.50:1.00;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at the election of the Borrower, exercised by written notice delivered by the Borrower to the Administrative Agent at any time prior to the date that is thirty (30) days following consummation of any Material Acquisition by the Borrower or any Subsidiary, such maximum Consolidated Leverage Ratio shall be increased to 4.25 to 1.00;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such increase (x) shall not be effective prior to the consummation of such Material Acquisition, (y) shall only apply for a period of four full fiscal quarters after the consummation of such Material Acquisition and (z) the Consolidated Leverage Ratio of the Borrower shall not exceed 3.50 to 1.00 for more than five consecutive fiscal quarters.</w:t>
      </w:r>
    </w:p>
    <w:p>
      <w:pPr>
        <w:spacing w:after="0" w:line="129" w:lineRule="exact"/>
        <w:rPr>
          <w:rFonts w:ascii="Arial" w:cs="Arial" w:eastAsia="Arial" w:hAnsi="Arial"/>
          <w:sz w:val="21"/>
          <w:szCs w:val="21"/>
          <w:color w:val="auto"/>
        </w:rPr>
      </w:pPr>
    </w:p>
    <w:p>
      <w:pPr>
        <w:jc w:val="both"/>
        <w:ind w:firstLine="656"/>
        <w:spacing w:after="0" w:line="297" w:lineRule="auto"/>
        <w:tabs>
          <w:tab w:leader="none" w:pos="111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At any time after the definitive agreement for any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definition of Consolidated Leverage Ratio.</w:t>
      </w:r>
    </w:p>
    <w:p>
      <w:pPr>
        <w:spacing w:after="0" w:line="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6.13 </w:t>
      </w:r>
      <w:r>
        <w:rPr>
          <w:rFonts w:ascii="Arial" w:cs="Arial" w:eastAsia="Arial" w:hAnsi="Arial"/>
          <w:sz w:val="22"/>
          <w:szCs w:val="22"/>
          <w:i w:val="1"/>
          <w:iCs w:val="1"/>
          <w:color w:val="auto"/>
        </w:rPr>
        <w:t>OFAC, FCPA.</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Borrower nor any of its Subsidiaries will directly, or to the Borrower’s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knowledge, indirectly, use the proceeds of any Advance or Letter of Credit (a) in furtherance of an offer, payment, promise to pay, or authorization of the payment or giving of money, or anything else of value, to any Person in violation of any Anti-Corruption Laws, (b) to fund any activities of or business with any individual or entity, or in any Designated Jurisdiction, that, at the time of such funding, is the subject or target of Sanctions in each case of this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in violation of applicable Sanctions or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in any other manner that will result in a violation of Sanctions applicable to any party hereto.</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7"/>
          <w:szCs w:val="17"/>
          <w:color w:val="auto"/>
        </w:rPr>
        <w:t>EFAULTS</w:t>
      </w:r>
    </w:p>
    <w:p>
      <w:pPr>
        <w:spacing w:after="0" w:line="14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The occurrence of any one or more of the following events following the Closing Date (or, with respect to the event set forth in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below, following the Effective Date and prior to the Closing Date) shall constitute a Default:</w:t>
      </w:r>
    </w:p>
    <w:p>
      <w:pPr>
        <w:spacing w:after="0" w:line="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7.01 </w:t>
      </w:r>
      <w:r>
        <w:rPr>
          <w:rFonts w:ascii="Arial" w:cs="Arial" w:eastAsia="Arial" w:hAnsi="Arial"/>
          <w:sz w:val="22"/>
          <w:szCs w:val="22"/>
          <w:i w:val="1"/>
          <w:iCs w:val="1"/>
          <w:color w:val="auto"/>
        </w:rPr>
        <w:t>Breach of Representations or Warranties</w:t>
      </w:r>
      <w:r>
        <w:rPr>
          <w:rFonts w:ascii="Arial" w:cs="Arial" w:eastAsia="Arial" w:hAnsi="Arial"/>
          <w:sz w:val="22"/>
          <w:szCs w:val="22"/>
          <w:color w:val="auto"/>
        </w:rPr>
        <w:t>. Any representation or warranty made by the Borrower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Lenders or the Administrative Agent under this Agreement, or any certificate or information delivered in connection with this Agreement, shall be false in any material respect when made or deemed made.</w:t>
      </w:r>
    </w:p>
    <w:p>
      <w:pPr>
        <w:spacing w:after="0" w:line="12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7.02 </w:t>
      </w:r>
      <w:r>
        <w:rPr>
          <w:rFonts w:ascii="Arial" w:cs="Arial" w:eastAsia="Arial" w:hAnsi="Arial"/>
          <w:sz w:val="19"/>
          <w:szCs w:val="19"/>
          <w:i w:val="1"/>
          <w:iCs w:val="1"/>
          <w:color w:val="auto"/>
        </w:rPr>
        <w:t>Failure to Make Payments When Due</w:t>
      </w:r>
      <w:r>
        <w:rPr>
          <w:rFonts w:ascii="Arial" w:cs="Arial" w:eastAsia="Arial" w:hAnsi="Arial"/>
          <w:sz w:val="19"/>
          <w:szCs w:val="19"/>
          <w:color w:val="auto"/>
        </w:rPr>
        <w:t>. Nonpayment of (a) principal of any Loan when due or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obligation under Section 2.03(f) when due to reimburse an Issuing Lender the amount of each draft under a Letter of Credit paid by such Issuing Lender, or (b) interest upon any Loan, any Commitment Fee or other payment Obligations under any of the Loan Documents within five (5) Business Days after such interest, fee or other Obligation becomes due.</w:t>
      </w:r>
    </w:p>
    <w:p>
      <w:pPr>
        <w:spacing w:after="0" w:line="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7.03 </w:t>
      </w:r>
      <w:r>
        <w:rPr>
          <w:rFonts w:ascii="Arial" w:cs="Arial" w:eastAsia="Arial" w:hAnsi="Arial"/>
          <w:sz w:val="22"/>
          <w:szCs w:val="22"/>
          <w:i w:val="1"/>
          <w:iCs w:val="1"/>
          <w:color w:val="auto"/>
        </w:rPr>
        <w:t>Breach of Covenants</w:t>
      </w:r>
      <w:r>
        <w:rPr>
          <w:rFonts w:ascii="Arial" w:cs="Arial" w:eastAsia="Arial" w:hAnsi="Arial"/>
          <w:sz w:val="22"/>
          <w:szCs w:val="22"/>
          <w:color w:val="auto"/>
        </w:rPr>
        <w:t>. The breach by the Borrower of (a) any of the terms or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6.09</w:t>
      </w:r>
      <w:r>
        <w:rPr>
          <w:rFonts w:ascii="Arial" w:cs="Arial" w:eastAsia="Arial" w:hAnsi="Arial"/>
          <w:sz w:val="22"/>
          <w:szCs w:val="22"/>
          <w:color w:val="auto"/>
        </w:rPr>
        <w:t xml:space="preserve">, </w:t>
      </w:r>
      <w:r>
        <w:rPr>
          <w:rFonts w:ascii="Arial" w:cs="Arial" w:eastAsia="Arial" w:hAnsi="Arial"/>
          <w:sz w:val="22"/>
          <w:szCs w:val="22"/>
          <w:u w:val="single" w:color="auto"/>
          <w:color w:val="auto"/>
        </w:rPr>
        <w:t>6.10</w:t>
      </w:r>
      <w:r>
        <w:rPr>
          <w:rFonts w:ascii="Arial" w:cs="Arial" w:eastAsia="Arial" w:hAnsi="Arial"/>
          <w:sz w:val="22"/>
          <w:szCs w:val="22"/>
          <w:color w:val="auto"/>
        </w:rPr>
        <w:t xml:space="preserve">,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or (b) any of the other terms or provisions of this Agreement which is not remedied within thirty (30) days after the Borrower knows of the occurrence thereof.</w:t>
      </w:r>
    </w:p>
    <w:p>
      <w:pPr>
        <w:spacing w:after="0" w:line="12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7.04</w:t>
      </w:r>
      <w:r>
        <w:rPr>
          <w:sz w:val="20"/>
          <w:szCs w:val="20"/>
          <w:color w:val="auto"/>
        </w:rPr>
        <w:tab/>
      </w:r>
      <w:r>
        <w:rPr>
          <w:rFonts w:ascii="Arial" w:cs="Arial" w:eastAsia="Arial" w:hAnsi="Arial"/>
          <w:sz w:val="19"/>
          <w:szCs w:val="19"/>
          <w:i w:val="1"/>
          <w:iCs w:val="1"/>
          <w:color w:val="auto"/>
        </w:rPr>
        <w:t>Cross Default</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46" w:lineRule="auto"/>
        <w:tabs>
          <w:tab w:leader="none" w:pos="1121"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Borrower or any Major Subsidiary shall fail to pay any principal of or premium or interest on any Indebtedness for Borrowed Money which is outstanding in a principal amount of at least the Requisite Amount in the aggregate (but excluding indebtedness arising hereunder) of the Borrower or such Major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Indebtedness for Borrowed Money unless adequate provision for any such payment has been made in form and substance satisfactory to the Required Lenders.</w:t>
      </w:r>
    </w:p>
    <w:p>
      <w:pPr>
        <w:spacing w:after="0" w:line="142" w:lineRule="exact"/>
        <w:rPr>
          <w:rFonts w:ascii="Arial" w:cs="Arial" w:eastAsia="Arial" w:hAnsi="Arial"/>
          <w:sz w:val="22"/>
          <w:szCs w:val="22"/>
          <w:color w:val="auto"/>
        </w:rPr>
      </w:pPr>
    </w:p>
    <w:p>
      <w:pPr>
        <w:jc w:val="both"/>
        <w:ind w:firstLine="656"/>
        <w:spacing w:after="0" w:line="261" w:lineRule="auto"/>
        <w:tabs>
          <w:tab w:leader="none" w:pos="1114"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Any Indebtedness for Borrowed Money of the Borrower or any Major Subsidiary which is outstanding in a principal amount of at least the Requisite Amount in the aggregate shall be declared to be due and payable, or required to be prepaid (other than by a scheduled required prepayment), redeemed, purchased or defeased, or an offer to prepay, redeem, purchase or defease such Indebtedness for Borrowed Money shall be required to be made, in each case prior to the stated maturity thereof as a result of a breach by the Borrower or such Major Subsidiary (as the case may be) of the agreement or instrument relating to such Indebtedness for Borrowed Money and such failure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292" w:name="page293"/>
    <w:bookmarkEnd w:id="292"/>
    <w:p>
      <w:pPr>
        <w:jc w:val="both"/>
        <w:spacing w:after="0" w:line="253" w:lineRule="auto"/>
        <w:rPr>
          <w:sz w:val="20"/>
          <w:szCs w:val="20"/>
          <w:color w:val="auto"/>
        </w:rPr>
      </w:pPr>
      <w:r>
        <w:rPr>
          <w:rFonts w:ascii="Arial" w:cs="Arial" w:eastAsia="Arial" w:hAnsi="Arial"/>
          <w:sz w:val="22"/>
          <w:szCs w:val="22"/>
          <w:color w:val="auto"/>
        </w:rPr>
        <w:t>continue after the applicable grace period, if any, specified in the agreement or instrument relating to such Indebtedness for Borrowed Money unless adequate provision for the payment of such Indebtedness for Borrowed Money has been made in form and substance satisfactory to the Required Lenders.</w:t>
      </w:r>
    </w:p>
    <w:p>
      <w:pPr>
        <w:spacing w:after="0" w:line="131" w:lineRule="exact"/>
        <w:rPr>
          <w:sz w:val="20"/>
          <w:szCs w:val="20"/>
          <w:color w:val="auto"/>
        </w:rPr>
      </w:pPr>
    </w:p>
    <w:p>
      <w:pPr>
        <w:ind w:left="1160" w:hanging="504"/>
        <w:spacing w:after="0"/>
        <w:tabs>
          <w:tab w:leader="none" w:pos="11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Borrower or any of its Major Subsidiaries shall admit in writing its inability to pay its debts generally as they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become due.</w:t>
      </w:r>
    </w:p>
    <w:p>
      <w:pPr>
        <w:spacing w:after="0" w:line="1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7.05</w:t>
      </w:r>
      <w:r>
        <w:rPr>
          <w:sz w:val="20"/>
          <w:szCs w:val="20"/>
          <w:color w:val="auto"/>
        </w:rPr>
        <w:tab/>
      </w:r>
      <w:r>
        <w:rPr>
          <w:rFonts w:ascii="Arial" w:cs="Arial" w:eastAsia="Arial" w:hAnsi="Arial"/>
          <w:sz w:val="19"/>
          <w:szCs w:val="19"/>
          <w:i w:val="1"/>
          <w:iCs w:val="1"/>
          <w:color w:val="auto"/>
        </w:rPr>
        <w:t>Voluntary Bankruptcy; Appointment of Receiver; Etc</w:t>
      </w:r>
      <w:r>
        <w:rPr>
          <w:rFonts w:ascii="Arial" w:cs="Arial" w:eastAsia="Arial" w:hAnsi="Arial"/>
          <w:sz w:val="19"/>
          <w:szCs w:val="19"/>
          <w:color w:val="auto"/>
        </w:rPr>
        <w:t>. The Borrower or any of its Major Subsidiaries shall</w:t>
      </w:r>
    </w:p>
    <w:p>
      <w:pPr>
        <w:spacing w:after="0" w:line="27" w:lineRule="exact"/>
        <w:rPr>
          <w:sz w:val="20"/>
          <w:szCs w:val="20"/>
          <w:color w:val="auto"/>
        </w:rPr>
      </w:pPr>
    </w:p>
    <w:p>
      <w:pPr>
        <w:jc w:val="both"/>
        <w:ind w:firstLine="8"/>
        <w:spacing w:after="0" w:line="256" w:lineRule="auto"/>
        <w:tabs>
          <w:tab w:leader="none" w:pos="298"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have an order for relief entered with respect to it under the Federal bankruptcy laws as now or hereafter in effect, (b) make an assignment for the benefit of creditors, (c) apply for, seek, consent to, or acquiesce in, the appointment of a receiver, custodian, trustee, examiner, liquidator or similar official for it or any Substantial Portion of its Property, (d) institute any proceeding seeking an order for relief under the Federal bankruptcy laws as now or hereafter in effect or seeking to adjudicate it bankrupt or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(e) take any corporate or partnership action to authorize or effect any of the foregoing actions set forth in this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or (f) fail to contest in good faith any appointment or proceeding described in </w:t>
      </w:r>
      <w:r>
        <w:rPr>
          <w:rFonts w:ascii="Arial" w:cs="Arial" w:eastAsia="Arial" w:hAnsi="Arial"/>
          <w:sz w:val="21"/>
          <w:szCs w:val="21"/>
          <w:u w:val="single" w:color="auto"/>
          <w:color w:val="auto"/>
        </w:rPr>
        <w:t>Section 7.06</w:t>
      </w:r>
      <w:r>
        <w:rPr>
          <w:rFonts w:ascii="Arial" w:cs="Arial" w:eastAsia="Arial" w:hAnsi="Arial"/>
          <w:sz w:val="21"/>
          <w:szCs w:val="21"/>
          <w:color w:val="auto"/>
        </w:rPr>
        <w:t>.</w:t>
      </w:r>
    </w:p>
    <w:p>
      <w:pPr>
        <w:spacing w:after="0" w:line="12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7.06 </w:t>
      </w:r>
      <w:r>
        <w:rPr>
          <w:rFonts w:ascii="Arial" w:cs="Arial" w:eastAsia="Arial" w:hAnsi="Arial"/>
          <w:sz w:val="19"/>
          <w:szCs w:val="19"/>
          <w:i w:val="1"/>
          <w:iCs w:val="1"/>
          <w:color w:val="auto"/>
        </w:rPr>
        <w:t>Involuntary Bankruptcy; Appointment of Receiver; Etc</w:t>
      </w:r>
      <w:r>
        <w:rPr>
          <w:rFonts w:ascii="Arial" w:cs="Arial" w:eastAsia="Arial" w:hAnsi="Arial"/>
          <w:sz w:val="19"/>
          <w:szCs w:val="19"/>
          <w:color w:val="auto"/>
        </w:rPr>
        <w:t>. Without the application, approval or consent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Borrower or any of its Major Subsidiaries, a receiver, trustee, custodian, examiner, liquidator or similar official shall be appointed for the Borrower or any of its Major Subsidiaries or any Substantial Portion of its Property, or a proceeding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7.05(d)</w:t>
      </w:r>
      <w:r>
        <w:rPr>
          <w:rFonts w:ascii="Arial" w:cs="Arial" w:eastAsia="Arial" w:hAnsi="Arial"/>
          <w:sz w:val="19"/>
          <w:szCs w:val="19"/>
          <w:color w:val="auto"/>
        </w:rPr>
        <w:t xml:space="preserve"> shall be instituted against the Borrower or any of its Major Subsidiaries, and such appointment continues undischarged, or such proceeding continues undismissed or unstayed, in each case, for a period of sixty (60) consecutive days.</w:t>
      </w:r>
    </w:p>
    <w:p>
      <w:pPr>
        <w:spacing w:after="0" w:line="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7.07 </w:t>
      </w:r>
      <w:r>
        <w:rPr>
          <w:rFonts w:ascii="Arial" w:cs="Arial" w:eastAsia="Arial" w:hAnsi="Arial"/>
          <w:sz w:val="22"/>
          <w:szCs w:val="22"/>
          <w:i w:val="1"/>
          <w:iCs w:val="1"/>
          <w:color w:val="auto"/>
        </w:rPr>
        <w:t>Judgments</w:t>
      </w:r>
      <w:r>
        <w:rPr>
          <w:rFonts w:ascii="Arial" w:cs="Arial" w:eastAsia="Arial" w:hAnsi="Arial"/>
          <w:sz w:val="22"/>
          <w:szCs w:val="22"/>
          <w:color w:val="auto"/>
        </w:rPr>
        <w:t>. The Borrower or any of its Major Subsidiaries shall fail within sixty (60) days to pay, bond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discharge one or more judgments or orders for the payment of money (except to the extent covered by independent third party insurance and as to which the insurer has not disclaimed coverage) in excess of Requisite Amount (or the equivalent thereof in currencies other than Dollars) in the aggregate, which judgment(s), in any such case, is/are not stayed on appeal or otherwise being appropriately contested in good faith.</w:t>
      </w:r>
    </w:p>
    <w:p>
      <w:pPr>
        <w:spacing w:after="0" w:line="1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7.08 </w:t>
      </w:r>
      <w:r>
        <w:rPr>
          <w:rFonts w:ascii="Arial" w:cs="Arial" w:eastAsia="Arial" w:hAnsi="Arial"/>
          <w:sz w:val="22"/>
          <w:szCs w:val="22"/>
          <w:i w:val="1"/>
          <w:iCs w:val="1"/>
          <w:color w:val="auto"/>
        </w:rPr>
        <w:t>Unfunded Liabilities</w:t>
      </w:r>
      <w:r>
        <w:rPr>
          <w:rFonts w:ascii="Arial" w:cs="Arial" w:eastAsia="Arial" w:hAnsi="Arial"/>
          <w:sz w:val="22"/>
          <w:szCs w:val="22"/>
          <w:color w:val="auto"/>
        </w:rPr>
        <w:t>. (i) The aggregate Unfunded Liabilities of all Plans would reasonably be expected to</w:t>
      </w:r>
      <w:r>
        <w:rPr>
          <w:rFonts w:ascii="Arial" w:cs="Arial" w:eastAsia="Arial" w:hAnsi="Arial"/>
          <w:sz w:val="22"/>
          <w:szCs w:val="22"/>
          <w:b w:val="1"/>
          <w:bCs w:val="1"/>
          <w:color w:val="auto"/>
        </w:rPr>
        <w:t xml:space="preserve"> </w:t>
      </w:r>
      <w:r>
        <w:rPr>
          <w:rFonts w:ascii="Arial" w:cs="Arial" w:eastAsia="Arial" w:hAnsi="Arial"/>
          <w:sz w:val="22"/>
          <w:szCs w:val="22"/>
          <w:color w:val="auto"/>
        </w:rPr>
        <w:t>result in a Material Adverse Effect pursuant to clause (a) of the definition thereof; (ii) the present value of the unfunded liabilities to provide the accrued benefits under all Foreign Pension Plans in the aggregate would reasonably be expected to result in a Material Adverse Effect pursuant to clause (a) of the definition thereof; or (iii) any Reportable Event shall occur in connection with any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8" w:right="339" w:bottom="1440" w:gutter="0" w:footer="0" w:header="0"/>
        </w:sectPr>
      </w:pPr>
    </w:p>
    <w:bookmarkStart w:id="293" w:name="page294"/>
    <w:bookmarkEnd w:id="293"/>
    <w:p>
      <w:pPr>
        <w:jc w:val="both"/>
        <w:ind w:right="20"/>
        <w:spacing w:after="0" w:line="263" w:lineRule="auto"/>
        <w:rPr>
          <w:sz w:val="20"/>
          <w:szCs w:val="20"/>
          <w:color w:val="auto"/>
        </w:rPr>
      </w:pPr>
      <w:r>
        <w:rPr>
          <w:rFonts w:ascii="Arial" w:cs="Arial" w:eastAsia="Arial" w:hAnsi="Arial"/>
          <w:sz w:val="22"/>
          <w:szCs w:val="22"/>
          <w:color w:val="auto"/>
        </w:rPr>
        <w:t>and such Reportable Event would reasonably be expected to result in a Material Adverse Effect pursuant to clause (a) of the definition thereof.</w:t>
      </w:r>
    </w:p>
    <w:p>
      <w:pPr>
        <w:spacing w:after="0" w:line="11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7.09</w:t>
      </w:r>
      <w:r>
        <w:rPr>
          <w:sz w:val="20"/>
          <w:szCs w:val="20"/>
          <w:color w:val="auto"/>
        </w:rPr>
        <w:tab/>
      </w: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A Change of Control shall have occurred.</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Section 7.10 </w:t>
      </w:r>
      <w:r>
        <w:rPr>
          <w:rFonts w:ascii="Arial" w:cs="Arial" w:eastAsia="Arial" w:hAnsi="Arial"/>
          <w:sz w:val="22"/>
          <w:szCs w:val="22"/>
          <w:i w:val="1"/>
          <w:iCs w:val="1"/>
          <w:color w:val="auto"/>
        </w:rPr>
        <w:t>Other ERISA Liabilities</w:t>
      </w:r>
      <w:r>
        <w:rPr>
          <w:rFonts w:ascii="Arial" w:cs="Arial" w:eastAsia="Arial" w:hAnsi="Arial"/>
          <w:sz w:val="22"/>
          <w:szCs w:val="22"/>
          <w:color w:val="auto"/>
        </w:rPr>
        <w:t>. The Borrower, any Subsidiary, or any other member of the Controlled Group</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been notified by the sponsor of a Multiemployer Plan that it has incurred withdrawal liability or become obligated to make contributions to a Multiemployer Plan in an amount which, when aggregated with all other amounts required to be paid to Multiemployer Plans by the Borrower, any Subsidiary, or any other member of the Controlled Group as withdrawal liability or contributions (determined as of the date of such notification), would reasonably be expected to result in a Material Adverse Effect pursuant to clause (a) of the definition thereof.</w:t>
      </w:r>
    </w:p>
    <w:p>
      <w:pPr>
        <w:spacing w:after="0" w:line="13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7.11 </w:t>
      </w:r>
      <w:r>
        <w:rPr>
          <w:rFonts w:ascii="Arial" w:cs="Arial" w:eastAsia="Arial" w:hAnsi="Arial"/>
          <w:sz w:val="19"/>
          <w:szCs w:val="19"/>
          <w:i w:val="1"/>
          <w:iCs w:val="1"/>
          <w:color w:val="auto"/>
        </w:rPr>
        <w:t>Invalidity of Loan Documents</w:t>
      </w:r>
      <w:r>
        <w:rPr>
          <w:rFonts w:ascii="Arial" w:cs="Arial" w:eastAsia="Arial" w:hAnsi="Arial"/>
          <w:sz w:val="19"/>
          <w:szCs w:val="19"/>
          <w:color w:val="auto"/>
        </w:rPr>
        <w:t>. Any material provision of any Loan Document, at any time after its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and delivery and for any reason other than as expressly permitted hereunder or thereunder or satisfaction in full of all the Obligations (other than contingent indemnification obligations that survive the termination of this Agreement),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for any reason other than as expressly permitted hereunder or thereunder.</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7.12 </w:t>
      </w:r>
      <w:r>
        <w:rPr>
          <w:rFonts w:ascii="Arial" w:cs="Arial" w:eastAsia="Arial" w:hAnsi="Arial"/>
          <w:sz w:val="22"/>
          <w:szCs w:val="22"/>
          <w:i w:val="1"/>
          <w:iCs w:val="1"/>
          <w:color w:val="auto"/>
        </w:rPr>
        <w:t>Pre-Closing Change of Control</w:t>
      </w:r>
      <w:r>
        <w:rPr>
          <w:rFonts w:ascii="Arial" w:cs="Arial" w:eastAsia="Arial" w:hAnsi="Arial"/>
          <w:sz w:val="22"/>
          <w:szCs w:val="22"/>
          <w:color w:val="auto"/>
        </w:rPr>
        <w:t>. Prior to the Closing Date, the Borrower shall cease to be a direct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 wholly-owned Subsidiary of XPO Logistics, Inc. (other than as a result of the satisfaction of the GXO Distribution Condition).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CCELERATION</w:t>
      </w:r>
      <w:r>
        <w:rPr>
          <w:rFonts w:ascii="Arial" w:cs="Arial" w:eastAsia="Arial" w:hAnsi="Arial"/>
          <w:sz w:val="22"/>
          <w:szCs w:val="22"/>
          <w:color w:val="auto"/>
        </w:rPr>
        <w:t>, W</w:t>
      </w:r>
      <w:r>
        <w:rPr>
          <w:rFonts w:ascii="Arial" w:cs="Arial" w:eastAsia="Arial" w:hAnsi="Arial"/>
          <w:sz w:val="17"/>
          <w:szCs w:val="17"/>
          <w:color w:val="auto"/>
        </w:rPr>
        <w:t>AIVERS</w:t>
      </w:r>
      <w:r>
        <w:rPr>
          <w:rFonts w:ascii="Arial" w:cs="Arial" w:eastAsia="Arial" w:hAnsi="Arial"/>
          <w:sz w:val="22"/>
          <w:szCs w:val="22"/>
          <w:color w:val="auto"/>
        </w:rPr>
        <w:t>, A</w:t>
      </w:r>
      <w:r>
        <w:rPr>
          <w:rFonts w:ascii="Arial" w:cs="Arial" w:eastAsia="Arial" w:hAnsi="Arial"/>
          <w:sz w:val="17"/>
          <w:szCs w:val="17"/>
          <w:color w:val="auto"/>
        </w:rPr>
        <w:t>MENDMENTS AND</w:t>
      </w:r>
      <w:r>
        <w:rPr>
          <w:rFonts w:ascii="Arial" w:cs="Arial" w:eastAsia="Arial" w:hAnsi="Arial"/>
          <w:sz w:val="22"/>
          <w:szCs w:val="22"/>
          <w:color w:val="auto"/>
        </w:rPr>
        <w:t xml:space="preserve"> R</w:t>
      </w:r>
      <w:r>
        <w:rPr>
          <w:rFonts w:ascii="Arial" w:cs="Arial" w:eastAsia="Arial" w:hAnsi="Arial"/>
          <w:sz w:val="17"/>
          <w:szCs w:val="17"/>
          <w:color w:val="auto"/>
        </w:rPr>
        <w:t>EMEDIES</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8.01 </w:t>
      </w:r>
      <w:r>
        <w:rPr>
          <w:rFonts w:ascii="Arial" w:cs="Arial" w:eastAsia="Arial" w:hAnsi="Arial"/>
          <w:sz w:val="19"/>
          <w:szCs w:val="19"/>
          <w:i w:val="1"/>
          <w:iCs w:val="1"/>
          <w:color w:val="auto"/>
        </w:rPr>
        <w:t>Acceleration, Etc</w:t>
      </w:r>
      <w:r>
        <w:rPr>
          <w:rFonts w:ascii="Arial" w:cs="Arial" w:eastAsia="Arial" w:hAnsi="Arial"/>
          <w:sz w:val="19"/>
          <w:szCs w:val="19"/>
          <w:color w:val="auto"/>
        </w:rPr>
        <w:t>. If any Default described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7.05</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7.06</w:t>
      </w:r>
      <w:r>
        <w:rPr>
          <w:rFonts w:ascii="Arial" w:cs="Arial" w:eastAsia="Arial" w:hAnsi="Arial"/>
          <w:sz w:val="19"/>
          <w:szCs w:val="19"/>
          <w:b w:val="1"/>
          <w:bCs w:val="1"/>
          <w:color w:val="auto"/>
        </w:rPr>
        <w:t xml:space="preserve"> </w:t>
      </w:r>
      <w:r>
        <w:rPr>
          <w:rFonts w:ascii="Arial" w:cs="Arial" w:eastAsia="Arial" w:hAnsi="Arial"/>
          <w:sz w:val="19"/>
          <w:szCs w:val="19"/>
          <w:color w:val="auto"/>
        </w:rPr>
        <w:t>occurs, the obligations of the Lenders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make Loans and the obligations of the Issuing Lenders to issue Letters of Credit hereunder shall automatically terminate and the Obligations of the Borrower shall immediately become due and payable, and the obligation of the Borrower to Cash Collateralize the L/C Obligations as required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shall automatically become effective, in each case without any election or action on the part of the Administrative Agent or any Lender or Issuing Lender. If any other Default occurs, the Required Lenders (or the Administrative Agent with the consent of the Required Lenders) may (i) terminate or suspend (in whole or in part) the obligations of the Lenders to make Loans and the Issuing Lenders to issue Letters of Credit hereunder and declare the Obligations of the Borrower to be due and payable (in whole or in part), whereupon such Obligations shall become immediately due and payable, without presentment, demand, protest or notice of any kind, all of which the Borrower hereby expressly waives and (ii) require that the Borrower Cash Collateralize the L/C Obligations in an amount equal to 100% of the outstanding L/C Obligations. Promptly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acceleration of the Obligations, the Administrative Agent will provide the Borrower with notice of such acceleration.</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If, within thirty (30) days after acceleration of the maturity of the Obligations of the Borrower or termination of the obligations of the Lenders to make Loans and the obligations of the Issuing Lenders to issue Letters of Credit hereunder as a result of any Default (other than any Default as described in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7.06</w:t>
      </w:r>
      <w:r>
        <w:rPr>
          <w:rFonts w:ascii="Arial" w:cs="Arial" w:eastAsia="Arial" w:hAnsi="Arial"/>
          <w:sz w:val="19"/>
          <w:szCs w:val="19"/>
          <w:color w:val="auto"/>
        </w:rPr>
        <w:t>) and before any judgment or decree for the payment of the Obligations due shall have been obtained or entered, the Required Lenders (in their sole discretion) shall so direct, the Administrative Agent shall, by notice to the Borrower, rescind and annul such acceleration and/or termination.</w:t>
      </w:r>
    </w:p>
    <w:p>
      <w:pPr>
        <w:spacing w:after="0" w:line="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8.02 </w:t>
      </w:r>
      <w:r>
        <w:rPr>
          <w:rFonts w:ascii="Arial" w:cs="Arial" w:eastAsia="Arial" w:hAnsi="Arial"/>
          <w:sz w:val="19"/>
          <w:szCs w:val="19"/>
          <w:i w:val="1"/>
          <w:iCs w:val="1"/>
          <w:color w:val="auto"/>
        </w:rPr>
        <w:t>Amendments</w:t>
      </w:r>
      <w:r>
        <w:rPr>
          <w:rFonts w:ascii="Arial" w:cs="Arial" w:eastAsia="Arial" w:hAnsi="Arial"/>
          <w:sz w:val="19"/>
          <w:szCs w:val="19"/>
          <w:color w:val="auto"/>
        </w:rPr>
        <w:t>. Subject to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8, Section 2.22</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3.07</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expressly set forth herein, the Required Lenders (or the Administrative Agent with the consent in writing of the Required Lenders) and the Borrower may enter into (with notice to the Administrative Agent, if the Administrative Agent is not acting with the consent in writing of the Required Lenders) agreements supplemental hereto for the purpose of adding or modifying any provisions to the Loan Documents or changing in any manner the rights of the Lenders or the Borrower hereunder or thereunder or waiving any Default hereunder or thereunder;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supplemental agreement shall:</w:t>
      </w:r>
    </w:p>
    <w:p>
      <w:pPr>
        <w:spacing w:after="0" w:line="96" w:lineRule="exact"/>
        <w:rPr>
          <w:sz w:val="20"/>
          <w:szCs w:val="20"/>
          <w:color w:val="auto"/>
        </w:rPr>
      </w:pPr>
    </w:p>
    <w:p>
      <w:pPr>
        <w:jc w:val="both"/>
        <w:ind w:firstLine="656"/>
        <w:spacing w:after="0" w:line="247" w:lineRule="auto"/>
        <w:tabs>
          <w:tab w:leader="none" w:pos="1113"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Extend the final maturity of any Loan of any Lender (other than as expressly permitted by the terms of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or forgive all or any portion of the principal amount thereof payable to any Lender or of any unpaid obligations of the Borrower under Section 2.03(f) to reimburse an Issuing Lender the amount of each draft under a Letter of Credit paid by such Issuing Lender, or reduce the rate, reduce the amount or extend the scheduled time of payment of interest or fees thereon (other than a waiver of the application of the default rate of interest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hereof) payable to any Lender, without the consent of each Lender or Issuing Lender affected thereby.</w:t>
      </w:r>
    </w:p>
    <w:p>
      <w:pPr>
        <w:spacing w:after="0" w:line="138" w:lineRule="exact"/>
        <w:rPr>
          <w:rFonts w:ascii="Arial" w:cs="Arial" w:eastAsia="Arial" w:hAnsi="Arial"/>
          <w:sz w:val="22"/>
          <w:szCs w:val="22"/>
          <w:color w:val="auto"/>
        </w:rPr>
      </w:pPr>
    </w:p>
    <w:p>
      <w:pPr>
        <w:jc w:val="both"/>
        <w:ind w:firstLine="656"/>
        <w:spacing w:after="0" w:line="246" w:lineRule="auto"/>
        <w:tabs>
          <w:tab w:leader="none" w:pos="1146"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Reduce the percentage specified in the definition of Required Lenders or any other percentage of Lenders specified to be the applicable percentage in this Agreement to act on specified matters or amend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or the definition of “Pro Rata Share”, without the consent of all Lenders affected thereby. For the sake of clarity, the addition of a term loan or an increased or additional revolving credit facility or an extension of the maturity of a portion of the revolving credit facility (including, without limitation, pursuant to </w:t>
      </w:r>
      <w:r>
        <w:rPr>
          <w:rFonts w:ascii="Arial" w:cs="Arial" w:eastAsia="Arial" w:hAnsi="Arial"/>
          <w:sz w:val="22"/>
          <w:szCs w:val="22"/>
          <w:u w:val="single" w:color="auto"/>
          <w:color w:val="auto"/>
        </w:rPr>
        <w:t>Section 2.23</w:t>
      </w:r>
      <w:r>
        <w:rPr>
          <w:rFonts w:ascii="Arial" w:cs="Arial" w:eastAsia="Arial" w:hAnsi="Arial"/>
          <w:sz w:val="22"/>
          <w:szCs w:val="22"/>
          <w:color w:val="auto"/>
        </w:rPr>
        <w:t>) and similar modifications shall be permitted with the consent of the Required Lenders and the Lenders agreeing to participate in the new facility or to increase the amount of their commitment or extend the maturity of their Loans.</w:t>
      </w:r>
    </w:p>
    <w:p>
      <w:pPr>
        <w:spacing w:after="0" w:line="142" w:lineRule="exact"/>
        <w:rPr>
          <w:rFonts w:ascii="Arial" w:cs="Arial" w:eastAsia="Arial" w:hAnsi="Arial"/>
          <w:sz w:val="22"/>
          <w:szCs w:val="22"/>
          <w:color w:val="auto"/>
        </w:rPr>
      </w:pPr>
    </w:p>
    <w:p>
      <w:pPr>
        <w:jc w:val="both"/>
        <w:ind w:firstLine="656"/>
        <w:spacing w:after="0" w:line="271" w:lineRule="auto"/>
        <w:tabs>
          <w:tab w:leader="none" w:pos="111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Extend the Facility Termination Date as it applies to any Lender or otherwise extend the term or increase the amount of the Commitment of any Lender hereunder (other than as expressly permitted by the terms of </w:t>
      </w:r>
      <w:r>
        <w:rPr>
          <w:rFonts w:ascii="Arial" w:cs="Arial" w:eastAsia="Arial" w:hAnsi="Arial"/>
          <w:sz w:val="21"/>
          <w:szCs w:val="21"/>
          <w:u w:val="single" w:color="auto"/>
          <w:color w:val="auto"/>
        </w:rPr>
        <w:t>Section 2.23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2.22</w:t>
      </w:r>
      <w:r>
        <w:rPr>
          <w:rFonts w:ascii="Arial" w:cs="Arial" w:eastAsia="Arial" w:hAnsi="Arial"/>
          <w:sz w:val="21"/>
          <w:szCs w:val="21"/>
          <w:color w:val="auto"/>
        </w:rPr>
        <w:t>, and the definition of “Facility Termination Date”) without the consent of each Lender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8" w:right="339" w:bottom="1440" w:gutter="0" w:footer="0" w:header="0"/>
        </w:sectPr>
      </w:pPr>
    </w:p>
    <w:bookmarkStart w:id="295" w:name="page296"/>
    <w:bookmarkEnd w:id="295"/>
    <w:p>
      <w:pPr>
        <w:ind w:firstLine="656"/>
        <w:spacing w:after="0" w:line="263" w:lineRule="auto"/>
        <w:tabs>
          <w:tab w:leader="none" w:pos="1213"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Permit the Borrower to assign its rights or obligations under this Agreement except as provided in </w:t>
      </w:r>
      <w:r>
        <w:rPr>
          <w:rFonts w:ascii="Arial" w:cs="Arial" w:eastAsia="Arial" w:hAnsi="Arial"/>
          <w:sz w:val="22"/>
          <w:szCs w:val="22"/>
          <w:u w:val="single" w:color="auto"/>
          <w:color w:val="auto"/>
        </w:rPr>
        <w:t>Section 6.09</w:t>
      </w:r>
      <w:r>
        <w:rPr>
          <w:rFonts w:ascii="Arial" w:cs="Arial" w:eastAsia="Arial" w:hAnsi="Arial"/>
          <w:sz w:val="22"/>
          <w:szCs w:val="22"/>
          <w:color w:val="auto"/>
        </w:rPr>
        <w:t xml:space="preserve"> without the consent of all Lenders.</w:t>
      </w:r>
    </w:p>
    <w:p>
      <w:pPr>
        <w:spacing w:after="0" w:line="120" w:lineRule="exact"/>
        <w:rPr>
          <w:rFonts w:ascii="Arial" w:cs="Arial" w:eastAsia="Arial" w:hAnsi="Arial"/>
          <w:sz w:val="22"/>
          <w:szCs w:val="22"/>
          <w:color w:val="auto"/>
        </w:rPr>
      </w:pPr>
    </w:p>
    <w:p>
      <w:pPr>
        <w:ind w:left="1100" w:hanging="444"/>
        <w:spacing w:after="0"/>
        <w:tabs>
          <w:tab w:leader="none" w:pos="11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Amend this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without the consent of all Lenders.</w:t>
      </w:r>
    </w:p>
    <w:p>
      <w:pPr>
        <w:spacing w:after="0" w:line="165" w:lineRule="exact"/>
        <w:rPr>
          <w:rFonts w:ascii="Arial" w:cs="Arial" w:eastAsia="Arial" w:hAnsi="Arial"/>
          <w:sz w:val="22"/>
          <w:szCs w:val="22"/>
          <w:color w:val="auto"/>
        </w:rPr>
      </w:pPr>
    </w:p>
    <w:p>
      <w:pPr>
        <w:ind w:left="1080" w:hanging="424"/>
        <w:spacing w:after="0"/>
        <w:tabs>
          <w:tab w:leader="none" w:pos="108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Amend the definition of “Foreign Currency” or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without the consent of all Lenders.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Notwithstanding the foregoing, (w) no amendment of any provision of this Agreement relating to any Agent shall be effective without the written consent of such Agent; (x) no amendment, waiver or consent shall, unless in writing and signed by the Administrative Agent in addition to the Lenders required above, affect the rights or duties of the Administrative Agent under this Agreement or any other Loan Document; (y) any provision of this Agreement or any other Loan Document may be amended by an agreement in writing entered into by the Borrower and the Administrative Agent to cure any ambiguity, omission, defect or inconsistency (including, without limitation, amendments, supplements or waivers to any of documents executed by the Borrower or any Subsidiary in connection with this Agreement if such amendment, supplement or waiver is delivered in order to cause such related documents to be consistent with this Agreement and the other Loan Documents); and (z) no amendment, waiver or consent shall affect the rights or duties of any Issuing Lender under this Agreement or any Loan Document relating to any Letter of Credit issued or to be issued by it without the prior written consent of such Issuing Lender.</w:t>
      </w:r>
    </w:p>
    <w:p>
      <w:pPr>
        <w:spacing w:after="0" w:line="1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Notwithstanding anything to the contrary herein, no Defaulting Lender shall have any right to approve or disapprove any amendment, waiver or consent hereunder (it being specifically understood and agreed that any amendment, waiver or consent which by its terms requires the consent of all Lenders or each affected Lender may be effected with the consent of the applicable Lenders other than Defaulting Lenders), except that (A) the Commitment of such Lender may not be increased without the consent of such Lender and (B)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8.03 </w:t>
      </w:r>
      <w:r>
        <w:rPr>
          <w:rFonts w:ascii="Arial" w:cs="Arial" w:eastAsia="Arial" w:hAnsi="Arial"/>
          <w:sz w:val="21"/>
          <w:szCs w:val="21"/>
          <w:i w:val="1"/>
          <w:iCs w:val="1"/>
          <w:color w:val="auto"/>
        </w:rPr>
        <w:t>Preservation of Rights</w:t>
      </w:r>
      <w:r>
        <w:rPr>
          <w:rFonts w:ascii="Arial" w:cs="Arial" w:eastAsia="Arial" w:hAnsi="Arial"/>
          <w:sz w:val="21"/>
          <w:szCs w:val="21"/>
          <w:color w:val="auto"/>
        </w:rPr>
        <w:t>. No delay or omission of the Lenders or any Issuing Lender or Agents to exercise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right under the Loan Documents shall impair such right or be construed to be a waiver of any Default or an acquiescence therein, and the making of a Loan or issuance of any Letter of Credit notwithstanding the existence of a Default or Unmatured Default or the inability of the Borrower to satisfy the conditions precedent to such Loan or issuance of Letter of Credit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or by the Administrative Agent with the consent of, the requisite number of Lenders required pursuant to </w:t>
      </w:r>
      <w:r>
        <w:rPr>
          <w:rFonts w:ascii="Arial" w:cs="Arial" w:eastAsia="Arial" w:hAnsi="Arial"/>
          <w:sz w:val="21"/>
          <w:szCs w:val="21"/>
          <w:u w:val="single" w:color="auto"/>
          <w:color w:val="auto"/>
        </w:rPr>
        <w:t>Section 8.02</w:t>
      </w:r>
      <w:r>
        <w:rPr>
          <w:rFonts w:ascii="Arial" w:cs="Arial" w:eastAsia="Arial" w:hAnsi="Arial"/>
          <w:sz w:val="21"/>
          <w:szCs w:val="21"/>
          <w:color w:val="auto"/>
        </w:rPr>
        <w:t>, and then only to the extent in such writing specifically set forth. All remedies contained in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8" w:right="339" w:bottom="1440" w:gutter="0" w:footer="0" w:header="0"/>
        </w:sectPr>
      </w:pPr>
    </w:p>
    <w:bookmarkStart w:id="296" w:name="page297"/>
    <w:bookmarkEnd w:id="296"/>
    <w:p>
      <w:pPr>
        <w:jc w:val="both"/>
        <w:spacing w:after="0" w:line="263" w:lineRule="auto"/>
        <w:rPr>
          <w:sz w:val="20"/>
          <w:szCs w:val="20"/>
          <w:color w:val="auto"/>
        </w:rPr>
      </w:pPr>
      <w:r>
        <w:rPr>
          <w:rFonts w:ascii="Arial" w:cs="Arial" w:eastAsia="Arial" w:hAnsi="Arial"/>
          <w:sz w:val="22"/>
          <w:szCs w:val="22"/>
          <w:color w:val="auto"/>
        </w:rPr>
        <w:t>or by law afforded shall be cumulative and all shall be available to the Agents and the Lenders until all of the Obligations have been paid in full.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7"/>
          <w:szCs w:val="17"/>
          <w:color w:val="auto"/>
        </w:rPr>
        <w:t>ENERAL</w:t>
      </w:r>
      <w:r>
        <w:rPr>
          <w:rFonts w:ascii="Arial" w:cs="Arial" w:eastAsia="Arial" w:hAnsi="Arial"/>
          <w:sz w:val="22"/>
          <w:szCs w:val="22"/>
          <w:color w:val="auto"/>
        </w:rPr>
        <w:t xml:space="preserve"> P</w:t>
      </w:r>
      <w:r>
        <w:rPr>
          <w:rFonts w:ascii="Arial" w:cs="Arial" w:eastAsia="Arial" w:hAnsi="Arial"/>
          <w:sz w:val="17"/>
          <w:szCs w:val="17"/>
          <w:color w:val="auto"/>
        </w:rPr>
        <w:t>ROVISIONS</w:t>
      </w:r>
    </w:p>
    <w:p>
      <w:pPr>
        <w:spacing w:after="0" w:line="1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9.01 </w:t>
      </w:r>
      <w:r>
        <w:rPr>
          <w:rFonts w:ascii="Arial" w:cs="Arial" w:eastAsia="Arial" w:hAnsi="Arial"/>
          <w:sz w:val="21"/>
          <w:szCs w:val="21"/>
          <w:i w:val="1"/>
          <w:iCs w:val="1"/>
          <w:color w:val="auto"/>
        </w:rPr>
        <w:t>Survival of Representations</w:t>
      </w:r>
      <w:r>
        <w:rPr>
          <w:rFonts w:ascii="Arial" w:cs="Arial" w:eastAsia="Arial" w:hAnsi="Arial"/>
          <w:sz w:val="21"/>
          <w:szCs w:val="21"/>
          <w:color w:val="auto"/>
        </w:rPr>
        <w:t>. All representations and warranties made hereunder and in any other Loan</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each Lender and each Issuing Lender regardless of any investigation made by the Administrative Agent, any Lender and any Issuing Lender or on their behalf and notwithstanding that the Administrative Agent, any Lender or any Issuing Lender may have had notice or knowledge of any Default at the time of any Advance, and shall continue in full force and effect as long as any Loan, (except as may be Cash Collateralized or as otherwise agreed by the applicable Issuing Lender) L/C Obligation or any other Obligation hereunder (other than any contingent indemnification obligations for which no claim has been made) shall remain unpaid or unsatisfied.</w:t>
      </w:r>
    </w:p>
    <w:p>
      <w:pPr>
        <w:spacing w:after="0" w:line="12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9.02 </w:t>
      </w:r>
      <w:r>
        <w:rPr>
          <w:rFonts w:ascii="Arial" w:cs="Arial" w:eastAsia="Arial" w:hAnsi="Arial"/>
          <w:sz w:val="22"/>
          <w:szCs w:val="22"/>
          <w:i w:val="1"/>
          <w:iCs w:val="1"/>
          <w:color w:val="auto"/>
        </w:rPr>
        <w:t>Governmental Regulation</w:t>
      </w:r>
      <w:r>
        <w:rPr>
          <w:rFonts w:ascii="Arial" w:cs="Arial" w:eastAsia="Arial" w:hAnsi="Arial"/>
          <w:sz w:val="22"/>
          <w:szCs w:val="22"/>
          <w:color w:val="auto"/>
        </w:rPr>
        <w:t>. Anything contained in this Agreement to the contrary notwithstanding, no</w:t>
      </w:r>
      <w:r>
        <w:rPr>
          <w:rFonts w:ascii="Arial" w:cs="Arial" w:eastAsia="Arial" w:hAnsi="Arial"/>
          <w:sz w:val="22"/>
          <w:szCs w:val="22"/>
          <w:b w:val="1"/>
          <w:bCs w:val="1"/>
          <w:color w:val="auto"/>
        </w:rPr>
        <w:t xml:space="preserve"> </w:t>
      </w:r>
      <w:r>
        <w:rPr>
          <w:rFonts w:ascii="Arial" w:cs="Arial" w:eastAsia="Arial" w:hAnsi="Arial"/>
          <w:sz w:val="22"/>
          <w:szCs w:val="22"/>
          <w:color w:val="auto"/>
        </w:rPr>
        <w:t>Lender shall be obligated to extend credit to the Borrower in violation of any limitation or prohibition provided by any applicable statute or regulation.</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Section 9.03 </w:t>
      </w:r>
      <w:r>
        <w:rPr>
          <w:rFonts w:ascii="Arial" w:cs="Arial" w:eastAsia="Arial" w:hAnsi="Arial"/>
          <w:sz w:val="22"/>
          <w:szCs w:val="22"/>
          <w:i w:val="1"/>
          <w:iCs w:val="1"/>
          <w:color w:val="auto"/>
        </w:rPr>
        <w:t>Headings</w:t>
      </w:r>
      <w:r>
        <w:rPr>
          <w:rFonts w:ascii="Arial" w:cs="Arial" w:eastAsia="Arial" w:hAnsi="Arial"/>
          <w:sz w:val="22"/>
          <w:szCs w:val="22"/>
          <w:color w:val="auto"/>
        </w:rPr>
        <w:t>. Section headings in the Loan Documents are for convenience of reference only, and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govern the interpretation of any of the provisions of the Loan Documents.</w:t>
      </w:r>
    </w:p>
    <w:p>
      <w:pPr>
        <w:spacing w:after="0" w:line="10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9.04 </w:t>
      </w:r>
      <w:r>
        <w:rPr>
          <w:rFonts w:ascii="Arial" w:cs="Arial" w:eastAsia="Arial" w:hAnsi="Arial"/>
          <w:sz w:val="19"/>
          <w:szCs w:val="19"/>
          <w:i w:val="1"/>
          <w:iCs w:val="1"/>
          <w:color w:val="auto"/>
        </w:rPr>
        <w:t>Entire Agreement</w:t>
      </w:r>
      <w:r>
        <w:rPr>
          <w:rFonts w:ascii="Arial" w:cs="Arial" w:eastAsia="Arial" w:hAnsi="Arial"/>
          <w:sz w:val="19"/>
          <w:szCs w:val="19"/>
          <w:color w:val="auto"/>
        </w:rPr>
        <w:t>. The Loan Documents, together with the Fee Letters, embody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among the Borrower, the Agents, the Lenders party thereto and supersede all prior agreements and understandings among the Borrower, the Agents and the Lenders, as applicable, relating to the subject matter thereof.</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9.05 </w:t>
      </w:r>
      <w:r>
        <w:rPr>
          <w:rFonts w:ascii="Arial" w:cs="Arial" w:eastAsia="Arial" w:hAnsi="Arial"/>
          <w:sz w:val="21"/>
          <w:szCs w:val="21"/>
          <w:i w:val="1"/>
          <w:iCs w:val="1"/>
          <w:color w:val="auto"/>
        </w:rPr>
        <w:t>Several Obligations; Benefits of this Agreement</w:t>
      </w:r>
      <w:r>
        <w:rPr>
          <w:rFonts w:ascii="Arial" w:cs="Arial" w:eastAsia="Arial" w:hAnsi="Arial"/>
          <w:sz w:val="21"/>
          <w:szCs w:val="21"/>
          <w:color w:val="auto"/>
        </w:rPr>
        <w:t>. The respective obligations of the Lenders and the Issuing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Lenders hereunder are several and not joint and no Lender or Issuing Lender shall be the partner or agent of any other (except to the extent to which the Agents are authorized to act as such). The failure of any Lender or Issuing Lender to perform any of its obligations hereunder shall not relieve any other Lender or Issuing Lender from any of its obligations hereunder.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1"/>
          <w:szCs w:val="21"/>
          <w:u w:val="single" w:color="auto"/>
          <w:color w:val="auto"/>
        </w:rPr>
        <w:t>Section 12.01(d)</w:t>
      </w:r>
      <w:r>
        <w:rPr>
          <w:rFonts w:ascii="Arial" w:cs="Arial" w:eastAsia="Arial" w:hAnsi="Arial"/>
          <w:sz w:val="21"/>
          <w:szCs w:val="21"/>
          <w:color w:val="auto"/>
        </w:rPr>
        <w:t xml:space="preserve"> and, to the extent expressly contemplated hereby, the Related Parties of each of the Administrative Agent and the Lenders) any legal or equitable right, remedy or claim under or by reason of this Agreement; provided, however, that the parties hereto expressly agree that each Arranger shall enjoy the benefits of the provisions of </w:t>
      </w:r>
      <w:r>
        <w:rPr>
          <w:rFonts w:ascii="Arial" w:cs="Arial" w:eastAsia="Arial" w:hAnsi="Arial"/>
          <w:sz w:val="21"/>
          <w:szCs w:val="21"/>
          <w:u w:val="single" w:color="auto"/>
          <w:color w:val="auto"/>
        </w:rPr>
        <w:t>Sections 9.06</w:t>
      </w:r>
      <w:r>
        <w:rPr>
          <w:rFonts w:ascii="Arial" w:cs="Arial" w:eastAsia="Arial" w:hAnsi="Arial"/>
          <w:sz w:val="21"/>
          <w:szCs w:val="21"/>
          <w:color w:val="auto"/>
        </w:rPr>
        <w:t xml:space="preserve">, </w:t>
      </w:r>
      <w:r>
        <w:rPr>
          <w:rFonts w:ascii="Arial" w:cs="Arial" w:eastAsia="Arial" w:hAnsi="Arial"/>
          <w:sz w:val="21"/>
          <w:szCs w:val="21"/>
          <w:u w:val="single" w:color="auto"/>
          <w:color w:val="auto"/>
        </w:rPr>
        <w:t>9.09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10.07</w:t>
      </w:r>
      <w:r>
        <w:rPr>
          <w:rFonts w:ascii="Arial" w:cs="Arial" w:eastAsia="Arial" w:hAnsi="Arial"/>
          <w:sz w:val="21"/>
          <w:szCs w:val="21"/>
          <w:color w:val="auto"/>
        </w:rPr>
        <w:t xml:space="preserve"> to the extent specifically set forth therein and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8" w:right="339" w:bottom="1440" w:gutter="0" w:footer="0" w:header="0"/>
        </w:sectPr>
      </w:pPr>
    </w:p>
    <w:bookmarkStart w:id="297" w:name="page298"/>
    <w:bookmarkEnd w:id="297"/>
    <w:p>
      <w:pPr>
        <w:spacing w:after="0"/>
        <w:rPr>
          <w:sz w:val="20"/>
          <w:szCs w:val="20"/>
          <w:color w:val="auto"/>
        </w:rPr>
      </w:pPr>
      <w:r>
        <w:rPr>
          <w:rFonts w:ascii="Arial" w:cs="Arial" w:eastAsia="Arial" w:hAnsi="Arial"/>
          <w:sz w:val="19"/>
          <w:szCs w:val="19"/>
          <w:color w:val="auto"/>
        </w:rPr>
        <w:t>right to enforce such provisions on its own behalf and in its own name to the same extent as if it were a party to this Agreement.</w:t>
      </w:r>
    </w:p>
    <w:p>
      <w:pPr>
        <w:spacing w:after="0" w:line="19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9.06</w:t>
      </w:r>
      <w:r>
        <w:rPr>
          <w:sz w:val="20"/>
          <w:szCs w:val="20"/>
          <w:color w:val="auto"/>
        </w:rPr>
        <w:tab/>
      </w:r>
      <w:r>
        <w:rPr>
          <w:rFonts w:ascii="Arial" w:cs="Arial" w:eastAsia="Arial" w:hAnsi="Arial"/>
          <w:sz w:val="19"/>
          <w:szCs w:val="19"/>
          <w:i w:val="1"/>
          <w:iCs w:val="1"/>
          <w:color w:val="auto"/>
        </w:rPr>
        <w:t>Expenses; Indemnification</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5" w:lineRule="auto"/>
        <w:tabs>
          <w:tab w:leader="none" w:pos="1131" w:val="left"/>
        </w:tabs>
        <w:numPr>
          <w:ilvl w:val="0"/>
          <w:numId w:val="242"/>
        </w:numPr>
        <w:rPr>
          <w:rFonts w:ascii="Arial" w:cs="Arial" w:eastAsia="Arial" w:hAnsi="Arial"/>
          <w:sz w:val="19"/>
          <w:szCs w:val="19"/>
          <w:color w:val="auto"/>
        </w:rPr>
      </w:pPr>
      <w:r>
        <w:rPr>
          <w:rFonts w:ascii="Arial" w:cs="Arial" w:eastAsia="Arial" w:hAnsi="Arial"/>
          <w:sz w:val="19"/>
          <w:szCs w:val="19"/>
          <w:i w:val="1"/>
          <w:iCs w:val="1"/>
          <w:color w:val="auto"/>
        </w:rPr>
        <w:t>Costs and Expenses</w:t>
      </w:r>
      <w:r>
        <w:rPr>
          <w:rFonts w:ascii="Arial" w:cs="Arial" w:eastAsia="Arial" w:hAnsi="Arial"/>
          <w:sz w:val="19"/>
          <w:szCs w:val="19"/>
          <w:color w:val="auto"/>
        </w:rPr>
        <w:t>. The Borrower shall reimburse from time to time on demand (i) all reasonable and documented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out-of-pocket fees and expenses incurred by, without duplication, the Administrative Agent, the Arrangers and their respective Affiliates (in the case of fees, disbursements and other charges of counsel, limited to the reasonable and documented fees, disbursements and other charges of one counsel to the Administrative Agent and the Arrangers and the Lenders (taken together) and, if reasonably necessary, of one local counsel in any relevant jurisdiction) incurred in connection with the syndication of the credit facilities provided for herein, the preparation, negotiation, execution, delivery and administration of this Agreement and the other Loan Documents or any amendments, modifications or waivers of the provisions hereof or thereof and (ii) all reasonable and documented out-of-pocket expenses incurred by the Administrative Agent, the Issuing Lenders and the Lenders (in the case of fees, disbursements and charges of counsel, limited to the reasonable and documented fees, disbursements and other charges of one counsel to such parties, taken together (and, if reasonably necessary, of one local counsel in any relevant jurisdiction and, solely in the case of an actual or potential conflict of interest, of one additional counsel (and, if reasonably necessary, one additional local counsel in any relevant jurisdiction) for all affected parties, taken together)) in connection with the enforcement or protection of their rights (A) in connection with this Agreement and the other Loan Documents, including their rights under this </w:t>
      </w:r>
      <w:r>
        <w:rPr>
          <w:rFonts w:ascii="Arial" w:cs="Arial" w:eastAsia="Arial" w:hAnsi="Arial"/>
          <w:sz w:val="19"/>
          <w:szCs w:val="19"/>
          <w:u w:val="single" w:color="auto"/>
          <w:color w:val="auto"/>
        </w:rPr>
        <w:t>Section 9.06</w:t>
      </w:r>
      <w:r>
        <w:rPr>
          <w:rFonts w:ascii="Arial" w:cs="Arial" w:eastAsia="Arial" w:hAnsi="Arial"/>
          <w:sz w:val="19"/>
          <w:szCs w:val="19"/>
          <w:color w:val="auto"/>
        </w:rPr>
        <w:t>, or (B) in connection with the Loans or Letters of Credit made or issued hereunder, including all such reasonable and documented out-of-pocket expenses incurred during any workout, restructuring or negotiations in respect of such Loans or the Borrower’s obligations in respect of Letters of Credit.</w:t>
      </w:r>
    </w:p>
    <w:p>
      <w:pPr>
        <w:spacing w:after="0" w:line="114" w:lineRule="exact"/>
        <w:rPr>
          <w:rFonts w:ascii="Arial" w:cs="Arial" w:eastAsia="Arial" w:hAnsi="Arial"/>
          <w:sz w:val="19"/>
          <w:szCs w:val="19"/>
          <w:color w:val="auto"/>
        </w:rPr>
      </w:pPr>
    </w:p>
    <w:p>
      <w:pPr>
        <w:jc w:val="both"/>
        <w:ind w:firstLine="656"/>
        <w:spacing w:after="0" w:line="286" w:lineRule="auto"/>
        <w:tabs>
          <w:tab w:leader="none" w:pos="1251" w:val="left"/>
        </w:tabs>
        <w:numPr>
          <w:ilvl w:val="0"/>
          <w:numId w:val="242"/>
        </w:numPr>
        <w:rPr>
          <w:rFonts w:ascii="Arial" w:cs="Arial" w:eastAsia="Arial" w:hAnsi="Arial"/>
          <w:sz w:val="19"/>
          <w:szCs w:val="19"/>
          <w:color w:val="auto"/>
        </w:rPr>
      </w:pPr>
      <w:r>
        <w:rPr>
          <w:rFonts w:ascii="Arial" w:cs="Arial" w:eastAsia="Arial" w:hAnsi="Arial"/>
          <w:sz w:val="19"/>
          <w:szCs w:val="19"/>
          <w:i w:val="1"/>
          <w:iCs w:val="1"/>
          <w:color w:val="auto"/>
        </w:rPr>
        <w:t>Indemnification by the Borrower</w:t>
      </w:r>
      <w:r>
        <w:rPr>
          <w:rFonts w:ascii="Arial" w:cs="Arial" w:eastAsia="Arial" w:hAnsi="Arial"/>
          <w:sz w:val="19"/>
          <w:szCs w:val="19"/>
          <w:color w:val="auto"/>
        </w:rPr>
        <w:t>. The Borrower shall indemnify the Administrative Agent (and any sub-agent</w:t>
      </w:r>
      <w:r>
        <w:rPr>
          <w:rFonts w:ascii="Arial" w:cs="Arial" w:eastAsia="Arial" w:hAnsi="Arial"/>
          <w:sz w:val="19"/>
          <w:szCs w:val="19"/>
          <w:i w:val="1"/>
          <w:iCs w:val="1"/>
          <w:color w:val="auto"/>
        </w:rPr>
        <w:t xml:space="preserve"> </w:t>
      </w:r>
      <w:r>
        <w:rPr>
          <w:rFonts w:ascii="Arial" w:cs="Arial" w:eastAsia="Arial" w:hAnsi="Arial"/>
          <w:sz w:val="19"/>
          <w:szCs w:val="19"/>
          <w:color w:val="auto"/>
        </w:rPr>
        <w:t>thereof), each Arranger, each Lender, each Issuing Lender and each of their respective Affiliates, controlling Persons, successors and assigns and their respective officers, directors, employees, agents and advisors (each such Person being called an “</w:t>
      </w:r>
      <w:r>
        <w:rPr>
          <w:rFonts w:ascii="Arial" w:cs="Arial" w:eastAsia="Arial" w:hAnsi="Arial"/>
          <w:sz w:val="19"/>
          <w:szCs w:val="19"/>
          <w:b w:val="1"/>
          <w:bCs w:val="1"/>
          <w:color w:val="auto"/>
        </w:rPr>
        <w:t>Indemnitee</w:t>
      </w:r>
      <w:r>
        <w:rPr>
          <w:rFonts w:ascii="Arial" w:cs="Arial" w:eastAsia="Arial" w:hAnsi="Arial"/>
          <w:sz w:val="19"/>
          <w:szCs w:val="19"/>
          <w:color w:val="auto"/>
        </w:rPr>
        <w:t>”) against, and hold each Indemnitee harmless from (and will reimburse each Indemnitee as the same are incurred for), any and all losses, claims, damages, liabilities and expenses (in the case of fees, disbursements and charges of counsel, limited to the reasonable and documented fees, disbursements and other charges of one counsel to all Indemnitees, taken together (and, if reasonably necessary, of one local counsel in any relevant jurisdiction and, solely in the case of an actual or potential conflict of interest, of one additional counsel (and, if reasonably necessary, one additional local counsel in any relevant jurisdiction) for all affected Indemnitees, taken together)) that may be incurred by or awarded against any Indemnitee, in each case arising out of or in connection with (i) the Revolving Credit Facility, (ii)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8" w:right="339" w:bottom="1440" w:gutter="0" w:footer="0" w:header="0"/>
        </w:sectPr>
      </w:pPr>
    </w:p>
    <w:bookmarkStart w:id="298" w:name="page299"/>
    <w:bookmarkEnd w:id="298"/>
    <w:p>
      <w:pPr>
        <w:jc w:val="both"/>
        <w:spacing w:after="0" w:line="283" w:lineRule="auto"/>
        <w:rPr>
          <w:sz w:val="20"/>
          <w:szCs w:val="20"/>
          <w:color w:val="auto"/>
        </w:rPr>
      </w:pPr>
      <w:r>
        <w:rPr>
          <w:rFonts w:ascii="Arial" w:cs="Arial" w:eastAsia="Arial" w:hAnsi="Arial"/>
          <w:sz w:val="19"/>
          <w:szCs w:val="19"/>
          <w:color w:val="auto"/>
        </w:rPr>
        <w:t xml:space="preserve">Related Parties only, the administration of this Agreement and the other Loan Documents (including in respect of any matters addressed in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(iii) any Loan or Letter of Credit or the use or proposed use of the proceeds, (iv) any actual or alleged presence or release of Hazardous Materials on, at, to or from any property currently or formerly owned, leased or operated by the Borrower or any of its Subsidiaries, or any Environmental Liability related in any way to the Borrower or any of its Subsidiaries or (v)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bad faith, gross negligence or willful misconduct of such Indemnitee or its Subject Related Parties,</w:t>
      </w:r>
    </w:p>
    <w:p>
      <w:pPr>
        <w:spacing w:after="0" w:line="8" w:lineRule="exact"/>
        <w:rPr>
          <w:sz w:val="20"/>
          <w:szCs w:val="20"/>
          <w:color w:val="auto"/>
        </w:rPr>
      </w:pPr>
    </w:p>
    <w:p>
      <w:pPr>
        <w:jc w:val="both"/>
        <w:ind w:firstLine="8"/>
        <w:spacing w:after="0" w:line="256" w:lineRule="auto"/>
        <w:tabs>
          <w:tab w:leader="none" w:pos="333"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a material breach by such Indemnitee or any of its Subject Related Parties of such Indemnitee’s obligations hereunder or under any other Loan Document or (z) a dispute solely among two or more Indemnitees not arising from any act or omission of the Borrower or its Subsidiaries hereunder (other than claims against an Indemnitee in its capacity or as a result of fulfilling its role as an Agent, Arranger or similar role under any of the Loan Documents). This </w:t>
      </w:r>
      <w:r>
        <w:rPr>
          <w:rFonts w:ascii="Arial" w:cs="Arial" w:eastAsia="Arial" w:hAnsi="Arial"/>
          <w:sz w:val="21"/>
          <w:szCs w:val="21"/>
          <w:u w:val="single" w:color="auto"/>
          <w:color w:val="auto"/>
        </w:rPr>
        <w:t>Section 9.06(b)</w:t>
      </w:r>
      <w:r>
        <w:rPr>
          <w:rFonts w:ascii="Arial" w:cs="Arial" w:eastAsia="Arial" w:hAnsi="Arial"/>
          <w:sz w:val="21"/>
          <w:szCs w:val="21"/>
          <w:color w:val="auto"/>
        </w:rPr>
        <w:t xml:space="preserve"> shall not apply with respect to Taxes other than any Taxes that represent losses, claims, damages, etc. arising from any non-Tax claim. In the case of an investigation, litigation or proceeding to which the indemnity in this </w:t>
      </w:r>
      <w:r>
        <w:rPr>
          <w:rFonts w:ascii="Arial" w:cs="Arial" w:eastAsia="Arial" w:hAnsi="Arial"/>
          <w:sz w:val="21"/>
          <w:szCs w:val="21"/>
          <w:u w:val="single" w:color="auto"/>
          <w:color w:val="auto"/>
        </w:rPr>
        <w:t>Section 9.06(b)</w:t>
      </w:r>
      <w:r>
        <w:rPr>
          <w:rFonts w:ascii="Arial" w:cs="Arial" w:eastAsia="Arial" w:hAnsi="Arial"/>
          <w:sz w:val="21"/>
          <w:szCs w:val="21"/>
          <w:color w:val="auto"/>
        </w:rPr>
        <w:t xml:space="preserve"> applies, such indemnity shall be effective whether or not such investigation, litigation or proceeding is brought by the Borrower, its equityholders or creditors or any other third party or an Indemnitee, whether or not an Indemnitee is otherwise a party thereto and whether or not the transactions contemplated hereby are consummated.</w:t>
      </w:r>
    </w:p>
    <w:p>
      <w:pPr>
        <w:spacing w:after="0" w:line="134" w:lineRule="exact"/>
        <w:rPr>
          <w:rFonts w:ascii="Arial" w:cs="Arial" w:eastAsia="Arial" w:hAnsi="Arial"/>
          <w:sz w:val="21"/>
          <w:szCs w:val="21"/>
          <w:color w:val="auto"/>
        </w:rPr>
      </w:pPr>
    </w:p>
    <w:p>
      <w:pPr>
        <w:jc w:val="both"/>
        <w:ind w:firstLine="656"/>
        <w:spacing w:after="0" w:line="287" w:lineRule="auto"/>
        <w:tabs>
          <w:tab w:leader="none" w:pos="1185" w:val="left"/>
        </w:tabs>
        <w:numPr>
          <w:ilvl w:val="1"/>
          <w:numId w:val="243"/>
        </w:numPr>
        <w:rPr>
          <w:rFonts w:ascii="Arial" w:cs="Arial" w:eastAsia="Arial" w:hAnsi="Arial"/>
          <w:sz w:val="19"/>
          <w:szCs w:val="19"/>
          <w:color w:val="auto"/>
        </w:rPr>
      </w:pPr>
      <w:r>
        <w:rPr>
          <w:rFonts w:ascii="Arial" w:cs="Arial" w:eastAsia="Arial" w:hAnsi="Arial"/>
          <w:sz w:val="19"/>
          <w:szCs w:val="19"/>
          <w:i w:val="1"/>
          <w:iCs w:val="1"/>
          <w:color w:val="auto"/>
        </w:rPr>
        <w:t>Reimbursement by Lenders</w:t>
      </w:r>
      <w:r>
        <w:rPr>
          <w:rFonts w:ascii="Arial" w:cs="Arial" w:eastAsia="Arial" w:hAnsi="Arial"/>
          <w:sz w:val="19"/>
          <w:szCs w:val="19"/>
          <w:color w:val="auto"/>
        </w:rPr>
        <w:t>. To the extent that the Borrower for any reason fails to indefeasibly pay any amount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required under subsection (a) of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or the Borrower for any reason fails to indefeasibly pay or cause to be paid any amount required under subsection (b) of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in each case, to be paid to the Administrative Agent (or any sub-agent thereof), any Arranger, any Issuing Lender or any Related Party of any of the foregoing, each Lender severally agrees to pay to the Administrative Agent (or any such sub-agent), such Arranger, such Issuing Lender or such Related Party, as the case may be, such Lender’s Pro Rata Share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such Arranger or such Issuing Lender in its capacity as such or against any Related Party of any of the foregoing acting for the Administrative Agent (or any such sub-agent), such Arranger or such Issuing Lender in connection with such capacity. The obligations of the Lenders under this subsection (c) are subject to the provisions of </w:t>
      </w:r>
      <w:r>
        <w:rPr>
          <w:rFonts w:ascii="Arial" w:cs="Arial" w:eastAsia="Arial" w:hAnsi="Arial"/>
          <w:sz w:val="19"/>
          <w:szCs w:val="19"/>
          <w:u w:val="single" w:color="auto"/>
          <w:color w:val="auto"/>
        </w:rPr>
        <w:t>Section 2.17(c)</w:t>
      </w:r>
      <w:r>
        <w:rPr>
          <w:rFonts w:ascii="Arial" w:cs="Arial" w:eastAsia="Arial" w:hAnsi="Arial"/>
          <w:sz w:val="19"/>
          <w:szCs w:val="19"/>
          <w:color w:val="auto"/>
        </w:rPr>
        <w:t>.</w:t>
      </w:r>
    </w:p>
    <w:p>
      <w:pPr>
        <w:spacing w:after="0" w:line="109" w:lineRule="exact"/>
        <w:rPr>
          <w:rFonts w:ascii="Arial" w:cs="Arial" w:eastAsia="Arial" w:hAnsi="Arial"/>
          <w:sz w:val="19"/>
          <w:szCs w:val="19"/>
          <w:color w:val="auto"/>
        </w:rPr>
      </w:pPr>
    </w:p>
    <w:p>
      <w:pPr>
        <w:jc w:val="both"/>
        <w:ind w:firstLine="656"/>
        <w:spacing w:after="0" w:line="253" w:lineRule="auto"/>
        <w:tabs>
          <w:tab w:leader="none" w:pos="1183" w:val="left"/>
        </w:tabs>
        <w:numPr>
          <w:ilvl w:val="1"/>
          <w:numId w:val="243"/>
        </w:numPr>
        <w:rPr>
          <w:rFonts w:ascii="Arial" w:cs="Arial" w:eastAsia="Arial" w:hAnsi="Arial"/>
          <w:sz w:val="22"/>
          <w:szCs w:val="22"/>
          <w:color w:val="auto"/>
        </w:rPr>
      </w:pPr>
      <w:r>
        <w:rPr>
          <w:rFonts w:ascii="Arial" w:cs="Arial" w:eastAsia="Arial" w:hAnsi="Arial"/>
          <w:sz w:val="22"/>
          <w:szCs w:val="22"/>
          <w:i w:val="1"/>
          <w:iCs w:val="1"/>
          <w:color w:val="auto"/>
        </w:rPr>
        <w:t>Waiver of Consequential Damages, Limitation of Liability</w:t>
      </w:r>
      <w:r>
        <w:rPr>
          <w:rFonts w:ascii="Arial" w:cs="Arial" w:eastAsia="Arial" w:hAnsi="Arial"/>
          <w:sz w:val="22"/>
          <w:szCs w:val="22"/>
          <w:color w:val="auto"/>
        </w:rPr>
        <w:t>. To the fullest extent permitted by applicable law, each</w:t>
      </w:r>
      <w:r>
        <w:rPr>
          <w:rFonts w:ascii="Arial" w:cs="Arial" w:eastAsia="Arial" w:hAnsi="Arial"/>
          <w:sz w:val="22"/>
          <w:szCs w:val="22"/>
          <w:i w:val="1"/>
          <w:iCs w:val="1"/>
          <w:color w:val="auto"/>
        </w:rPr>
        <w:t xml:space="preserve"> </w:t>
      </w:r>
      <w:r>
        <w:rPr>
          <w:rFonts w:ascii="Arial" w:cs="Arial" w:eastAsia="Arial" w:hAnsi="Arial"/>
          <w:sz w:val="22"/>
          <w:szCs w:val="22"/>
          <w:color w:val="auto"/>
        </w:rPr>
        <w:t>party hereto agrees that it shall not assert, and hereby waives, any claim against any other party hereto, on any theory of liability,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299" w:name="page300"/>
    <w:bookmarkEnd w:id="299"/>
    <w:p>
      <w:pPr>
        <w:jc w:val="both"/>
        <w:spacing w:after="0" w:line="257" w:lineRule="auto"/>
        <w:rPr>
          <w:sz w:val="20"/>
          <w:szCs w:val="20"/>
          <w:color w:val="auto"/>
        </w:rPr>
      </w:pPr>
      <w:r>
        <w:rPr>
          <w:rFonts w:ascii="Arial" w:cs="Arial" w:eastAsia="Arial" w:hAnsi="Arial"/>
          <w:sz w:val="21"/>
          <w:szCs w:val="21"/>
          <w:color w:val="auto"/>
        </w:rPr>
        <w:t xml:space="preserve">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(it being agreed that the Borrower’s indemnity and contribution obligations set forth in this </w:t>
      </w:r>
      <w:r>
        <w:rPr>
          <w:rFonts w:ascii="Arial" w:cs="Arial" w:eastAsia="Arial" w:hAnsi="Arial"/>
          <w:sz w:val="21"/>
          <w:szCs w:val="21"/>
          <w:u w:val="single" w:color="auto"/>
          <w:color w:val="auto"/>
        </w:rPr>
        <w:t>Section 9.06</w:t>
      </w:r>
      <w:r>
        <w:rPr>
          <w:rFonts w:ascii="Arial" w:cs="Arial" w:eastAsia="Arial" w:hAnsi="Arial"/>
          <w:sz w:val="21"/>
          <w:szCs w:val="21"/>
          <w:color w:val="auto"/>
        </w:rPr>
        <w:t xml:space="preserve"> shall apply in respect of any special, indirect, consequential or punitive damages that may be awarded against any Indemnitee in connection with a claim by a third party unaffiliated with the Indemnitee). None of the Administrative Agent (and any sub-agent thereof), each Arranger, each Lender, each Issuing Lender and each of their respective Affiliates, controlling Persons, successors and assigns and their respective officers, directors, employees, agents and advisors (each such Person being called a “</w:t>
      </w:r>
      <w:r>
        <w:rPr>
          <w:rFonts w:ascii="Arial" w:cs="Arial" w:eastAsia="Arial" w:hAnsi="Arial"/>
          <w:sz w:val="21"/>
          <w:szCs w:val="21"/>
          <w:b w:val="1"/>
          <w:bCs w:val="1"/>
          <w:color w:val="auto"/>
        </w:rPr>
        <w:t>Protected Party</w:t>
      </w:r>
      <w:r>
        <w:rPr>
          <w:rFonts w:ascii="Arial" w:cs="Arial" w:eastAsia="Arial" w:hAnsi="Arial"/>
          <w:sz w:val="21"/>
          <w:szCs w:val="21"/>
          <w:color w:val="auto"/>
        </w:rPr>
        <w:t>”) shall be liable for any damages arising from the use by unintended recipients of any information or other materials distributed to such unintended recipients by such Protected Party through telecommunications, electronic or other information transmission systems in connection with this Agreement or the other Loan Documents or the transactions contemplated hereby or thereby other than for direct or actual damages resulting from the gross negligence, bad faith or willful misconduct of such Protected Party or its Subject Related Parties or a material breach of such Protected Party’s or its Subject Related Parties’ obligations hereunder or under any other Loan Document, in each case, as determined by a final and nonappealable judgment of a court of competent jurisdiction.</w:t>
      </w:r>
    </w:p>
    <w:p>
      <w:pPr>
        <w:spacing w:after="0" w:line="131" w:lineRule="exact"/>
        <w:rPr>
          <w:sz w:val="20"/>
          <w:szCs w:val="20"/>
          <w:color w:val="auto"/>
        </w:rPr>
      </w:pPr>
    </w:p>
    <w:p>
      <w:pPr>
        <w:ind w:right="20" w:firstLine="656"/>
        <w:spacing w:after="0" w:line="263" w:lineRule="auto"/>
        <w:tabs>
          <w:tab w:leader="none" w:pos="1252" w:val="left"/>
        </w:tabs>
        <w:numPr>
          <w:ilvl w:val="0"/>
          <w:numId w:val="244"/>
        </w:numPr>
        <w:rPr>
          <w:rFonts w:ascii="Arial" w:cs="Arial" w:eastAsia="Arial" w:hAnsi="Arial"/>
          <w:sz w:val="22"/>
          <w:szCs w:val="22"/>
          <w:color w:val="auto"/>
        </w:rPr>
      </w:pPr>
      <w:r>
        <w:rPr>
          <w:rFonts w:ascii="Arial" w:cs="Arial" w:eastAsia="Arial" w:hAnsi="Arial"/>
          <w:sz w:val="22"/>
          <w:szCs w:val="22"/>
          <w:i w:val="1"/>
          <w:iCs w:val="1"/>
          <w:color w:val="auto"/>
        </w:rPr>
        <w:t>Payments</w:t>
      </w:r>
      <w:r>
        <w:rPr>
          <w:rFonts w:ascii="Arial" w:cs="Arial" w:eastAsia="Arial" w:hAnsi="Arial"/>
          <w:sz w:val="22"/>
          <w:szCs w:val="22"/>
          <w:color w:val="auto"/>
        </w:rPr>
        <w:t>. All amounts due under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9.06</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payable not later than ten (10) Business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written demand therefor.</w:t>
      </w:r>
    </w:p>
    <w:p>
      <w:pPr>
        <w:spacing w:after="0" w:line="120" w:lineRule="exact"/>
        <w:rPr>
          <w:rFonts w:ascii="Arial" w:cs="Arial" w:eastAsia="Arial" w:hAnsi="Arial"/>
          <w:sz w:val="22"/>
          <w:szCs w:val="22"/>
          <w:color w:val="auto"/>
        </w:rPr>
      </w:pPr>
    </w:p>
    <w:p>
      <w:pPr>
        <w:jc w:val="both"/>
        <w:ind w:firstLine="656"/>
        <w:spacing w:after="0" w:line="253" w:lineRule="auto"/>
        <w:tabs>
          <w:tab w:leader="none" w:pos="1255" w:val="left"/>
        </w:tabs>
        <w:numPr>
          <w:ilvl w:val="0"/>
          <w:numId w:val="244"/>
        </w:numPr>
        <w:rPr>
          <w:rFonts w:ascii="Arial" w:cs="Arial" w:eastAsia="Arial" w:hAnsi="Arial"/>
          <w:sz w:val="22"/>
          <w:szCs w:val="22"/>
          <w:color w:val="auto"/>
        </w:rPr>
      </w:pPr>
      <w:r>
        <w:rPr>
          <w:rFonts w:ascii="Arial" w:cs="Arial" w:eastAsia="Arial" w:hAnsi="Arial"/>
          <w:sz w:val="22"/>
          <w:szCs w:val="22"/>
          <w:i w:val="1"/>
          <w:iCs w:val="1"/>
          <w:color w:val="auto"/>
        </w:rPr>
        <w:t>Survival</w:t>
      </w:r>
      <w:r>
        <w:rPr>
          <w:rFonts w:ascii="Arial" w:cs="Arial" w:eastAsia="Arial" w:hAnsi="Arial"/>
          <w:sz w:val="22"/>
          <w:szCs w:val="22"/>
          <w:color w:val="auto"/>
        </w:rPr>
        <w:t>. The agreements in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9.06</w:t>
      </w:r>
      <w:r>
        <w:rPr>
          <w:rFonts w:ascii="Arial" w:cs="Arial" w:eastAsia="Arial" w:hAnsi="Arial"/>
          <w:sz w:val="22"/>
          <w:szCs w:val="22"/>
          <w:i w:val="1"/>
          <w:iCs w:val="1"/>
          <w:color w:val="auto"/>
        </w:rPr>
        <w:t xml:space="preserve"> </w:t>
      </w:r>
      <w:r>
        <w:rPr>
          <w:rFonts w:ascii="Arial" w:cs="Arial" w:eastAsia="Arial" w:hAnsi="Arial"/>
          <w:sz w:val="22"/>
          <w:szCs w:val="22"/>
          <w:color w:val="auto"/>
        </w:rPr>
        <w:t>shall survive the resignation of the Administrative Agent, the</w:t>
      </w:r>
      <w:r>
        <w:rPr>
          <w:rFonts w:ascii="Arial" w:cs="Arial" w:eastAsia="Arial" w:hAnsi="Arial"/>
          <w:sz w:val="22"/>
          <w:szCs w:val="22"/>
          <w:i w:val="1"/>
          <w:iCs w:val="1"/>
          <w:color w:val="auto"/>
        </w:rPr>
        <w:t xml:space="preserve"> </w:t>
      </w:r>
      <w:r>
        <w:rPr>
          <w:rFonts w:ascii="Arial" w:cs="Arial" w:eastAsia="Arial" w:hAnsi="Arial"/>
          <w:sz w:val="22"/>
          <w:szCs w:val="22"/>
          <w:color w:val="auto"/>
        </w:rPr>
        <w:t>replacement of any Lender, the termination of the Aggregate Commitment and the repayment, satisfaction or discharge of all the other Obligations.</w:t>
      </w:r>
    </w:p>
    <w:p>
      <w:pPr>
        <w:spacing w:after="0" w:line="12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Section 9.07 </w:t>
      </w:r>
      <w:r>
        <w:rPr>
          <w:rFonts w:ascii="Arial" w:cs="Arial" w:eastAsia="Arial" w:hAnsi="Arial"/>
          <w:sz w:val="19"/>
          <w:szCs w:val="19"/>
          <w:i w:val="1"/>
          <w:iCs w:val="1"/>
          <w:color w:val="auto"/>
        </w:rPr>
        <w:t>Accounting</w:t>
      </w:r>
      <w:r>
        <w:rPr>
          <w:rFonts w:ascii="Arial" w:cs="Arial" w:eastAsia="Arial" w:hAnsi="Arial"/>
          <w:sz w:val="19"/>
          <w:szCs w:val="19"/>
          <w:color w:val="auto"/>
        </w:rPr>
        <w:t>. Except as provided to the contrary herein, all accounting terms used herein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interpreted and all accounting determinations hereunder shall be made in accordance with the Agreement Accounting Principles.</w:t>
      </w:r>
    </w:p>
    <w:p>
      <w:pPr>
        <w:spacing w:after="0" w:line="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9.08 </w:t>
      </w:r>
      <w:r>
        <w:rPr>
          <w:rFonts w:ascii="Arial" w:cs="Arial" w:eastAsia="Arial" w:hAnsi="Arial"/>
          <w:sz w:val="21"/>
          <w:szCs w:val="21"/>
          <w:i w:val="1"/>
          <w:iCs w:val="1"/>
          <w:color w:val="auto"/>
        </w:rPr>
        <w:t>Severability of Provisions</w:t>
      </w:r>
      <w:r>
        <w:rPr>
          <w:rFonts w:ascii="Arial" w:cs="Arial" w:eastAsia="Arial" w:hAnsi="Arial"/>
          <w:sz w:val="21"/>
          <w:szCs w:val="21"/>
          <w:color w:val="auto"/>
        </w:rPr>
        <w:t>. Any provision in any Loan Document that is held to be inoperative,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 Without limiting the foregoing provisions of this </w:t>
      </w:r>
      <w:r>
        <w:rPr>
          <w:rFonts w:ascii="Arial" w:cs="Arial" w:eastAsia="Arial" w:hAnsi="Arial"/>
          <w:sz w:val="21"/>
          <w:szCs w:val="21"/>
          <w:u w:val="single" w:color="auto"/>
          <w:color w:val="auto"/>
        </w:rPr>
        <w:t>Section 9.08</w:t>
      </w:r>
      <w:r>
        <w:rPr>
          <w:rFonts w:ascii="Arial" w:cs="Arial" w:eastAsia="Arial" w:hAnsi="Arial"/>
          <w:sz w:val="21"/>
          <w:szCs w:val="21"/>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9.09 </w:t>
      </w:r>
      <w:r>
        <w:rPr>
          <w:rFonts w:ascii="Arial" w:cs="Arial" w:eastAsia="Arial" w:hAnsi="Arial"/>
          <w:sz w:val="22"/>
          <w:szCs w:val="22"/>
          <w:i w:val="1"/>
          <w:iCs w:val="1"/>
          <w:color w:val="auto"/>
        </w:rPr>
        <w:t>Nonliability of Lenders</w:t>
      </w:r>
      <w:r>
        <w:rPr>
          <w:rFonts w:ascii="Arial" w:cs="Arial" w:eastAsia="Arial" w:hAnsi="Arial"/>
          <w:sz w:val="22"/>
          <w:szCs w:val="22"/>
          <w:color w:val="auto"/>
        </w:rPr>
        <w:t>. The relationship between the Borrower on the one hand and the Lenders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Agents on the other hand shall be solely that of borrower and lender. None of the Agents, the Arrangers or any Lender shall have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300" w:name="page301"/>
    <w:bookmarkEnd w:id="300"/>
    <w:p>
      <w:pPr>
        <w:jc w:val="both"/>
        <w:spacing w:after="0" w:line="343" w:lineRule="auto"/>
        <w:rPr>
          <w:sz w:val="20"/>
          <w:szCs w:val="20"/>
          <w:color w:val="auto"/>
        </w:rPr>
      </w:pPr>
      <w:r>
        <w:rPr>
          <w:rFonts w:ascii="Arial" w:cs="Arial" w:eastAsia="Arial" w:hAnsi="Arial"/>
          <w:sz w:val="19"/>
          <w:szCs w:val="19"/>
          <w:color w:val="auto"/>
        </w:rPr>
        <w:t>fiduciary responsibilities to the Borrower. None of the Agents, the Arrangers or any Lender undertakes any responsibility to the Borrower to review or inform the Borrower of any matter in connection with any phase of the Borrower’s business or operations.</w:t>
      </w:r>
    </w:p>
    <w:p>
      <w:pPr>
        <w:spacing w:after="0" w:line="4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9.10 </w:t>
      </w:r>
      <w:r>
        <w:rPr>
          <w:rFonts w:ascii="Arial" w:cs="Arial" w:eastAsia="Arial" w:hAnsi="Arial"/>
          <w:sz w:val="19"/>
          <w:szCs w:val="19"/>
          <w:i w:val="1"/>
          <w:iCs w:val="1"/>
          <w:color w:val="auto"/>
        </w:rPr>
        <w:t>Confidentiality</w:t>
      </w:r>
      <w:r>
        <w:rPr>
          <w:rFonts w:ascii="Arial" w:cs="Arial" w:eastAsia="Arial" w:hAnsi="Arial"/>
          <w:sz w:val="19"/>
          <w:szCs w:val="19"/>
          <w:color w:val="auto"/>
        </w:rPr>
        <w:t>. Each of the Administrative Agent, each other Agent, the Issuing Lenders and the Lenders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agrees to use all Information received by them solely for the purposes of providing the services that are the subject of this Agreement and to maintain the confidentiality of the Information, except that Information may be disclosed (a) to its Affiliates and to its and its Affiliates’ respective partners, directors, officers, employees, trustees, advisors and agents (it being understood that the Persons to whom such disclosure is made will be informed of the confidential nature of such Information and instructed to keep such Information confidential), (b) to the extent requested by any regulatory authority (including any self-regulatory authority), in which case such Administrative Agent, other Agent, Issuing Lender or Lender, as applicable, agrees to the extent reasonably practicable and not prohibited by applicable law, rule, regulation or order, to inform the Borrower promptly of the disclosure thereof, (c) to the extent required by applicable laws, rules or regulations or by any subpoena or order or similar legal process (in which case such Administrative Agent, other Agent, Issuing Lender or Lender, as applicable, agrees to the extent not prohibited by applicable law, rule, regulation or order, to inform the Borrower promptly of the disclosure thereof), (d) in connection with performing the services set forth herein and consummating the transactions contemplated hereby, to any prospective Lender or Issuing Lender or participant subject to the such prospective Lender or Issuing Lender or participant agreeing to confidentiality arrangements (for the benefit of the Borrower) no less favorable to the Borrower than those set forth in this Section 9.10, (e) to potential counterparties to any swap or derivative transaction, subject to the confidentiality agreements in favor of the Borrower no less favorable to the Borrower than this paragraph, (f) in connection with the exercise of any remedies hereunder or any suit, action or proceeding relating to this Agreement or the enforcement of rights hereunder, (g) with the prior written consent of the Borrower, (h) in connection with obtaining CUSIP numbers, (i) as and to the extent set forth in Section </w:t>
      </w:r>
      <w:r>
        <w:rPr>
          <w:rFonts w:ascii="Arial" w:cs="Arial" w:eastAsia="Arial" w:hAnsi="Arial"/>
          <w:sz w:val="19"/>
          <w:szCs w:val="19"/>
          <w:u w:val="single" w:color="auto"/>
          <w:color w:val="auto"/>
        </w:rPr>
        <w:t>12.02</w:t>
      </w:r>
      <w:r>
        <w:rPr>
          <w:rFonts w:ascii="Arial" w:cs="Arial" w:eastAsia="Arial" w:hAnsi="Arial"/>
          <w:sz w:val="19"/>
          <w:szCs w:val="19"/>
          <w:color w:val="auto"/>
        </w:rPr>
        <w:t xml:space="preserve">, (j) to the extent such Information (x) is or becomes publicly available other than as a result of a breach of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or (y) becomes available to such Administrative Agent, other Agent, Issuing Lender or Lender, as applicable, from a source other than the Borrower (or the Borrower’s representatives) that is not, such Person’s knowledge, subject to confidentiality or fiduciary obligations owing to the Borrower or any of the Borrower’s Subsidiaries, (k) to any other party hereto and (l) to any rating agency on a confidential basis in connection with rating the Borrower or the credit facility evidenced by this Agreement. Notwithstanding the foregoing, the Administrative Agent shall not be required to provide notice of any Lender by any governmental agency or examiner or regulatory body with jurisdiction over any Lender.</w:t>
      </w:r>
    </w:p>
    <w:p>
      <w:pPr>
        <w:spacing w:after="0" w:line="3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on a confidential basis, the Administrative Agent, each Issuing Lender and each Lender may disclose the existence and terms of this Agreement (including, without limitation, the Aggregate Commitment, the nature of the facility as a revolving credit facility, the use of proceeds provisions herein and the principal amount outstanding at a given time), and the identity of the parties hereto (including titles and participants) to market data collectors, similar services providers to the lending industry, and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301" w:name="page302"/>
    <w:bookmarkEnd w:id="301"/>
    <w:p>
      <w:pPr>
        <w:jc w:val="both"/>
        <w:ind w:right="20"/>
        <w:spacing w:after="0" w:line="263" w:lineRule="auto"/>
        <w:rPr>
          <w:sz w:val="20"/>
          <w:szCs w:val="20"/>
          <w:color w:val="auto"/>
        </w:rPr>
      </w:pPr>
      <w:r>
        <w:rPr>
          <w:rFonts w:ascii="Arial" w:cs="Arial" w:eastAsia="Arial" w:hAnsi="Arial"/>
          <w:sz w:val="22"/>
          <w:szCs w:val="22"/>
          <w:color w:val="auto"/>
        </w:rPr>
        <w:t>providers to the Administrative Agent, the Issuing Lenders and the Lenders in connection with the administration and management of this Agreement and the other Loan Documents.</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9.10</w:t>
      </w:r>
      <w:r>
        <w:rPr>
          <w:rFonts w:ascii="Arial" w:cs="Arial" w:eastAsia="Arial" w:hAnsi="Arial"/>
          <w:sz w:val="22"/>
          <w:szCs w:val="22"/>
          <w:color w:val="auto"/>
        </w:rPr>
        <w:t>, “</w:t>
      </w:r>
      <w:r>
        <w:rPr>
          <w:rFonts w:ascii="Arial" w:cs="Arial" w:eastAsia="Arial" w:hAnsi="Arial"/>
          <w:sz w:val="22"/>
          <w:szCs w:val="22"/>
          <w:b w:val="1"/>
          <w:bCs w:val="1"/>
          <w:color w:val="auto"/>
        </w:rPr>
        <w:t>Information</w:t>
      </w:r>
      <w:r>
        <w:rPr>
          <w:rFonts w:ascii="Arial" w:cs="Arial" w:eastAsia="Arial" w:hAnsi="Arial"/>
          <w:sz w:val="22"/>
          <w:szCs w:val="22"/>
          <w:color w:val="auto"/>
        </w:rPr>
        <w:t>” means all information received from the Borrower or any Subsidiary relating to the Borrower or any Subsidiary or any of their respective businesses in connection with the transactions contemplated hereby.</w:t>
      </w:r>
    </w:p>
    <w:p>
      <w:pPr>
        <w:spacing w:after="0" w:line="1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Each of the Administrative Agent, the Issuing Lenders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8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 xml:space="preserve">Section 9.11 </w:t>
      </w:r>
      <w:r>
        <w:rPr>
          <w:rFonts w:ascii="Arial" w:cs="Arial" w:eastAsia="Arial" w:hAnsi="Arial"/>
          <w:sz w:val="21"/>
          <w:szCs w:val="21"/>
          <w:i w:val="1"/>
          <w:iCs w:val="1"/>
          <w:color w:val="auto"/>
        </w:rPr>
        <w:t>Nonreliance</w:t>
      </w:r>
      <w:r>
        <w:rPr>
          <w:rFonts w:ascii="Arial" w:cs="Arial" w:eastAsia="Arial" w:hAnsi="Arial"/>
          <w:sz w:val="21"/>
          <w:szCs w:val="21"/>
          <w:color w:val="auto"/>
        </w:rPr>
        <w:t>. Each of the Lenders hereby represents that it is not relying on or looking to any margin stock</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Regulation U) as collateral in the extension or maintenance of the credit provided for herein.</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9.12 </w:t>
      </w:r>
      <w:r>
        <w:rPr>
          <w:rFonts w:ascii="Arial" w:cs="Arial" w:eastAsia="Arial" w:hAnsi="Arial"/>
          <w:sz w:val="22"/>
          <w:szCs w:val="22"/>
          <w:i w:val="1"/>
          <w:iCs w:val="1"/>
          <w:color w:val="auto"/>
        </w:rPr>
        <w:t>Disclosure</w:t>
      </w:r>
      <w:r>
        <w:rPr>
          <w:rFonts w:ascii="Arial" w:cs="Arial" w:eastAsia="Arial" w:hAnsi="Arial"/>
          <w:sz w:val="22"/>
          <w:szCs w:val="22"/>
          <w:color w:val="auto"/>
        </w:rPr>
        <w:t>. The Borrower, the Issuing Lenders and each Lender hereby acknowledge and agree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 Arrangers and/or their respective Affiliates and certain of the other Lenders, Issuing Lenders and/or their respective Affiliates from time to time may hold investments in, make other loans to or have other relationships with the Borrower and its Affiliates.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HE</w:t>
      </w:r>
      <w:r>
        <w:rPr>
          <w:rFonts w:ascii="Arial" w:cs="Arial" w:eastAsia="Arial" w:hAnsi="Arial"/>
          <w:sz w:val="22"/>
          <w:szCs w:val="22"/>
          <w:color w:val="auto"/>
        </w:rPr>
        <w:t xml:space="preserve"> A</w:t>
      </w:r>
      <w:r>
        <w:rPr>
          <w:rFonts w:ascii="Arial" w:cs="Arial" w:eastAsia="Arial" w:hAnsi="Arial"/>
          <w:sz w:val="17"/>
          <w:szCs w:val="17"/>
          <w:color w:val="auto"/>
        </w:rPr>
        <w:t>DMINISTRATIVE</w:t>
      </w:r>
      <w:r>
        <w:rPr>
          <w:rFonts w:ascii="Arial" w:cs="Arial" w:eastAsia="Arial" w:hAnsi="Arial"/>
          <w:sz w:val="22"/>
          <w:szCs w:val="22"/>
          <w:color w:val="auto"/>
        </w:rPr>
        <w:t xml:space="preserve"> A</w:t>
      </w:r>
      <w:r>
        <w:rPr>
          <w:rFonts w:ascii="Arial" w:cs="Arial" w:eastAsia="Arial" w:hAnsi="Arial"/>
          <w:sz w:val="17"/>
          <w:szCs w:val="17"/>
          <w:color w:val="auto"/>
        </w:rPr>
        <w:t>GENT</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10.01 </w:t>
      </w:r>
      <w:r>
        <w:rPr>
          <w:rFonts w:ascii="Arial" w:cs="Arial" w:eastAsia="Arial" w:hAnsi="Arial"/>
          <w:sz w:val="19"/>
          <w:szCs w:val="19"/>
          <w:i w:val="1"/>
          <w:iCs w:val="1"/>
          <w:color w:val="auto"/>
        </w:rPr>
        <w:t>Appointment and Authority</w:t>
      </w:r>
      <w:r>
        <w:rPr>
          <w:rFonts w:ascii="Arial" w:cs="Arial" w:eastAsia="Arial" w:hAnsi="Arial"/>
          <w:sz w:val="19"/>
          <w:szCs w:val="19"/>
          <w:color w:val="auto"/>
        </w:rPr>
        <w:t>. Each of the Lenders and each Issuing Lender hereby irrevocably appoints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Citibank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below) are solely for the benefit of the Administrative Agent, the Lenders and the Issuing Lenders, and the Borrower shall not have rights as a third party beneficiary of any of such provisions (other than as provided in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below).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Section 10.02 </w:t>
      </w:r>
      <w:r>
        <w:rPr>
          <w:rFonts w:ascii="Arial" w:cs="Arial" w:eastAsia="Arial" w:hAnsi="Arial"/>
          <w:sz w:val="22"/>
          <w:szCs w:val="22"/>
          <w:i w:val="1"/>
          <w:iCs w:val="1"/>
          <w:color w:val="auto"/>
        </w:rPr>
        <w:t>Rights as a Lender</w:t>
      </w:r>
      <w:r>
        <w:rPr>
          <w:rFonts w:ascii="Arial" w:cs="Arial" w:eastAsia="Arial" w:hAnsi="Arial"/>
          <w:sz w:val="22"/>
          <w:szCs w:val="22"/>
          <w:color w:val="auto"/>
        </w:rPr>
        <w:t>. The Person serving as the Administrative Agent hereunder shall have the same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302" w:name="page303"/>
    <w:bookmarkEnd w:id="302"/>
    <w:p>
      <w:pPr>
        <w:jc w:val="both"/>
        <w:spacing w:after="0" w:line="250" w:lineRule="auto"/>
        <w:rPr>
          <w:sz w:val="20"/>
          <w:szCs w:val="20"/>
          <w:color w:val="auto"/>
        </w:rPr>
      </w:pPr>
      <w:r>
        <w:rPr>
          <w:rFonts w:ascii="Arial" w:cs="Arial" w:eastAsia="Arial" w:hAnsi="Arial"/>
          <w:sz w:val="22"/>
          <w:szCs w:val="22"/>
          <w:color w:val="auto"/>
        </w:rPr>
        <w:t>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2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10.03 </w:t>
      </w:r>
      <w:r>
        <w:rPr>
          <w:rFonts w:ascii="Arial" w:cs="Arial" w:eastAsia="Arial" w:hAnsi="Arial"/>
          <w:sz w:val="21"/>
          <w:szCs w:val="21"/>
          <w:i w:val="1"/>
          <w:iCs w:val="1"/>
          <w:color w:val="auto"/>
        </w:rPr>
        <w:t>Reliance by Administrative Agent</w:t>
      </w:r>
      <w:r>
        <w:rPr>
          <w:rFonts w:ascii="Arial" w:cs="Arial" w:eastAsia="Arial" w:hAnsi="Arial"/>
          <w:sz w:val="21"/>
          <w:szCs w:val="21"/>
          <w:color w:val="auto"/>
        </w:rPr>
        <w:t>. The Administrative Agent shall be entitled to rely upon, and shall not</w:t>
      </w:r>
      <w:r>
        <w:rPr>
          <w:rFonts w:ascii="Arial" w:cs="Arial" w:eastAsia="Arial" w:hAnsi="Arial"/>
          <w:sz w:val="21"/>
          <w:szCs w:val="21"/>
          <w:b w:val="1"/>
          <w:bCs w:val="1"/>
          <w:color w:val="auto"/>
        </w:rPr>
        <w:t xml:space="preserve"> </w:t>
      </w:r>
      <w:r>
        <w:rPr>
          <w:rFonts w:ascii="Arial" w:cs="Arial" w:eastAsia="Arial" w:hAnsi="Arial"/>
          <w:sz w:val="21"/>
          <w:szCs w:val="21"/>
          <w:color w:val="auto"/>
        </w:rPr>
        <w:t>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amendment or increase of a Letter of Credit that by its terms must be fulfilled to the satisfaction of a Lender or an Issuing Lender, the Administrative Agent may presume that such condition is satisfactory to such Lender or Issuing Lender unless the Administrative Agent shall have received notice to the contrary from such Lender or Issuing Lender prior to the making of such Loan or the issuance, extension, renewal, amendment or increase of such Letter of Credit. The Administrative Agent may consult with legal counsel (who may be counsel for the Borrower), independent accountants and other experts selected by it, and shall not be liable for any action taken or not taken by it in good faith in accordance with the advice of any such counsel, accountants or experts.</w:t>
      </w:r>
    </w:p>
    <w:p>
      <w:pPr>
        <w:spacing w:after="0" w:line="1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10.04 </w:t>
      </w:r>
      <w:r>
        <w:rPr>
          <w:rFonts w:ascii="Arial" w:cs="Arial" w:eastAsia="Arial" w:hAnsi="Arial"/>
          <w:sz w:val="22"/>
          <w:szCs w:val="22"/>
          <w:i w:val="1"/>
          <w:iCs w:val="1"/>
          <w:color w:val="auto"/>
        </w:rPr>
        <w:t>Exculpatory Provisions</w:t>
      </w:r>
      <w:r>
        <w:rPr>
          <w:rFonts w:ascii="Arial" w:cs="Arial" w:eastAsia="Arial" w:hAnsi="Arial"/>
          <w:sz w:val="22"/>
          <w:szCs w:val="22"/>
          <w:color w:val="auto"/>
        </w:rPr>
        <w:t>. The Administrative Agent shall not have any duties or obligations except those</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set forth herein and in the other Loan Documents. Without limiting the generality of the foregoing, the Administrative Agent:</w:t>
      </w:r>
    </w:p>
    <w:p>
      <w:pPr>
        <w:spacing w:after="0" w:line="128" w:lineRule="exact"/>
        <w:rPr>
          <w:sz w:val="20"/>
          <w:szCs w:val="20"/>
          <w:color w:val="auto"/>
        </w:rPr>
      </w:pPr>
    </w:p>
    <w:p>
      <w:pPr>
        <w:ind w:left="1200" w:hanging="544"/>
        <w:spacing w:after="0"/>
        <w:tabs>
          <w:tab w:leader="none" w:pos="120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continuing;</w:t>
      </w:r>
    </w:p>
    <w:p>
      <w:pPr>
        <w:spacing w:after="0" w:line="147" w:lineRule="exact"/>
        <w:rPr>
          <w:rFonts w:ascii="Arial" w:cs="Arial" w:eastAsia="Arial" w:hAnsi="Arial"/>
          <w:sz w:val="19"/>
          <w:szCs w:val="19"/>
          <w:color w:val="auto"/>
        </w:rPr>
      </w:pPr>
    </w:p>
    <w:p>
      <w:pPr>
        <w:jc w:val="both"/>
        <w:ind w:firstLine="656"/>
        <w:spacing w:after="0" w:line="259" w:lineRule="auto"/>
        <w:tabs>
          <w:tab w:leader="none" w:pos="117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29" w:lineRule="exact"/>
        <w:rPr>
          <w:rFonts w:ascii="Arial" w:cs="Arial" w:eastAsia="Arial" w:hAnsi="Arial"/>
          <w:sz w:val="21"/>
          <w:szCs w:val="21"/>
          <w:color w:val="auto"/>
        </w:rPr>
      </w:pPr>
    </w:p>
    <w:p>
      <w:pPr>
        <w:jc w:val="both"/>
        <w:ind w:firstLine="656"/>
        <w:spacing w:after="0" w:line="343" w:lineRule="auto"/>
        <w:tabs>
          <w:tab w:leader="none" w:pos="112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obtained by the Person serving as the Administrative Agent or any of its Affiliates in any capacity.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Article 8</w:t>
      </w:r>
      <w:r>
        <w:rPr>
          <w:rFonts w:ascii="Arial" w:cs="Arial" w:eastAsia="Arial" w:hAnsi="Arial"/>
          <w:sz w:val="19"/>
          <w:szCs w:val="19"/>
          <w:color w:val="auto"/>
        </w:rPr>
        <w:t>) or (ii) in the absence of (A) its and its Subject Related Parties’ gross negligence or willful misconduct as determined by a court of competent jurisdiction by a final and non-appealable judgment and (B) material breach by the Administrative Agent and its Subject Related Parties of the Administrative Agent’s obligations pursuant to the terms of the Loan Documents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or a Lender.</w:t>
      </w:r>
    </w:p>
    <w:p>
      <w:pPr>
        <w:spacing w:after="0" w:line="1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report provided to it by an Issuing Lender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satisfaction of any condition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or elsewhere herein, other than to confirm receipt of items expressly required to be delivered to the Administrative Agent, or (vi) the utilization of any Issuing Lender’s L/C Commitment (it being understood and agreed that each Issuing Lender shall monitor compliance with its own L/C Commitment without any further action by the Administrative Agent).</w:t>
      </w:r>
    </w:p>
    <w:p>
      <w:pPr>
        <w:spacing w:after="0" w:line="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10.05 </w:t>
      </w:r>
      <w:r>
        <w:rPr>
          <w:rFonts w:ascii="Arial" w:cs="Arial" w:eastAsia="Arial" w:hAnsi="Arial"/>
          <w:sz w:val="21"/>
          <w:szCs w:val="21"/>
          <w:i w:val="1"/>
          <w:iCs w:val="1"/>
          <w:color w:val="auto"/>
        </w:rPr>
        <w:t>Delegation of Duties</w:t>
      </w:r>
      <w:r>
        <w:rPr>
          <w:rFonts w:ascii="Arial" w:cs="Arial" w:eastAsia="Arial" w:hAnsi="Arial"/>
          <w:sz w:val="21"/>
          <w:szCs w:val="21"/>
          <w:color w:val="auto"/>
        </w:rPr>
        <w:t>. The Administrative Agent may perform any and all of its duties and exercise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(or breached its material obligations under the Loan Documents) in the selection of such sub-agents.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304" w:name="page305"/>
    <w:bookmarkEnd w:id="304"/>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10.06</w:t>
      </w:r>
      <w:r>
        <w:rPr>
          <w:sz w:val="20"/>
          <w:szCs w:val="20"/>
          <w:color w:val="auto"/>
        </w:rPr>
        <w:tab/>
      </w:r>
      <w:r>
        <w:rPr>
          <w:rFonts w:ascii="Arial" w:cs="Arial" w:eastAsia="Arial" w:hAnsi="Arial"/>
          <w:sz w:val="19"/>
          <w:szCs w:val="19"/>
          <w:i w:val="1"/>
          <w:iCs w:val="1"/>
          <w:color w:val="auto"/>
        </w:rPr>
        <w:t>Resignation of Administrative Agent</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7" w:lineRule="auto"/>
        <w:tabs>
          <w:tab w:leader="none" w:pos="112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the Issuing Lenders and the Borrower. Upon receipt of any such notice of resignation, the Required Lenders shall have the right, subject to, so long as no Default has occurred and is continuing, the consent of the Borrower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(such date, or the date, if earlier, upon which a successor is appointed, the “</w:t>
      </w:r>
      <w:r>
        <w:rPr>
          <w:rFonts w:ascii="Arial" w:cs="Arial" w:eastAsia="Arial" w:hAnsi="Arial"/>
          <w:sz w:val="19"/>
          <w:szCs w:val="19"/>
          <w:b w:val="1"/>
          <w:bCs w:val="1"/>
          <w:color w:val="auto"/>
        </w:rPr>
        <w:t>Resignation</w:t>
      </w:r>
      <w:r>
        <w:rPr>
          <w:rFonts w:ascii="Arial" w:cs="Arial" w:eastAsia="Arial" w:hAnsi="Arial"/>
          <w:sz w:val="19"/>
          <w:szCs w:val="19"/>
          <w:color w:val="auto"/>
        </w:rPr>
        <w:t xml:space="preserve"> </w:t>
      </w:r>
      <w:r>
        <w:rPr>
          <w:rFonts w:ascii="Arial" w:cs="Arial" w:eastAsia="Arial" w:hAnsi="Arial"/>
          <w:sz w:val="19"/>
          <w:szCs w:val="19"/>
          <w:b w:val="1"/>
          <w:bCs w:val="1"/>
          <w:color w:val="auto"/>
        </w:rPr>
        <w:t>Effective Date</w:t>
      </w:r>
      <w:r>
        <w:rPr>
          <w:rFonts w:ascii="Arial" w:cs="Arial" w:eastAsia="Arial" w:hAnsi="Arial"/>
          <w:sz w:val="19"/>
          <w:szCs w:val="19"/>
          <w:color w:val="auto"/>
        </w:rPr>
        <w:t>”), then the retiring Administrative Agent may (but shall not be obligated to) on behalf of the Lenders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Issuing Lenders, appoint a successor Administrative Agent meeting the qualifications set forth above, subject to, so long as no Default has occurred and is continuing, the consent of the Borrower (such consent not to be unreasonably withheld or delayed). Whether or not a successor has been appointed, such resignation shall become effective in accordance with such notice on the Resignation Effective Date.</w:t>
      </w:r>
    </w:p>
    <w:p>
      <w:pPr>
        <w:spacing w:after="0" w:line="365" w:lineRule="exact"/>
        <w:rPr>
          <w:rFonts w:ascii="Arial" w:cs="Arial" w:eastAsia="Arial" w:hAnsi="Arial"/>
          <w:sz w:val="19"/>
          <w:szCs w:val="19"/>
          <w:color w:val="auto"/>
        </w:rPr>
      </w:pPr>
    </w:p>
    <w:p>
      <w:pPr>
        <w:jc w:val="both"/>
        <w:ind w:firstLine="656"/>
        <w:spacing w:after="0" w:line="260" w:lineRule="auto"/>
        <w:tabs>
          <w:tab w:leader="none" w:pos="1129"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If the Person serving as Administrative Agent is a Defaulting Lender pursuant to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of the definition thereof, the Required Lenders may, to the extent permitted by applicable law, by notice in writing to the Borrower and such Person remove such Person as Administrative Agent and, subject to, so long as no Default has occurred and is continuing, the consent of the Borrower (such consent not to be unreasonably withheld or delayed), appoint a successor. If no such successor shall have been so appointed by the Required Lenders and shall have accepted such appointment within thirty days (or such earlier day as shall be agreed by the Required Lenders) (the “</w:t>
      </w:r>
      <w:r>
        <w:rPr>
          <w:rFonts w:ascii="Arial" w:cs="Arial" w:eastAsia="Arial" w:hAnsi="Arial"/>
          <w:sz w:val="21"/>
          <w:szCs w:val="21"/>
          <w:b w:val="1"/>
          <w:bCs w:val="1"/>
          <w:color w:val="auto"/>
        </w:rPr>
        <w:t>Removal Effective Date</w:t>
      </w:r>
      <w:r>
        <w:rPr>
          <w:rFonts w:ascii="Arial" w:cs="Arial" w:eastAsia="Arial" w:hAnsi="Arial"/>
          <w:sz w:val="21"/>
          <w:szCs w:val="21"/>
          <w:color w:val="auto"/>
        </w:rPr>
        <w:t>”), then such removal shall nonetheless become effective in accordance with such notice on the Removal Effective Date.</w:t>
      </w:r>
    </w:p>
    <w:p>
      <w:pPr>
        <w:spacing w:after="0" w:line="126" w:lineRule="exact"/>
        <w:rPr>
          <w:rFonts w:ascii="Arial" w:cs="Arial" w:eastAsia="Arial" w:hAnsi="Arial"/>
          <w:sz w:val="21"/>
          <w:szCs w:val="21"/>
          <w:color w:val="auto"/>
        </w:rPr>
      </w:pPr>
    </w:p>
    <w:p>
      <w:pPr>
        <w:jc w:val="both"/>
        <w:ind w:firstLine="656"/>
        <w:spacing w:after="0" w:line="287" w:lineRule="auto"/>
        <w:tabs>
          <w:tab w:leader="none" w:pos="119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or the Removal Effective Date (as applicable) (i) the retiring or removed Administrative Agent shall be discharged from its duties and obligations hereunder and under the other Loan Documents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(other than as provided in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2" w:right="339" w:bottom="1440" w:gutter="0" w:footer="0" w:header="0"/>
        </w:sectPr>
      </w:pPr>
    </w:p>
    <w:bookmarkStart w:id="305" w:name="page306"/>
    <w:bookmarkEnd w:id="305"/>
    <w:p>
      <w:pPr>
        <w:jc w:val="both"/>
        <w:spacing w:after="0" w:line="259" w:lineRule="auto"/>
        <w:rPr>
          <w:sz w:val="20"/>
          <w:szCs w:val="20"/>
          <w:color w:val="auto"/>
        </w:rPr>
      </w:pPr>
      <w:r>
        <w:rPr>
          <w:rFonts w:ascii="Arial" w:cs="Arial" w:eastAsia="Arial" w:hAnsi="Arial"/>
          <w:sz w:val="21"/>
          <w:szCs w:val="21"/>
          <w:color w:val="auto"/>
        </w:rPr>
        <w:t xml:space="preserve">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9.06</w:t>
      </w:r>
      <w:r>
        <w:rPr>
          <w:rFonts w:ascii="Arial" w:cs="Arial" w:eastAsia="Arial" w:hAnsi="Arial"/>
          <w:sz w:val="21"/>
          <w:szCs w:val="21"/>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agency capacity hereunder or under the other Loan Documents, including in respect of any actions taken in connection with transferring the agency to any successor Administrative Agent.</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10.07 </w:t>
      </w:r>
      <w:r>
        <w:rPr>
          <w:rFonts w:ascii="Arial" w:cs="Arial" w:eastAsia="Arial" w:hAnsi="Arial"/>
          <w:sz w:val="19"/>
          <w:szCs w:val="19"/>
          <w:i w:val="1"/>
          <w:iCs w:val="1"/>
          <w:color w:val="auto"/>
        </w:rPr>
        <w:t>Non-Reliance on Administrative Agent and Other Lenders</w:t>
      </w:r>
      <w:r>
        <w:rPr>
          <w:rFonts w:ascii="Arial" w:cs="Arial" w:eastAsia="Arial" w:hAnsi="Arial"/>
          <w:sz w:val="19"/>
          <w:szCs w:val="19"/>
          <w:color w:val="auto"/>
        </w:rPr>
        <w:t>. Each of the Lenders and each Issuing Lender</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it has, independently and without reliance upon the Administrative Agent, any Arranger or any other Lender or Issuing Lender or any of their Related Parties and based on such documents and information as it has deemed appropriate, made its own credit analysis and decision to enter into this Agreement. Each of the Lenders and each Issuing Lender also acknowledges that it will, independently and without reliance upon the Administrative Agent, any Arranger or any other Lender or Issuing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9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b w:val="1"/>
          <w:bCs w:val="1"/>
          <w:color w:val="auto"/>
        </w:rPr>
        <w:t>Section 10.08</w:t>
      </w:r>
      <w:r>
        <w:rPr>
          <w:sz w:val="20"/>
          <w:szCs w:val="20"/>
          <w:color w:val="auto"/>
        </w:rPr>
        <w:tab/>
      </w:r>
      <w:r>
        <w:rPr>
          <w:rFonts w:ascii="Arial" w:cs="Arial" w:eastAsia="Arial" w:hAnsi="Arial"/>
          <w:sz w:val="19"/>
          <w:szCs w:val="19"/>
          <w:i w:val="1"/>
          <w:iCs w:val="1"/>
          <w:color w:val="auto"/>
        </w:rPr>
        <w:t>No Other Duties, Etc</w:t>
      </w:r>
      <w:r>
        <w:rPr>
          <w:rFonts w:ascii="Arial" w:cs="Arial" w:eastAsia="Arial" w:hAnsi="Arial"/>
          <w:sz w:val="19"/>
          <w:szCs w:val="19"/>
          <w:color w:val="auto"/>
        </w:rPr>
        <w:t>. Anything herein to the contrary notwithstanding, none of the Arrangers or other</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Agents listed on the cover page hereof shall have any powers, duties or responsibilities under this Agreement or any of the other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Loan Documents, except in its capacity, as applicable, as the Administrative Agent, a Lender or an Issuing Lender hereunder.</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10.09 </w:t>
      </w:r>
      <w:r>
        <w:rPr>
          <w:rFonts w:ascii="Arial" w:cs="Arial" w:eastAsia="Arial" w:hAnsi="Arial"/>
          <w:sz w:val="21"/>
          <w:szCs w:val="21"/>
          <w:i w:val="1"/>
          <w:iCs w:val="1"/>
          <w:color w:val="auto"/>
        </w:rPr>
        <w:t>Administrative Agent May File Proofs of Claim</w:t>
      </w:r>
      <w:r>
        <w:rPr>
          <w:rFonts w:ascii="Arial" w:cs="Arial" w:eastAsia="Arial" w:hAnsi="Arial"/>
          <w:sz w:val="21"/>
          <w:szCs w:val="21"/>
          <w:color w:val="auto"/>
        </w:rPr>
        <w:t>. In case of the pendency of any proceeding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Debtor Relief Law or any other judicial proceeding relative to the Borrower,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22" w:lineRule="exact"/>
        <w:rPr>
          <w:sz w:val="20"/>
          <w:szCs w:val="20"/>
          <w:color w:val="auto"/>
        </w:rPr>
      </w:pPr>
    </w:p>
    <w:p>
      <w:pPr>
        <w:jc w:val="both"/>
        <w:ind w:firstLine="656"/>
        <w:spacing w:after="0" w:line="297" w:lineRule="auto"/>
        <w:tabs>
          <w:tab w:leader="none" w:pos="1104"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8" w:right="339" w:bottom="1440" w:gutter="0" w:footer="0" w:header="0"/>
        </w:sectPr>
      </w:pPr>
    </w:p>
    <w:bookmarkStart w:id="306" w:name="page307"/>
    <w:bookmarkEnd w:id="306"/>
    <w:p>
      <w:pPr>
        <w:spacing w:after="0"/>
        <w:rPr>
          <w:sz w:val="20"/>
          <w:szCs w:val="20"/>
          <w:color w:val="auto"/>
        </w:rPr>
      </w:pPr>
      <w:r>
        <w:rPr>
          <w:rFonts w:ascii="Arial" w:cs="Arial" w:eastAsia="Arial" w:hAnsi="Arial"/>
          <w:sz w:val="22"/>
          <w:szCs w:val="22"/>
          <w:color w:val="auto"/>
        </w:rPr>
        <w:t xml:space="preserve">and the Administrative Agent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9.06</w:t>
      </w:r>
      <w:r>
        <w:rPr>
          <w:rFonts w:ascii="Arial" w:cs="Arial" w:eastAsia="Arial" w:hAnsi="Arial"/>
          <w:sz w:val="22"/>
          <w:szCs w:val="22"/>
          <w:color w:val="auto"/>
        </w:rPr>
        <w:t>) allowed in such judicial proceeding; and</w:t>
      </w:r>
    </w:p>
    <w:p>
      <w:pPr>
        <w:spacing w:after="0" w:line="166" w:lineRule="exact"/>
        <w:rPr>
          <w:sz w:val="20"/>
          <w:szCs w:val="20"/>
          <w:color w:val="auto"/>
        </w:rPr>
      </w:pPr>
    </w:p>
    <w:p>
      <w:pPr>
        <w:ind w:left="1160" w:hanging="504"/>
        <w:spacing w:after="0"/>
        <w:tabs>
          <w:tab w:leader="none" w:pos="116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distribute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same;</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2.09</w:t>
      </w:r>
      <w:r>
        <w:rPr>
          <w:rFonts w:ascii="Arial" w:cs="Arial" w:eastAsia="Arial" w:hAnsi="Arial"/>
          <w:sz w:val="22"/>
          <w:szCs w:val="22"/>
          <w:color w:val="auto"/>
        </w:rPr>
        <w:t xml:space="preserve">,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9.06</w:t>
      </w:r>
      <w:r>
        <w:rPr>
          <w:rFonts w:ascii="Arial" w:cs="Arial" w:eastAsia="Arial" w:hAnsi="Arial"/>
          <w:sz w:val="22"/>
          <w:szCs w:val="22"/>
          <w:color w:val="auto"/>
        </w:rPr>
        <w:t>.</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to authorize the Administrative Agent to vote in respect of the claim of any Lender or Issuing Lender in any such proceeding.</w:t>
      </w:r>
    </w:p>
    <w:p>
      <w:pPr>
        <w:spacing w:after="0" w:line="12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Section 10.10 </w:t>
      </w:r>
      <w:r>
        <w:rPr>
          <w:rFonts w:ascii="Arial" w:cs="Arial" w:eastAsia="Arial" w:hAnsi="Arial"/>
          <w:sz w:val="19"/>
          <w:szCs w:val="19"/>
          <w:i w:val="1"/>
          <w:iCs w:val="1"/>
          <w:color w:val="auto"/>
        </w:rPr>
        <w:t>ERISA</w:t>
      </w:r>
      <w:r>
        <w:rPr>
          <w:rFonts w:ascii="Arial" w:cs="Arial" w:eastAsia="Arial" w:hAnsi="Arial"/>
          <w:sz w:val="19"/>
          <w:szCs w:val="19"/>
          <w:color w:val="auto"/>
        </w:rPr>
        <w:t>. (a) Each Lender (x) represents and warrants, as of the date such Person became a Lender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 that at least one of the following is and will be true:</w:t>
      </w:r>
    </w:p>
    <w:p>
      <w:pPr>
        <w:spacing w:after="0" w:line="87" w:lineRule="exact"/>
        <w:rPr>
          <w:sz w:val="20"/>
          <w:szCs w:val="20"/>
          <w:color w:val="auto"/>
        </w:rPr>
      </w:pPr>
    </w:p>
    <w:p>
      <w:pPr>
        <w:ind w:left="660" w:firstLine="644"/>
        <w:spacing w:after="0" w:line="343" w:lineRule="auto"/>
        <w:tabs>
          <w:tab w:leader="none" w:pos="175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Loans, the Letters of Credit or the Commitments,</w:t>
      </w:r>
    </w:p>
    <w:p>
      <w:pPr>
        <w:spacing w:after="0" w:line="50" w:lineRule="exact"/>
        <w:rPr>
          <w:rFonts w:ascii="Arial" w:cs="Arial" w:eastAsia="Arial" w:hAnsi="Arial"/>
          <w:sz w:val="19"/>
          <w:szCs w:val="19"/>
          <w:color w:val="auto"/>
        </w:rPr>
      </w:pPr>
    </w:p>
    <w:p>
      <w:pPr>
        <w:jc w:val="both"/>
        <w:ind w:left="660" w:firstLine="644"/>
        <w:spacing w:after="0" w:line="292" w:lineRule="auto"/>
        <w:tabs>
          <w:tab w:leader="none" w:pos="183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96" w:lineRule="exact"/>
        <w:rPr>
          <w:rFonts w:ascii="Arial" w:cs="Arial" w:eastAsia="Arial" w:hAnsi="Arial"/>
          <w:sz w:val="19"/>
          <w:szCs w:val="19"/>
          <w:color w:val="auto"/>
        </w:rPr>
      </w:pPr>
    </w:p>
    <w:p>
      <w:pPr>
        <w:jc w:val="both"/>
        <w:ind w:left="660" w:firstLine="644"/>
        <w:spacing w:after="0" w:line="271" w:lineRule="auto"/>
        <w:tabs>
          <w:tab w:leader="none" w:pos="1908" w:val="left"/>
        </w:tabs>
        <w:numPr>
          <w:ilvl w:val="0"/>
          <w:numId w:val="249"/>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8" w:right="339" w:bottom="1440" w:gutter="0" w:footer="0" w:header="0"/>
        </w:sectPr>
      </w:pPr>
    </w:p>
    <w:bookmarkStart w:id="307" w:name="page308"/>
    <w:bookmarkEnd w:id="307"/>
    <w:p>
      <w:pPr>
        <w:jc w:val="both"/>
        <w:ind w:left="660"/>
        <w:spacing w:after="0" w:line="297" w:lineRule="auto"/>
        <w:rPr>
          <w:sz w:val="20"/>
          <w:szCs w:val="20"/>
          <w:color w:val="auto"/>
        </w:rPr>
      </w:pPr>
      <w:r>
        <w:rPr>
          <w:rFonts w:ascii="Arial" w:cs="Arial" w:eastAsia="Arial" w:hAnsi="Arial"/>
          <w:sz w:val="19"/>
          <w:szCs w:val="19"/>
          <w:color w:val="auto"/>
        </w:rPr>
        <w:t>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93" w:lineRule="exact"/>
        <w:rPr>
          <w:sz w:val="20"/>
          <w:szCs w:val="20"/>
          <w:color w:val="auto"/>
        </w:rPr>
      </w:pPr>
    </w:p>
    <w:p>
      <w:pPr>
        <w:ind w:left="660" w:firstLine="644"/>
        <w:spacing w:after="0" w:line="263" w:lineRule="auto"/>
        <w:tabs>
          <w:tab w:leader="none" w:pos="1896" w:val="left"/>
        </w:tabs>
        <w:numPr>
          <w:ilvl w:val="1"/>
          <w:numId w:val="250"/>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20" w:lineRule="exact"/>
        <w:rPr>
          <w:rFonts w:ascii="Arial" w:cs="Arial" w:eastAsia="Arial" w:hAnsi="Arial"/>
          <w:sz w:val="22"/>
          <w:szCs w:val="22"/>
          <w:color w:val="auto"/>
        </w:rPr>
      </w:pPr>
    </w:p>
    <w:p>
      <w:pPr>
        <w:jc w:val="both"/>
        <w:ind w:firstLine="656"/>
        <w:spacing w:after="0" w:line="291" w:lineRule="auto"/>
        <w:tabs>
          <w:tab w:leader="none" w:pos="112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a Lender has provided another representation, warranty and covenant as provided in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jc w:val="both"/>
        <w:spacing w:after="0" w:line="243" w:lineRule="auto"/>
        <w:rPr>
          <w:rFonts w:ascii="Arial" w:cs="Arial" w:eastAsia="Arial" w:hAnsi="Arial"/>
          <w:sz w:val="19"/>
          <w:szCs w:val="19"/>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that none of the Administrative Agent,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4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10.11</w:t>
      </w:r>
      <w:r>
        <w:rPr>
          <w:sz w:val="20"/>
          <w:szCs w:val="20"/>
          <w:color w:val="auto"/>
        </w:rPr>
        <w:tab/>
      </w:r>
      <w:r>
        <w:rPr>
          <w:rFonts w:ascii="Arial" w:cs="Arial" w:eastAsia="Arial" w:hAnsi="Arial"/>
          <w:sz w:val="19"/>
          <w:szCs w:val="19"/>
          <w:i w:val="1"/>
          <w:iCs w:val="1"/>
          <w:color w:val="auto"/>
        </w:rPr>
        <w:t>Erroneous Payments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87" w:lineRule="auto"/>
        <w:tabs>
          <w:tab w:leader="none" w:pos="114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If the Administrative Agent notifies a Lender, Issuing Lender or any Person who has received funds on behalf of a Lender or Issuing Lender (any such Lender, Issuing Lender or other recipient, but for the avoidance of doubt excluding the Borrower and its Subsidiaries, a “</w:t>
      </w:r>
      <w:r>
        <w:rPr>
          <w:rFonts w:ascii="Arial" w:cs="Arial" w:eastAsia="Arial" w:hAnsi="Arial"/>
          <w:sz w:val="19"/>
          <w:szCs w:val="19"/>
          <w:b w:val="1"/>
          <w:bCs w:val="1"/>
          <w:i w:val="1"/>
          <w:iCs w:val="1"/>
          <w:color w:val="auto"/>
        </w:rPr>
        <w:t>Payment Recipient</w:t>
      </w:r>
      <w:r>
        <w:rPr>
          <w:rFonts w:ascii="Arial" w:cs="Arial" w:eastAsia="Arial" w:hAnsi="Arial"/>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b w:val="1"/>
          <w:bCs w:val="1"/>
          <w:i w:val="1"/>
          <w:iCs w:val="1"/>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Lender shall (or, with respect to any Payment Recipient who received such funds on its behalf, shall cause such Payment Recipient to) promptly, but in no event later than two Business Days thereafter, return to the Administrative Agent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28" w:right="339" w:bottom="1440" w:gutter="0" w:footer="0" w:header="0"/>
        </w:sectPr>
      </w:pPr>
    </w:p>
    <w:bookmarkStart w:id="308" w:name="page309"/>
    <w:bookmarkEnd w:id="308"/>
    <w:p>
      <w:pPr>
        <w:jc w:val="both"/>
        <w:spacing w:after="0" w:line="294" w:lineRule="auto"/>
        <w:rPr>
          <w:sz w:val="20"/>
          <w:szCs w:val="20"/>
          <w:color w:val="auto"/>
        </w:rPr>
      </w:pPr>
      <w:r>
        <w:rPr>
          <w:rFonts w:ascii="Arial" w:cs="Arial" w:eastAsia="Arial" w:hAnsi="Arial"/>
          <w:sz w:val="19"/>
          <w:szCs w:val="19"/>
          <w:color w:val="auto"/>
        </w:rPr>
        <w:t>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95" w:lineRule="exact"/>
        <w:rPr>
          <w:sz w:val="20"/>
          <w:szCs w:val="20"/>
          <w:color w:val="auto"/>
        </w:rPr>
      </w:pPr>
    </w:p>
    <w:p>
      <w:pPr>
        <w:jc w:val="both"/>
        <w:ind w:firstLine="656"/>
        <w:spacing w:after="0" w:line="285" w:lineRule="auto"/>
        <w:tabs>
          <w:tab w:leader="none" w:pos="114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Without limiting immediately preceding clause (a), each Lender or Issuing Lender hereby further agrees that if it or a Payment Recipient on its behalf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ind w:firstLine="8"/>
        <w:spacing w:after="0" w:line="246" w:lineRule="auto"/>
        <w:tabs>
          <w:tab w:leader="none" w:pos="301"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that such Lender, Issuing Lender or other such Payment Recipient, otherwise becomes aware was transmitted, or received, in error or by mistake (in whole or in part) in each case:</w:t>
      </w:r>
    </w:p>
    <w:p>
      <w:pPr>
        <w:spacing w:after="0" w:line="138" w:lineRule="exact"/>
        <w:rPr>
          <w:rFonts w:ascii="Arial" w:cs="Arial" w:eastAsia="Arial" w:hAnsi="Arial"/>
          <w:sz w:val="22"/>
          <w:szCs w:val="22"/>
          <w:color w:val="auto"/>
        </w:rPr>
      </w:pPr>
    </w:p>
    <w:p>
      <w:pPr>
        <w:jc w:val="both"/>
        <w:ind w:left="660" w:firstLine="644"/>
        <w:spacing w:after="0" w:line="312" w:lineRule="auto"/>
        <w:tabs>
          <w:tab w:leader="none" w:pos="1794" w:val="left"/>
        </w:tabs>
        <w:numPr>
          <w:ilvl w:val="2"/>
          <w:numId w:val="254"/>
        </w:numPr>
        <w:rPr>
          <w:rFonts w:ascii="Arial" w:cs="Arial" w:eastAsia="Arial" w:hAnsi="Arial"/>
          <w:sz w:val="19"/>
          <w:szCs w:val="19"/>
          <w:color w:val="auto"/>
        </w:rPr>
      </w:pPr>
      <w:r>
        <w:rPr>
          <w:rFonts w:ascii="Arial" w:cs="Arial" w:eastAsia="Arial" w:hAnsi="Arial"/>
          <w:sz w:val="19"/>
          <w:szCs w:val="19"/>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79" w:lineRule="exact"/>
        <w:rPr>
          <w:rFonts w:ascii="Arial" w:cs="Arial" w:eastAsia="Arial" w:hAnsi="Arial"/>
          <w:sz w:val="19"/>
          <w:szCs w:val="19"/>
          <w:color w:val="auto"/>
        </w:rPr>
      </w:pPr>
    </w:p>
    <w:p>
      <w:pPr>
        <w:jc w:val="both"/>
        <w:ind w:left="660" w:firstLine="644"/>
        <w:spacing w:after="0" w:line="265" w:lineRule="auto"/>
        <w:tabs>
          <w:tab w:leader="none" w:pos="1819" w:val="left"/>
        </w:tabs>
        <w:numPr>
          <w:ilvl w:val="2"/>
          <w:numId w:val="254"/>
        </w:numPr>
        <w:rPr>
          <w:rFonts w:ascii="Arial" w:cs="Arial" w:eastAsia="Arial" w:hAnsi="Arial"/>
          <w:sz w:val="21"/>
          <w:szCs w:val="21"/>
          <w:color w:val="auto"/>
        </w:rPr>
      </w:pPr>
      <w:r>
        <w:rPr>
          <w:rFonts w:ascii="Arial" w:cs="Arial" w:eastAsia="Arial" w:hAnsi="Arial"/>
          <w:sz w:val="21"/>
          <w:szCs w:val="21"/>
          <w:color w:val="auto"/>
        </w:rPr>
        <w:t>such Lender or Issuing Lender shall (and shall cause any other Payment Recipient that receives funds on its respective behalf to) promptly (and, in all events, within one Business Day of obtaining knowledge of such error) notify the Administrative Agent of its receipt of such payment, prepayment or repayment, the details thereof (in reasonable detail) and that it is so notifying the Administrative Agent pursuant to this Section 10.11(b).</w:t>
      </w:r>
    </w:p>
    <w:p>
      <w:pPr>
        <w:spacing w:after="0" w:line="121" w:lineRule="exact"/>
        <w:rPr>
          <w:rFonts w:ascii="Arial" w:cs="Arial" w:eastAsia="Arial" w:hAnsi="Arial"/>
          <w:sz w:val="21"/>
          <w:szCs w:val="21"/>
          <w:color w:val="auto"/>
        </w:rPr>
      </w:pPr>
    </w:p>
    <w:p>
      <w:pPr>
        <w:jc w:val="both"/>
        <w:ind w:firstLine="656"/>
        <w:spacing w:after="0" w:line="302" w:lineRule="auto"/>
        <w:tabs>
          <w:tab w:leader="none" w:pos="1199" w:val="left"/>
        </w:tabs>
        <w:numPr>
          <w:ilvl w:val="1"/>
          <w:numId w:val="254"/>
        </w:numPr>
        <w:rPr>
          <w:rFonts w:ascii="Arial" w:cs="Arial" w:eastAsia="Arial" w:hAnsi="Arial"/>
          <w:sz w:val="19"/>
          <w:szCs w:val="19"/>
          <w:color w:val="auto"/>
        </w:rPr>
      </w:pPr>
      <w:r>
        <w:rPr>
          <w:rFonts w:ascii="Arial" w:cs="Arial" w:eastAsia="Arial" w:hAnsi="Arial"/>
          <w:sz w:val="19"/>
          <w:szCs w:val="19"/>
          <w:color w:val="auto"/>
        </w:rPr>
        <w:t>Each Lender or Issuing Lender hereby authorizes the Administrative Agent to set off, net and apply any and all amounts at any time owing to such Lender or Issuing Lender under any Loan Document, or otherwise payable or distributable by the Administrative Agent to such Lender or Issuing Lender from any source, against any amount due to the Administrative Agent under immediately preceding clause (a) or under the indemnification provisions of this Agreement.</w:t>
      </w:r>
    </w:p>
    <w:p>
      <w:pPr>
        <w:spacing w:after="0" w:line="88" w:lineRule="exact"/>
        <w:rPr>
          <w:rFonts w:ascii="Arial" w:cs="Arial" w:eastAsia="Arial" w:hAnsi="Arial"/>
          <w:sz w:val="19"/>
          <w:szCs w:val="19"/>
          <w:color w:val="auto"/>
        </w:rPr>
      </w:pPr>
    </w:p>
    <w:p>
      <w:pPr>
        <w:jc w:val="both"/>
        <w:ind w:firstLine="656"/>
        <w:spacing w:after="0" w:line="248" w:lineRule="auto"/>
        <w:tabs>
          <w:tab w:leader="none" w:pos="115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In the event that an Erroneous Payment (or portion thereof) is not recovered by the Administrative Agent from any Payment Recipient for any reason, after demand therefor by the Administrative Agent in accordance with immediately preceding clause (a), from any Lender or Issuing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22"/>
          <w:szCs w:val="22"/>
          <w:b w:val="1"/>
          <w:bCs w:val="1"/>
          <w:i w:val="1"/>
          <w:iCs w:val="1"/>
          <w:color w:val="auto"/>
        </w:rPr>
        <w:t>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8" w:right="339" w:bottom="1440" w:gutter="0" w:footer="0" w:header="0"/>
        </w:sectPr>
      </w:pPr>
    </w:p>
    <w:bookmarkStart w:id="309" w:name="page310"/>
    <w:bookmarkEnd w:id="309"/>
    <w:p>
      <w:pPr>
        <w:jc w:val="both"/>
        <w:spacing w:after="0" w:line="253" w:lineRule="auto"/>
        <w:rPr>
          <w:sz w:val="20"/>
          <w:szCs w:val="20"/>
          <w:color w:val="auto"/>
        </w:rPr>
      </w:pPr>
      <w:r>
        <w:rPr>
          <w:rFonts w:ascii="Arial" w:cs="Arial" w:eastAsia="Arial" w:hAnsi="Arial"/>
          <w:sz w:val="22"/>
          <w:szCs w:val="22"/>
          <w:b w:val="1"/>
          <w:bCs w:val="1"/>
          <w:i w:val="1"/>
          <w:iCs w:val="1"/>
          <w:color w:val="auto"/>
        </w:rPr>
        <w:t>Payment Return Deficiency</w:t>
      </w:r>
      <w:r>
        <w:rPr>
          <w:rFonts w:ascii="Arial" w:cs="Arial" w:eastAsia="Arial" w:hAnsi="Arial"/>
          <w:sz w:val="22"/>
          <w:szCs w:val="22"/>
          <w:color w:val="auto"/>
        </w:rPr>
        <w:t>”), upon the Administrative Agent’s notice to such Lender or Issuing Lender at any time,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Administrative Agent shall be contractually subrogated to all the rights and interests of the applicable Lender or Issuing Lender under the Loan Documents with respect to each Erroneous Payment Return Deficiency.</w:t>
      </w:r>
    </w:p>
    <w:p>
      <w:pPr>
        <w:spacing w:after="0" w:line="131" w:lineRule="exact"/>
        <w:rPr>
          <w:sz w:val="20"/>
          <w:szCs w:val="20"/>
          <w:color w:val="auto"/>
        </w:rPr>
      </w:pPr>
    </w:p>
    <w:p>
      <w:pPr>
        <w:jc w:val="both"/>
        <w:ind w:firstLine="656"/>
        <w:spacing w:after="0" w:line="265" w:lineRule="auto"/>
        <w:tabs>
          <w:tab w:leader="none" w:pos="1141"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parties hereto agree that an Erroneous Payment shall not pay, prepay, repay, discharge or otherwise satisfy any Obligations owed by the Borrower or any of its Subsidiaries, except, in each case, solely to the extent such Erroneous Payment is comprised of funds received by the Administrative Agent from the Borrower or any of its Subsidiaries for the purpose of making any payment hereunder that became subject to such Erroneous Payment.</w:t>
      </w:r>
    </w:p>
    <w:p>
      <w:pPr>
        <w:spacing w:after="0" w:line="121" w:lineRule="exact"/>
        <w:rPr>
          <w:rFonts w:ascii="Arial" w:cs="Arial" w:eastAsia="Arial" w:hAnsi="Arial"/>
          <w:sz w:val="21"/>
          <w:szCs w:val="21"/>
          <w:color w:val="auto"/>
        </w:rPr>
      </w:pPr>
    </w:p>
    <w:p>
      <w:pPr>
        <w:jc w:val="both"/>
        <w:ind w:firstLine="656"/>
        <w:spacing w:after="0" w:line="302" w:lineRule="auto"/>
        <w:tabs>
          <w:tab w:leader="none" w:pos="1174"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88" w:lineRule="exact"/>
        <w:rPr>
          <w:rFonts w:ascii="Arial" w:cs="Arial" w:eastAsia="Arial" w:hAnsi="Arial"/>
          <w:sz w:val="19"/>
          <w:szCs w:val="19"/>
          <w:color w:val="auto"/>
        </w:rPr>
      </w:pPr>
    </w:p>
    <w:p>
      <w:pPr>
        <w:jc w:val="both"/>
        <w:ind w:firstLine="656"/>
        <w:spacing w:after="0" w:line="250" w:lineRule="auto"/>
        <w:tabs>
          <w:tab w:leader="none" w:pos="1332" w:val="left"/>
        </w:tabs>
        <w:numPr>
          <w:ilvl w:val="0"/>
          <w:numId w:val="255"/>
        </w:numPr>
        <w:rPr>
          <w:rFonts w:ascii="Arial" w:cs="Arial" w:eastAsia="Arial" w:hAnsi="Arial"/>
          <w:sz w:val="22"/>
          <w:szCs w:val="22"/>
          <w:color w:val="auto"/>
        </w:rPr>
      </w:pPr>
      <w:r>
        <w:rPr>
          <w:rFonts w:ascii="Arial" w:cs="Arial" w:eastAsia="Arial" w:hAnsi="Arial"/>
          <w:sz w:val="22"/>
          <w:szCs w:val="22"/>
          <w:color w:val="auto"/>
        </w:rPr>
        <w:t>Each party’s obligations, agreements and waivers under this Section 10.11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7"/>
          <w:szCs w:val="17"/>
          <w:color w:val="auto"/>
        </w:rPr>
        <w:t>ETOFF</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Section 11.01 </w:t>
      </w:r>
      <w:r>
        <w:rPr>
          <w:rFonts w:ascii="Arial" w:cs="Arial" w:eastAsia="Arial" w:hAnsi="Arial"/>
          <w:sz w:val="21"/>
          <w:szCs w:val="21"/>
          <w:i w:val="1"/>
          <w:iCs w:val="1"/>
          <w:color w:val="auto"/>
        </w:rPr>
        <w:t>Setoff</w:t>
      </w:r>
      <w:r>
        <w:rPr>
          <w:rFonts w:ascii="Arial" w:cs="Arial" w:eastAsia="Arial" w:hAnsi="Arial"/>
          <w:sz w:val="21"/>
          <w:szCs w:val="21"/>
          <w:color w:val="auto"/>
        </w:rPr>
        <w:t>. In addition to, and without limitation of, any rights of the Lenders or any Issuing Lender under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applicable law, if any Default occurs, any and all deposits (including all account balances, whether provisional or final and whether or not collected or available) and any other Indebtedness at any time held or owing by any Lender or any Issuing Lender or any Affiliate of any Lender or Issuing Lender to or for the credit or account of the Borrower may be offset and applied toward the payment of the Obligations of the Borrower then owing to such Lender or Issuing Lender to the extent the Obligations shall then be due;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21"/>
          <w:szCs w:val="21"/>
          <w:u w:val="single" w:color="auto"/>
          <w:color w:val="auto"/>
        </w:rPr>
        <w:t>Section 2.21</w:t>
      </w:r>
      <w:r>
        <w:rPr>
          <w:rFonts w:ascii="Arial" w:cs="Arial" w:eastAsia="Arial" w:hAnsi="Arial"/>
          <w:sz w:val="21"/>
          <w:szCs w:val="21"/>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8" w:right="339" w:bottom="1440" w:gutter="0" w:footer="0" w:header="0"/>
        </w:sectPr>
      </w:pPr>
    </w:p>
    <w:bookmarkStart w:id="310" w:name="page311"/>
    <w:bookmarkEnd w:id="310"/>
    <w:p>
      <w:pPr>
        <w:ind w:left="5360"/>
        <w:spacing w:after="0"/>
        <w:rPr>
          <w:sz w:val="20"/>
          <w:szCs w:val="20"/>
          <w:color w:val="auto"/>
        </w:rPr>
      </w:pPr>
      <w:r>
        <w:rPr>
          <w:rFonts w:ascii="Arial" w:cs="Arial" w:eastAsia="Arial" w:hAnsi="Arial"/>
          <w:sz w:val="22"/>
          <w:szCs w:val="22"/>
          <w:color w:val="auto"/>
        </w:rPr>
        <w:t>ARTICLE 12</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w:t>
      </w:r>
      <w:r>
        <w:rPr>
          <w:rFonts w:ascii="Arial" w:cs="Arial" w:eastAsia="Arial" w:hAnsi="Arial"/>
          <w:sz w:val="17"/>
          <w:szCs w:val="17"/>
          <w:color w:val="auto"/>
        </w:rPr>
        <w:t>ENEFIT OF</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A</w:t>
      </w:r>
      <w:r>
        <w:rPr>
          <w:rFonts w:ascii="Arial" w:cs="Arial" w:eastAsia="Arial" w:hAnsi="Arial"/>
          <w:sz w:val="17"/>
          <w:szCs w:val="17"/>
          <w:color w:val="auto"/>
        </w:rPr>
        <w:t>SSIGNMENTS</w:t>
      </w:r>
      <w:r>
        <w:rPr>
          <w:rFonts w:ascii="Arial" w:cs="Arial" w:eastAsia="Arial" w:hAnsi="Arial"/>
          <w:sz w:val="22"/>
          <w:szCs w:val="22"/>
          <w:color w:val="auto"/>
        </w:rPr>
        <w:t>; P</w:t>
      </w:r>
      <w:r>
        <w:rPr>
          <w:rFonts w:ascii="Arial" w:cs="Arial" w:eastAsia="Arial" w:hAnsi="Arial"/>
          <w:sz w:val="17"/>
          <w:szCs w:val="17"/>
          <w:color w:val="auto"/>
        </w:rPr>
        <w:t>ARTICIPATIONS</w:t>
      </w:r>
    </w:p>
    <w:p>
      <w:pPr>
        <w:spacing w:after="0" w:line="14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12.01</w:t>
      </w:r>
      <w:r>
        <w:rPr>
          <w:sz w:val="20"/>
          <w:szCs w:val="20"/>
          <w:color w:val="auto"/>
        </w:rPr>
        <w:tab/>
      </w:r>
      <w:r>
        <w:rPr>
          <w:rFonts w:ascii="Arial" w:cs="Arial" w:eastAsia="Arial" w:hAnsi="Arial"/>
          <w:sz w:val="18"/>
          <w:szCs w:val="18"/>
          <w:i w:val="1"/>
          <w:iCs w:val="1"/>
          <w:color w:val="auto"/>
        </w:rPr>
        <w:t>Successors and Assigns</w:t>
      </w:r>
      <w:r>
        <w:rPr>
          <w:rFonts w:ascii="Arial" w:cs="Arial" w:eastAsia="Arial" w:hAnsi="Arial"/>
          <w:sz w:val="18"/>
          <w:szCs w:val="18"/>
          <w:color w:val="auto"/>
        </w:rPr>
        <w:t>.</w:t>
      </w:r>
    </w:p>
    <w:p>
      <w:pPr>
        <w:spacing w:after="0" w:line="172" w:lineRule="exact"/>
        <w:rPr>
          <w:sz w:val="20"/>
          <w:szCs w:val="20"/>
          <w:color w:val="auto"/>
        </w:rPr>
      </w:pPr>
    </w:p>
    <w:p>
      <w:pPr>
        <w:jc w:val="both"/>
        <w:ind w:firstLine="656"/>
        <w:spacing w:after="0" w:line="259" w:lineRule="auto"/>
        <w:tabs>
          <w:tab w:leader="none" w:pos="1104" w:val="left"/>
        </w:tabs>
        <w:numPr>
          <w:ilvl w:val="0"/>
          <w:numId w:val="256"/>
        </w:numPr>
        <w:rPr>
          <w:rFonts w:ascii="Arial" w:cs="Arial" w:eastAsia="Arial" w:hAnsi="Arial"/>
          <w:sz w:val="21"/>
          <w:szCs w:val="21"/>
          <w:color w:val="auto"/>
        </w:rPr>
      </w:pPr>
      <w:r>
        <w:rPr>
          <w:rFonts w:ascii="Arial" w:cs="Arial" w:eastAsia="Arial" w:hAnsi="Arial"/>
          <w:sz w:val="21"/>
          <w:szCs w:val="21"/>
          <w:i w:val="1"/>
          <w:iCs w:val="1"/>
          <w:color w:val="auto"/>
        </w:rPr>
        <w:t>Successors and Assigns Generally</w:t>
      </w:r>
      <w:r>
        <w:rPr>
          <w:rFonts w:ascii="Arial" w:cs="Arial" w:eastAsia="Arial" w:hAnsi="Arial"/>
          <w:sz w:val="21"/>
          <w:szCs w:val="21"/>
          <w:color w:val="auto"/>
        </w:rPr>
        <w:t>. The provisions of this Agreement and the other Loan Documents shall be binding</w:t>
      </w:r>
      <w:r>
        <w:rPr>
          <w:rFonts w:ascii="Arial" w:cs="Arial" w:eastAsia="Arial" w:hAnsi="Arial"/>
          <w:sz w:val="21"/>
          <w:szCs w:val="21"/>
          <w:i w:val="1"/>
          <w:iCs w:val="1"/>
          <w:color w:val="auto"/>
        </w:rPr>
        <w:t xml:space="preserve"> </w:t>
      </w:r>
      <w:r>
        <w:rPr>
          <w:rFonts w:ascii="Arial" w:cs="Arial" w:eastAsia="Arial" w:hAnsi="Arial"/>
          <w:sz w:val="21"/>
          <w:szCs w:val="21"/>
          <w:color w:val="auto"/>
        </w:rPr>
        <w:t>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w:t>
      </w:r>
    </w:p>
    <w:p>
      <w:pPr>
        <w:spacing w:after="0" w:line="129" w:lineRule="exact"/>
        <w:rPr>
          <w:rFonts w:ascii="Arial" w:cs="Arial" w:eastAsia="Arial" w:hAnsi="Arial"/>
          <w:sz w:val="21"/>
          <w:szCs w:val="21"/>
          <w:color w:val="auto"/>
        </w:rPr>
      </w:pPr>
    </w:p>
    <w:p>
      <w:pPr>
        <w:jc w:val="both"/>
        <w:ind w:firstLine="656"/>
        <w:spacing w:after="0" w:line="250" w:lineRule="auto"/>
        <w:tabs>
          <w:tab w:leader="none" w:pos="1156" w:val="left"/>
        </w:tabs>
        <w:numPr>
          <w:ilvl w:val="0"/>
          <w:numId w:val="256"/>
        </w:numPr>
        <w:rPr>
          <w:rFonts w:ascii="Arial" w:cs="Arial" w:eastAsia="Arial" w:hAnsi="Arial"/>
          <w:sz w:val="22"/>
          <w:szCs w:val="22"/>
          <w:color w:val="auto"/>
        </w:rPr>
      </w:pPr>
      <w:r>
        <w:rPr>
          <w:rFonts w:ascii="Arial" w:cs="Arial" w:eastAsia="Arial" w:hAnsi="Arial"/>
          <w:sz w:val="22"/>
          <w:szCs w:val="22"/>
          <w:i w:val="1"/>
          <w:iCs w:val="1"/>
          <w:color w:val="auto"/>
        </w:rPr>
        <w:t>Assignments by Lenders</w:t>
      </w:r>
      <w:r>
        <w:rPr>
          <w:rFonts w:ascii="Arial" w:cs="Arial" w:eastAsia="Arial" w:hAnsi="Arial"/>
          <w:sz w:val="22"/>
          <w:szCs w:val="22"/>
          <w:color w:val="auto"/>
        </w:rPr>
        <w:t>. Any Lender may at any time assign to one or more assignees all or a portion of its rights</w:t>
      </w:r>
      <w:r>
        <w:rPr>
          <w:rFonts w:ascii="Arial" w:cs="Arial" w:eastAsia="Arial" w:hAnsi="Arial"/>
          <w:sz w:val="22"/>
          <w:szCs w:val="22"/>
          <w:i w:val="1"/>
          <w:iCs w:val="1"/>
          <w:color w:val="auto"/>
        </w:rPr>
        <w:t xml:space="preserve"> </w:t>
      </w:r>
      <w:r>
        <w:rPr>
          <w:rFonts w:ascii="Arial" w:cs="Arial" w:eastAsia="Arial" w:hAnsi="Arial"/>
          <w:sz w:val="22"/>
          <w:szCs w:val="22"/>
          <w:color w:val="auto"/>
        </w:rPr>
        <w:t>and obligations under this Agreement and the other Loan Documents (including all or a portion of its Commitment and the Loans (including for purposes of this subsection (b), participations in L/C Obligations) at the time owing to it); provided that any such assignment shall be subject to the following conditions:</w:t>
      </w:r>
    </w:p>
    <w:p>
      <w:pPr>
        <w:spacing w:after="0" w:line="133" w:lineRule="exact"/>
        <w:rPr>
          <w:rFonts w:ascii="Arial" w:cs="Arial" w:eastAsia="Arial" w:hAnsi="Arial"/>
          <w:sz w:val="22"/>
          <w:szCs w:val="22"/>
          <w:color w:val="auto"/>
        </w:rPr>
      </w:pPr>
    </w:p>
    <w:p>
      <w:pPr>
        <w:ind w:left="1720" w:hanging="416"/>
        <w:spacing w:after="0"/>
        <w:tabs>
          <w:tab w:leader="none" w:pos="1720" w:val="left"/>
        </w:tabs>
        <w:numPr>
          <w:ilvl w:val="1"/>
          <w:numId w:val="256"/>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1300" w:firstLine="652"/>
        <w:spacing w:after="0" w:line="253" w:lineRule="auto"/>
        <w:tabs>
          <w:tab w:leader="none" w:pos="2501" w:val="left"/>
        </w:tabs>
        <w:numPr>
          <w:ilvl w:val="2"/>
          <w:numId w:val="256"/>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31" w:lineRule="exact"/>
        <w:rPr>
          <w:rFonts w:ascii="Arial" w:cs="Arial" w:eastAsia="Arial" w:hAnsi="Arial"/>
          <w:sz w:val="22"/>
          <w:szCs w:val="22"/>
          <w:color w:val="auto"/>
        </w:rPr>
      </w:pPr>
    </w:p>
    <w:p>
      <w:pPr>
        <w:jc w:val="both"/>
        <w:ind w:left="1300" w:firstLine="652"/>
        <w:spacing w:after="0" w:line="287" w:lineRule="auto"/>
        <w:tabs>
          <w:tab w:leader="none" w:pos="2617" w:val="left"/>
        </w:tabs>
        <w:numPr>
          <w:ilvl w:val="2"/>
          <w:numId w:val="256"/>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$25,000,000 unless each of the Administrative Agent and, so long as no Default under Section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7.06</w:t>
      </w:r>
      <w:r>
        <w:rPr>
          <w:rFonts w:ascii="Arial" w:cs="Arial" w:eastAsia="Arial" w:hAnsi="Arial"/>
          <w:sz w:val="19"/>
          <w:szCs w:val="19"/>
          <w:color w:val="auto"/>
        </w:rPr>
        <w:t xml:space="preserve"> has occurred and is continuing, the Borrower otherwise consents (each such consent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311" w:name="page312"/>
    <w:bookmarkEnd w:id="311"/>
    <w:p>
      <w:pPr>
        <w:jc w:val="both"/>
        <w:ind w:firstLine="644"/>
        <w:spacing w:after="0" w:line="253" w:lineRule="auto"/>
        <w:tabs>
          <w:tab w:leader="none" w:pos="1128"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or the Commitment assigned.</w:t>
      </w:r>
    </w:p>
    <w:p>
      <w:pPr>
        <w:spacing w:after="0" w:line="131" w:lineRule="exact"/>
        <w:rPr>
          <w:rFonts w:ascii="Arial" w:cs="Arial" w:eastAsia="Arial" w:hAnsi="Arial"/>
          <w:sz w:val="22"/>
          <w:szCs w:val="22"/>
          <w:color w:val="auto"/>
        </w:rPr>
      </w:pPr>
    </w:p>
    <w:p>
      <w:pPr>
        <w:ind w:right="20" w:firstLine="644"/>
        <w:spacing w:after="0" w:line="263" w:lineRule="auto"/>
        <w:tabs>
          <w:tab w:leader="none" w:pos="1323"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120" w:lineRule="exact"/>
        <w:rPr>
          <w:rFonts w:ascii="Arial" w:cs="Arial" w:eastAsia="Arial" w:hAnsi="Arial"/>
          <w:sz w:val="22"/>
          <w:szCs w:val="22"/>
          <w:color w:val="auto"/>
        </w:rPr>
      </w:pPr>
    </w:p>
    <w:p>
      <w:pPr>
        <w:jc w:val="both"/>
        <w:ind w:left="640" w:firstLine="652"/>
        <w:spacing w:after="0" w:line="248" w:lineRule="auto"/>
        <w:tabs>
          <w:tab w:leader="none" w:pos="1952" w:val="left"/>
        </w:tabs>
        <w:numPr>
          <w:ilvl w:val="1"/>
          <w:numId w:val="257"/>
        </w:numPr>
        <w:rPr>
          <w:rFonts w:ascii="Arial" w:cs="Arial" w:eastAsia="Arial" w:hAnsi="Arial"/>
          <w:sz w:val="22"/>
          <w:szCs w:val="22"/>
          <w:color w:val="auto"/>
        </w:rPr>
      </w:pPr>
      <w:r>
        <w:rPr>
          <w:rFonts w:ascii="Arial" w:cs="Arial" w:eastAsia="Arial" w:hAnsi="Arial"/>
          <w:sz w:val="22"/>
          <w:szCs w:val="22"/>
          <w:color w:val="auto"/>
        </w:rPr>
        <w:t xml:space="preserve">the prior written consent of the Borrower (such consent to not to be unreasonably withheld or delayed) shall be required unless such assignment is to a Lender or an Affiliate of a Lender or a Default under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7.06</w:t>
      </w:r>
      <w:r>
        <w:rPr>
          <w:rFonts w:ascii="Arial" w:cs="Arial" w:eastAsia="Arial" w:hAnsi="Arial"/>
          <w:sz w:val="22"/>
          <w:szCs w:val="22"/>
          <w:color w:val="auto"/>
        </w:rPr>
        <w:t xml:space="preserve"> has occurred and is continuing; provided that no assignment shall result in any Lender, together with its Affiliates, holding more than 30% of the Aggregate Commitments at any time without the prior written consent of the Borrower;</w:t>
      </w:r>
    </w:p>
    <w:p>
      <w:pPr>
        <w:spacing w:after="0" w:line="137" w:lineRule="exact"/>
        <w:rPr>
          <w:rFonts w:ascii="Arial" w:cs="Arial" w:eastAsia="Arial" w:hAnsi="Arial"/>
          <w:sz w:val="22"/>
          <w:szCs w:val="22"/>
          <w:color w:val="auto"/>
        </w:rPr>
      </w:pPr>
    </w:p>
    <w:p>
      <w:pPr>
        <w:jc w:val="both"/>
        <w:ind w:left="640" w:firstLine="652"/>
        <w:spacing w:after="0" w:line="253" w:lineRule="auto"/>
        <w:tabs>
          <w:tab w:leader="none" w:pos="1819"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prior written consent of the Administrative Agent (such consent not to be unreasonably withheld or delayed) shall be required if such assignment is to a Person that is not a Lender, an Affiliate of a Lender or an Approved Fund with respect to a Lender; and</w:t>
      </w:r>
    </w:p>
    <w:p>
      <w:pPr>
        <w:spacing w:after="0" w:line="131" w:lineRule="exact"/>
        <w:rPr>
          <w:rFonts w:ascii="Arial" w:cs="Arial" w:eastAsia="Arial" w:hAnsi="Arial"/>
          <w:sz w:val="22"/>
          <w:szCs w:val="22"/>
          <w:color w:val="auto"/>
        </w:rPr>
      </w:pPr>
    </w:p>
    <w:p>
      <w:pPr>
        <w:ind w:left="640" w:firstLine="652"/>
        <w:spacing w:after="0" w:line="263" w:lineRule="auto"/>
        <w:tabs>
          <w:tab w:leader="none" w:pos="1795" w:val="left"/>
        </w:tabs>
        <w:numPr>
          <w:ilvl w:val="1"/>
          <w:numId w:val="257"/>
        </w:numPr>
        <w:rPr>
          <w:rFonts w:ascii="Arial" w:cs="Arial" w:eastAsia="Arial" w:hAnsi="Arial"/>
          <w:sz w:val="22"/>
          <w:szCs w:val="22"/>
          <w:color w:val="auto"/>
        </w:rPr>
      </w:pPr>
      <w:r>
        <w:rPr>
          <w:rFonts w:ascii="Arial" w:cs="Arial" w:eastAsia="Arial" w:hAnsi="Arial"/>
          <w:sz w:val="22"/>
          <w:szCs w:val="22"/>
          <w:color w:val="auto"/>
        </w:rPr>
        <w:t>the consent of the Issuing Lenders (such consent not to be unreasonably withheld or delayed) shall be required for any assignment.</w:t>
      </w:r>
    </w:p>
    <w:p>
      <w:pPr>
        <w:spacing w:after="0" w:line="120" w:lineRule="exact"/>
        <w:rPr>
          <w:rFonts w:ascii="Arial" w:cs="Arial" w:eastAsia="Arial" w:hAnsi="Arial"/>
          <w:sz w:val="22"/>
          <w:szCs w:val="22"/>
          <w:color w:val="auto"/>
        </w:rPr>
      </w:pPr>
    </w:p>
    <w:p>
      <w:pPr>
        <w:jc w:val="both"/>
        <w:ind w:firstLine="644"/>
        <w:spacing w:after="0" w:line="248" w:lineRule="auto"/>
        <w:tabs>
          <w:tab w:leader="none" w:pos="1176"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The parties to each assignment shall execute and deliver to the Administrative Agent an Assignment and Assumption, together with a processing and recordation fee in the amount of $3,500; provided, however,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37" w:lineRule="exact"/>
        <w:rPr>
          <w:rFonts w:ascii="Arial" w:cs="Arial" w:eastAsia="Arial" w:hAnsi="Arial"/>
          <w:sz w:val="22"/>
          <w:szCs w:val="22"/>
          <w:color w:val="auto"/>
        </w:rPr>
      </w:pPr>
    </w:p>
    <w:p>
      <w:pPr>
        <w:ind w:left="1160" w:hanging="516"/>
        <w:spacing w:after="0"/>
        <w:tabs>
          <w:tab w:leader="none" w:pos="1160"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No Assignment to Borrower</w:t>
      </w:r>
      <w:r>
        <w:rPr>
          <w:rFonts w:ascii="Arial" w:cs="Arial" w:eastAsia="Arial" w:hAnsi="Arial"/>
          <w:sz w:val="19"/>
          <w:szCs w:val="19"/>
          <w:color w:val="auto"/>
        </w:rPr>
        <w:t>. No such assignment shall be made to the Borrower or any of its Affiliates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Subsidiaries.</w:t>
      </w:r>
    </w:p>
    <w:p>
      <w:pPr>
        <w:spacing w:after="0" w:line="147" w:lineRule="exact"/>
        <w:rPr>
          <w:rFonts w:ascii="Arial" w:cs="Arial" w:eastAsia="Arial" w:hAnsi="Arial"/>
          <w:sz w:val="19"/>
          <w:szCs w:val="19"/>
          <w:color w:val="auto"/>
        </w:rPr>
      </w:pPr>
    </w:p>
    <w:p>
      <w:pPr>
        <w:ind w:left="1180" w:hanging="536"/>
        <w:spacing w:after="0"/>
        <w:tabs>
          <w:tab w:leader="none" w:pos="1180"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No Assignment to Natural Persons</w:t>
      </w:r>
      <w:r>
        <w:rPr>
          <w:rFonts w:ascii="Arial" w:cs="Arial" w:eastAsia="Arial" w:hAnsi="Arial"/>
          <w:sz w:val="22"/>
          <w:szCs w:val="22"/>
          <w:color w:val="auto"/>
        </w:rPr>
        <w:t>. No such assignment shall be made to a natural person.</w:t>
      </w:r>
    </w:p>
    <w:p>
      <w:pPr>
        <w:spacing w:after="0" w:line="165" w:lineRule="exact"/>
        <w:rPr>
          <w:rFonts w:ascii="Arial" w:cs="Arial" w:eastAsia="Arial" w:hAnsi="Arial"/>
          <w:sz w:val="22"/>
          <w:szCs w:val="22"/>
          <w:color w:val="auto"/>
        </w:rPr>
      </w:pPr>
    </w:p>
    <w:p>
      <w:pPr>
        <w:ind w:left="1240" w:hanging="596"/>
        <w:spacing w:after="0"/>
        <w:tabs>
          <w:tab w:leader="none" w:pos="1240" w:val="left"/>
        </w:tabs>
        <w:numPr>
          <w:ilvl w:val="0"/>
          <w:numId w:val="257"/>
        </w:numPr>
        <w:rPr>
          <w:rFonts w:ascii="Arial" w:cs="Arial" w:eastAsia="Arial" w:hAnsi="Arial"/>
          <w:sz w:val="21"/>
          <w:szCs w:val="21"/>
          <w:color w:val="auto"/>
        </w:rPr>
      </w:pPr>
      <w:r>
        <w:rPr>
          <w:rFonts w:ascii="Arial" w:cs="Arial" w:eastAsia="Arial" w:hAnsi="Arial"/>
          <w:sz w:val="21"/>
          <w:szCs w:val="21"/>
          <w:u w:val="single" w:color="auto"/>
          <w:color w:val="auto"/>
        </w:rPr>
        <w:t>No Assignment to Defaulting Lenders</w:t>
      </w:r>
      <w:r>
        <w:rPr>
          <w:rFonts w:ascii="Arial" w:cs="Arial" w:eastAsia="Arial" w:hAnsi="Arial"/>
          <w:sz w:val="21"/>
          <w:szCs w:val="21"/>
          <w:color w:val="auto"/>
        </w:rPr>
        <w:t>. No such assignment shall be made to a Defaulting Lender.</w:t>
      </w:r>
    </w:p>
    <w:p>
      <w:pPr>
        <w:spacing w:after="0" w:line="177" w:lineRule="exact"/>
        <w:rPr>
          <w:rFonts w:ascii="Arial" w:cs="Arial" w:eastAsia="Arial" w:hAnsi="Arial"/>
          <w:sz w:val="21"/>
          <w:szCs w:val="21"/>
          <w:color w:val="auto"/>
        </w:rPr>
      </w:pPr>
    </w:p>
    <w:p>
      <w:pPr>
        <w:jc w:val="both"/>
        <w:ind w:firstLine="644"/>
        <w:spacing w:after="0" w:line="248" w:lineRule="auto"/>
        <w:tabs>
          <w:tab w:leader="none" w:pos="1498"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Certain Additional Payments</w:t>
      </w:r>
      <w:r>
        <w:rPr>
          <w:rFonts w:ascii="Arial" w:cs="Arial" w:eastAsia="Arial" w:hAnsi="Arial"/>
          <w:sz w:val="22"/>
          <w:szCs w:val="2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0580"/>
          </w:cols>
          <w:pgMar w:left="980" w:top="1428" w:right="339" w:bottom="1440" w:gutter="0" w:footer="0" w:header="0"/>
        </w:sectPr>
      </w:pPr>
    </w:p>
    <w:bookmarkStart w:id="312" w:name="page313"/>
    <w:bookmarkEnd w:id="312"/>
    <w:p>
      <w:pPr>
        <w:jc w:val="both"/>
        <w:ind w:left="660"/>
        <w:spacing w:after="0" w:line="289" w:lineRule="auto"/>
        <w:rPr>
          <w:sz w:val="20"/>
          <w:szCs w:val="20"/>
          <w:color w:val="auto"/>
        </w:rPr>
      </w:pPr>
      <w:r>
        <w:rPr>
          <w:rFonts w:ascii="Arial" w:cs="Arial" w:eastAsia="Arial" w:hAnsi="Arial"/>
          <w:sz w:val="19"/>
          <w:szCs w:val="19"/>
          <w:color w:val="auto"/>
        </w:rPr>
        <w:t>of participations or subparticipations, or other compensating actions, including funding, with the consent of the Borrower and the Administrative Agent, the Pro Rata Share of Revolving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Lenders or any Lender hereunder (and interest accrued thereon) and (y)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9.06</w:t>
      </w:r>
      <w:r>
        <w:rPr>
          <w:rFonts w:ascii="Arial" w:cs="Arial" w:eastAsia="Arial" w:hAnsi="Arial"/>
          <w:sz w:val="19"/>
          <w:szCs w:val="19"/>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09" w:lineRule="exact"/>
        <w:rPr>
          <w:sz w:val="20"/>
          <w:szCs w:val="20"/>
          <w:color w:val="auto"/>
        </w:rPr>
      </w:pPr>
    </w:p>
    <w:p>
      <w:pPr>
        <w:jc w:val="both"/>
        <w:ind w:firstLine="656"/>
        <w:spacing w:after="0" w:line="287" w:lineRule="auto"/>
        <w:tabs>
          <w:tab w:leader="none" w:pos="1171" w:val="left"/>
        </w:tabs>
        <w:numPr>
          <w:ilvl w:val="0"/>
          <w:numId w:val="258"/>
        </w:numPr>
        <w:rPr>
          <w:rFonts w:ascii="Arial" w:cs="Arial" w:eastAsia="Arial" w:hAnsi="Arial"/>
          <w:sz w:val="19"/>
          <w:szCs w:val="19"/>
          <w:color w:val="auto"/>
        </w:rPr>
      </w:pPr>
      <w:r>
        <w:rPr>
          <w:rFonts w:ascii="Arial" w:cs="Arial" w:eastAsia="Arial" w:hAnsi="Arial"/>
          <w:sz w:val="19"/>
          <w:szCs w:val="19"/>
          <w:i w:val="1"/>
          <w:iCs w:val="1"/>
          <w:color w:val="auto"/>
        </w:rPr>
        <w:t>Register</w:t>
      </w:r>
      <w:r>
        <w:rPr>
          <w:rFonts w:ascii="Arial" w:cs="Arial" w:eastAsia="Arial" w:hAnsi="Arial"/>
          <w:sz w:val="19"/>
          <w:szCs w:val="19"/>
          <w:color w:val="auto"/>
        </w:rPr>
        <w:t>. The Administrative Agent, acting solely for this purpose as a non-fiduciary agent of the Borrower,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 at the Administrative Agent’s Office a copy of each Assignment and Assumption delivered to it and a register for the recordation of the names and addresses of the Lenders, and the Commitments and L/C Commitments of, and principal amounts (and stated interest) of the Loans and L/C Obligations owing to, each Lender and Issuing Lender, as applicable,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may treat each Person whose name is recorded in the Register pursuant to the terms hereof as a Lender or Issuing Lender, as applicable,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at any reasonable time and from time to time upon reasonable prior notice. In addition, at any time that a request for a consent for a material or substantive change to the Loan Documents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313" w:name="page314"/>
    <w:bookmarkEnd w:id="313"/>
    <w:p>
      <w:pPr>
        <w:ind w:left="20"/>
        <w:spacing w:after="0"/>
        <w:rPr>
          <w:sz w:val="20"/>
          <w:szCs w:val="20"/>
          <w:color w:val="auto"/>
        </w:rPr>
      </w:pPr>
      <w:r>
        <w:rPr>
          <w:rFonts w:ascii="Arial" w:cs="Arial" w:eastAsia="Arial" w:hAnsi="Arial"/>
          <w:sz w:val="22"/>
          <w:szCs w:val="22"/>
          <w:color w:val="auto"/>
        </w:rPr>
        <w:t>pending, any Lender may request and receive from the Administrative Agent a copy of the Register.</w:t>
      </w:r>
    </w:p>
    <w:p>
      <w:pPr>
        <w:spacing w:after="0" w:line="166" w:lineRule="exact"/>
        <w:rPr>
          <w:sz w:val="20"/>
          <w:szCs w:val="20"/>
          <w:color w:val="auto"/>
        </w:rPr>
      </w:pPr>
    </w:p>
    <w:p>
      <w:pPr>
        <w:jc w:val="both"/>
        <w:ind w:firstLine="656"/>
        <w:spacing w:after="0" w:line="259" w:lineRule="auto"/>
        <w:tabs>
          <w:tab w:leader="none" w:pos="1224" w:val="left"/>
        </w:tabs>
        <w:numPr>
          <w:ilvl w:val="0"/>
          <w:numId w:val="259"/>
        </w:numPr>
        <w:rPr>
          <w:rFonts w:ascii="Arial" w:cs="Arial" w:eastAsia="Arial" w:hAnsi="Arial"/>
          <w:sz w:val="21"/>
          <w:szCs w:val="21"/>
          <w:color w:val="auto"/>
        </w:rPr>
      </w:pPr>
      <w:r>
        <w:rPr>
          <w:rFonts w:ascii="Arial" w:cs="Arial" w:eastAsia="Arial" w:hAnsi="Arial"/>
          <w:sz w:val="21"/>
          <w:szCs w:val="21"/>
          <w:i w:val="1"/>
          <w:iCs w:val="1"/>
          <w:color w:val="auto"/>
        </w:rPr>
        <w:t>Participations</w:t>
      </w:r>
      <w:r>
        <w:rPr>
          <w:rFonts w:ascii="Arial" w:cs="Arial" w:eastAsia="Arial" w:hAnsi="Arial"/>
          <w:sz w:val="21"/>
          <w:szCs w:val="21"/>
          <w:color w:val="auto"/>
        </w:rPr>
        <w:t>. Any Lender may at any time, without the prior written consent of the Borrower, Administrative</w:t>
      </w:r>
      <w:r>
        <w:rPr>
          <w:rFonts w:ascii="Arial" w:cs="Arial" w:eastAsia="Arial" w:hAnsi="Arial"/>
          <w:sz w:val="21"/>
          <w:szCs w:val="21"/>
          <w:i w:val="1"/>
          <w:iCs w:val="1"/>
          <w:color w:val="auto"/>
        </w:rPr>
        <w:t xml:space="preserve"> </w:t>
      </w:r>
      <w:r>
        <w:rPr>
          <w:rFonts w:ascii="Arial" w:cs="Arial" w:eastAsia="Arial" w:hAnsi="Arial"/>
          <w:sz w:val="21"/>
          <w:szCs w:val="21"/>
          <w:color w:val="auto"/>
        </w:rPr>
        <w:t>Agent or any Issuing Lender, sell participations to any Person (other than a natural person, Defaulting Lender or the Borrower or any of its Affiliates or Subsidiaries) (each, a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in all or a portion of such Lender’s rights and/or obligations under this Agreement (including all or a portion of its Commitment and/or the Loans (including such Lender’s participations in L/C Obligations));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Lenders and the Lenders shall continue to deal solely and directly with such Lender in connection with such Lender’s rights and obligations under this Agreement.</w:t>
      </w:r>
    </w:p>
    <w:p>
      <w:pPr>
        <w:spacing w:after="0" w:line="1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that affects such Participant. Subject to subsection (e) of this Section, the Borrower agrees that each Participant shall be entitled to the benefits of Section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as though it were a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as though it were a Lender.</w:t>
      </w:r>
    </w:p>
    <w:p>
      <w:pPr>
        <w:spacing w:after="0" w:line="1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21"/>
          <w:szCs w:val="21"/>
          <w:b w:val="1"/>
          <w:bCs w:val="1"/>
          <w:color w:val="auto"/>
        </w:rPr>
        <w:t>Participant Register</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8" w:lineRule="exact"/>
        <w:rPr>
          <w:sz w:val="20"/>
          <w:szCs w:val="20"/>
          <w:color w:val="auto"/>
        </w:rPr>
      </w:pPr>
    </w:p>
    <w:p>
      <w:pPr>
        <w:jc w:val="both"/>
        <w:ind w:firstLine="656"/>
        <w:spacing w:after="0" w:line="253" w:lineRule="auto"/>
        <w:tabs>
          <w:tab w:leader="none" w:pos="1104" w:val="left"/>
        </w:tabs>
        <w:numPr>
          <w:ilvl w:val="0"/>
          <w:numId w:val="260"/>
        </w:numPr>
        <w:rPr>
          <w:rFonts w:ascii="Arial" w:cs="Arial" w:eastAsia="Arial" w:hAnsi="Arial"/>
          <w:sz w:val="22"/>
          <w:szCs w:val="22"/>
          <w:color w:val="auto"/>
        </w:rPr>
      </w:pPr>
      <w:r>
        <w:rPr>
          <w:rFonts w:ascii="Arial" w:cs="Arial" w:eastAsia="Arial" w:hAnsi="Arial"/>
          <w:sz w:val="22"/>
          <w:szCs w:val="22"/>
          <w:i w:val="1"/>
          <w:iCs w:val="1"/>
          <w:color w:val="auto"/>
        </w:rPr>
        <w:t>Limitations upon Participant Rights</w:t>
      </w:r>
      <w:r>
        <w:rPr>
          <w:rFonts w:ascii="Arial" w:cs="Arial" w:eastAsia="Arial" w:hAnsi="Arial"/>
          <w:sz w:val="22"/>
          <w:szCs w:val="22"/>
          <w:color w:val="auto"/>
        </w:rPr>
        <w:t>. A Participant shall not be entitled to receive any greater payment under</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3.01</w:t>
      </w:r>
      <w:r>
        <w:rPr>
          <w:rFonts w:ascii="Arial" w:cs="Arial" w:eastAsia="Arial" w:hAnsi="Arial"/>
          <w:sz w:val="22"/>
          <w:szCs w:val="22"/>
          <w:color w:val="auto"/>
        </w:rPr>
        <w:t xml:space="preserve">, </w:t>
      </w:r>
      <w:r>
        <w:rPr>
          <w:rFonts w:ascii="Arial" w:cs="Arial" w:eastAsia="Arial" w:hAnsi="Arial"/>
          <w:sz w:val="22"/>
          <w:szCs w:val="22"/>
          <w:u w:val="single" w:color="auto"/>
          <w:color w:val="auto"/>
        </w:rPr>
        <w:t>3.03</w:t>
      </w:r>
      <w:r>
        <w:rPr>
          <w:rFonts w:ascii="Arial" w:cs="Arial" w:eastAsia="Arial" w:hAnsi="Arial"/>
          <w:sz w:val="22"/>
          <w:szCs w:val="22"/>
          <w:color w:val="auto"/>
        </w:rPr>
        <w:t xml:space="preserve">,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3.05</w:t>
      </w:r>
      <w:r>
        <w:rPr>
          <w:rFonts w:ascii="Arial" w:cs="Arial" w:eastAsia="Arial" w:hAnsi="Arial"/>
          <w:sz w:val="22"/>
          <w:szCs w:val="22"/>
          <w:color w:val="auto"/>
        </w:rPr>
        <w:t xml:space="preserve"> than the applicable Lender would have been entitled to receive with respect to the participation sold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28" w:right="339" w:bottom="1440" w:gutter="0" w:footer="0" w:header="0"/>
        </w:sectPr>
      </w:pPr>
    </w:p>
    <w:bookmarkStart w:id="314" w:name="page315"/>
    <w:bookmarkEnd w:id="314"/>
    <w:p>
      <w:pPr>
        <w:jc w:val="both"/>
        <w:spacing w:after="0" w:line="250" w:lineRule="auto"/>
        <w:rPr>
          <w:sz w:val="20"/>
          <w:szCs w:val="20"/>
          <w:color w:val="auto"/>
        </w:rPr>
      </w:pPr>
      <w:r>
        <w:rPr>
          <w:rFonts w:ascii="Arial" w:cs="Arial" w:eastAsia="Arial" w:hAnsi="Arial"/>
          <w:sz w:val="22"/>
          <w:szCs w:val="22"/>
          <w:color w:val="auto"/>
        </w:rPr>
        <w:t xml:space="preserve">Participant, unless the sale of the participation to such Participant is made with the Borrower’s prior written consent. A Participant shall not be entitled to the benefits of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unless such Participant agrees to comply with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as though it were a Lender (it being understood that the documentation required under </w:t>
      </w:r>
      <w:r>
        <w:rPr>
          <w:rFonts w:ascii="Arial" w:cs="Arial" w:eastAsia="Arial" w:hAnsi="Arial"/>
          <w:sz w:val="22"/>
          <w:szCs w:val="22"/>
          <w:u w:val="single" w:color="auto"/>
          <w:color w:val="auto"/>
        </w:rPr>
        <w:t>Section 3.05(e)</w:t>
      </w:r>
      <w:r>
        <w:rPr>
          <w:rFonts w:ascii="Arial" w:cs="Arial" w:eastAsia="Arial" w:hAnsi="Arial"/>
          <w:sz w:val="22"/>
          <w:szCs w:val="22"/>
          <w:color w:val="auto"/>
        </w:rPr>
        <w:t xml:space="preserve"> shall be delivered to the Lender who sells the participation).</w:t>
      </w:r>
    </w:p>
    <w:p>
      <w:pPr>
        <w:spacing w:after="0" w:line="134" w:lineRule="exact"/>
        <w:rPr>
          <w:sz w:val="20"/>
          <w:szCs w:val="20"/>
          <w:color w:val="auto"/>
        </w:rPr>
      </w:pPr>
    </w:p>
    <w:p>
      <w:pPr>
        <w:jc w:val="both"/>
        <w:ind w:firstLine="656"/>
        <w:spacing w:after="0" w:line="248" w:lineRule="auto"/>
        <w:tabs>
          <w:tab w:leader="none" w:pos="1120" w:val="left"/>
        </w:tabs>
        <w:numPr>
          <w:ilvl w:val="0"/>
          <w:numId w:val="261"/>
        </w:numPr>
        <w:rPr>
          <w:rFonts w:ascii="Arial" w:cs="Arial" w:eastAsia="Arial" w:hAnsi="Arial"/>
          <w:sz w:val="22"/>
          <w:szCs w:val="22"/>
          <w:color w:val="auto"/>
        </w:rPr>
      </w:pPr>
      <w:r>
        <w:rPr>
          <w:rFonts w:ascii="Arial" w:cs="Arial" w:eastAsia="Arial" w:hAnsi="Arial"/>
          <w:sz w:val="22"/>
          <w:szCs w:val="22"/>
          <w:i w:val="1"/>
          <w:iCs w:val="1"/>
          <w:color w:val="auto"/>
        </w:rPr>
        <w:t>Certain Pledges</w:t>
      </w:r>
      <w:r>
        <w:rPr>
          <w:rFonts w:ascii="Arial" w:cs="Arial" w:eastAsia="Arial" w:hAnsi="Arial"/>
          <w:sz w:val="22"/>
          <w:szCs w:val="22"/>
          <w:color w:val="auto"/>
        </w:rPr>
        <w:t>. Any Lender may at any time pledge or assign a security interest in all or any portion of its rights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under this Agreement (including under its Note, if any) to secure obligations of such Lender, including any pledge or assignment to secure obligations to a Federal Reserve Bank or other central banking authority having jurisdiction over such Lender;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3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12.02 </w:t>
      </w:r>
      <w:r>
        <w:rPr>
          <w:rFonts w:ascii="Arial" w:cs="Arial" w:eastAsia="Arial" w:hAnsi="Arial"/>
          <w:sz w:val="21"/>
          <w:szCs w:val="21"/>
          <w:i w:val="1"/>
          <w:iCs w:val="1"/>
          <w:color w:val="auto"/>
        </w:rPr>
        <w:t>Dissemination of Information</w:t>
      </w:r>
      <w:r>
        <w:rPr>
          <w:rFonts w:ascii="Arial" w:cs="Arial" w:eastAsia="Arial" w:hAnsi="Arial"/>
          <w:sz w:val="21"/>
          <w:szCs w:val="21"/>
          <w:color w:val="auto"/>
        </w:rPr>
        <w:t>. The Borrower authorizes each of the Lenders to disclose to any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any prospective Participant any and all information in such Lender’s possession concerning the creditworthiness of the Borrower and its Subsidiaries, including without limitation any information contained in any reports or other information delivered by the Borrower pursuant to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each Participant and prospective Participant agrees to be bound by </w:t>
      </w:r>
      <w:r>
        <w:rPr>
          <w:rFonts w:ascii="Arial" w:cs="Arial" w:eastAsia="Arial" w:hAnsi="Arial"/>
          <w:sz w:val="21"/>
          <w:szCs w:val="21"/>
          <w:u w:val="single" w:color="auto"/>
          <w:color w:val="auto"/>
        </w:rPr>
        <w:t>Section 9.10</w:t>
      </w:r>
      <w:r>
        <w:rPr>
          <w:rFonts w:ascii="Arial" w:cs="Arial" w:eastAsia="Arial" w:hAnsi="Arial"/>
          <w:sz w:val="21"/>
          <w:szCs w:val="21"/>
          <w:color w:val="auto"/>
        </w:rPr>
        <w:t xml:space="preserve"> of this Agreement or other provisions at least as restrictive as </w:t>
      </w:r>
      <w:r>
        <w:rPr>
          <w:rFonts w:ascii="Arial" w:cs="Arial" w:eastAsia="Arial" w:hAnsi="Arial"/>
          <w:sz w:val="21"/>
          <w:szCs w:val="21"/>
          <w:u w:val="single" w:color="auto"/>
          <w:color w:val="auto"/>
        </w:rPr>
        <w:t>Section 9.10</w:t>
      </w:r>
      <w:r>
        <w:rPr>
          <w:rFonts w:ascii="Arial" w:cs="Arial" w:eastAsia="Arial" w:hAnsi="Arial"/>
          <w:sz w:val="21"/>
          <w:szCs w:val="21"/>
          <w:color w:val="auto"/>
        </w:rPr>
        <w:t xml:space="preserve"> including making the acknowledgments set forth therein (in each case for the benefit of the Borrower).</w:t>
      </w:r>
    </w:p>
    <w:p>
      <w:pPr>
        <w:spacing w:after="0" w:line="11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Section 12.03 </w:t>
      </w:r>
      <w:r>
        <w:rPr>
          <w:rFonts w:ascii="Arial" w:cs="Arial" w:eastAsia="Arial" w:hAnsi="Arial"/>
          <w:sz w:val="19"/>
          <w:szCs w:val="19"/>
          <w:i w:val="1"/>
          <w:iCs w:val="1"/>
          <w:color w:val="auto"/>
        </w:rPr>
        <w:t>Tax Treatment</w:t>
      </w:r>
      <w:r>
        <w:rPr>
          <w:rFonts w:ascii="Arial" w:cs="Arial" w:eastAsia="Arial" w:hAnsi="Arial"/>
          <w:sz w:val="19"/>
          <w:szCs w:val="19"/>
          <w:color w:val="auto"/>
        </w:rPr>
        <w:t>. If any interest in any Loan Document is transferred to any Participant which is organized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the laws of any jurisdiction other than the United States or any State thereof, the transferor Lender shall cause such Participant, concurrently with the effectiveness of such transfer, to comply with the provisions of </w:t>
      </w:r>
      <w:r>
        <w:rPr>
          <w:rFonts w:ascii="Arial" w:cs="Arial" w:eastAsia="Arial" w:hAnsi="Arial"/>
          <w:sz w:val="19"/>
          <w:szCs w:val="19"/>
          <w:u w:val="single" w:color="auto"/>
          <w:color w:val="auto"/>
        </w:rPr>
        <w:t>Section 3.05(e)</w:t>
      </w:r>
      <w:r>
        <w:rPr>
          <w:rFonts w:ascii="Arial" w:cs="Arial" w:eastAsia="Arial" w:hAnsi="Arial"/>
          <w:sz w:val="19"/>
          <w:szCs w:val="19"/>
          <w:color w:val="auto"/>
        </w:rPr>
        <w: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OTICES</w:t>
      </w:r>
    </w:p>
    <w:p>
      <w:pPr>
        <w:spacing w:after="0" w:line="14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13.01</w:t>
      </w:r>
      <w:r>
        <w:rPr>
          <w:sz w:val="20"/>
          <w:szCs w:val="20"/>
          <w:color w:val="auto"/>
        </w:rPr>
        <w:tab/>
      </w:r>
      <w:r>
        <w:rPr>
          <w:rFonts w:ascii="Arial" w:cs="Arial" w:eastAsia="Arial" w:hAnsi="Arial"/>
          <w:sz w:val="19"/>
          <w:szCs w:val="19"/>
          <w:i w:val="1"/>
          <w:iCs w:val="1"/>
          <w:color w:val="auto"/>
        </w:rPr>
        <w:t>Notices; Effectiveness; Electronic Communication</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48" w:lineRule="auto"/>
        <w:tabs>
          <w:tab w:leader="none" w:pos="1225" w:val="left"/>
        </w:tabs>
        <w:numPr>
          <w:ilvl w:val="0"/>
          <w:numId w:val="262"/>
        </w:numPr>
        <w:rPr>
          <w:rFonts w:ascii="Arial" w:cs="Arial" w:eastAsia="Arial" w:hAnsi="Arial"/>
          <w:sz w:val="22"/>
          <w:szCs w:val="22"/>
          <w:color w:val="auto"/>
        </w:rPr>
      </w:pPr>
      <w:r>
        <w:rPr>
          <w:rFonts w:ascii="Arial" w:cs="Arial" w:eastAsia="Arial" w:hAnsi="Arial"/>
          <w:sz w:val="22"/>
          <w:szCs w:val="22"/>
          <w:i w:val="1"/>
          <w:iCs w:val="1"/>
          <w:color w:val="auto"/>
        </w:rPr>
        <w:t>Notices Generally</w:t>
      </w:r>
      <w:r>
        <w:rPr>
          <w:rFonts w:ascii="Arial" w:cs="Arial" w:eastAsia="Arial" w:hAnsi="Arial"/>
          <w:sz w:val="22"/>
          <w:szCs w:val="22"/>
          <w:color w:val="auto"/>
        </w:rPr>
        <w:t>. Except in the case of notices and other communications expressly permitted to be given by</w:t>
      </w:r>
      <w:r>
        <w:rPr>
          <w:rFonts w:ascii="Arial" w:cs="Arial" w:eastAsia="Arial" w:hAnsi="Arial"/>
          <w:sz w:val="22"/>
          <w:szCs w:val="22"/>
          <w:i w:val="1"/>
          <w:iCs w:val="1"/>
          <w:color w:val="auto"/>
        </w:rPr>
        <w:t xml:space="preserve"> </w:t>
      </w:r>
      <w:r>
        <w:rPr>
          <w:rFonts w:ascii="Arial" w:cs="Arial" w:eastAsia="Arial" w:hAnsi="Arial"/>
          <w:sz w:val="22"/>
          <w:szCs w:val="22"/>
          <w:color w:val="auto"/>
        </w:rPr>
        <w:t>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37" w:lineRule="exact"/>
        <w:rPr>
          <w:rFonts w:ascii="Arial" w:cs="Arial" w:eastAsia="Arial" w:hAnsi="Arial"/>
          <w:sz w:val="22"/>
          <w:szCs w:val="22"/>
          <w:color w:val="auto"/>
        </w:rPr>
      </w:pPr>
    </w:p>
    <w:p>
      <w:pPr>
        <w:ind w:left="660" w:right="20" w:firstLine="644"/>
        <w:spacing w:after="0" w:line="263" w:lineRule="auto"/>
        <w:tabs>
          <w:tab w:leader="none" w:pos="1763" w:val="left"/>
        </w:tabs>
        <w:numPr>
          <w:ilvl w:val="1"/>
          <w:numId w:val="262"/>
        </w:numPr>
        <w:rPr>
          <w:rFonts w:ascii="Arial" w:cs="Arial" w:eastAsia="Arial" w:hAnsi="Arial"/>
          <w:sz w:val="22"/>
          <w:szCs w:val="22"/>
          <w:color w:val="auto"/>
        </w:rPr>
      </w:pPr>
      <w:r>
        <w:rPr>
          <w:rFonts w:ascii="Arial" w:cs="Arial" w:eastAsia="Arial" w:hAnsi="Arial"/>
          <w:sz w:val="22"/>
          <w:szCs w:val="22"/>
          <w:color w:val="auto"/>
        </w:rPr>
        <w:t>if to the Borrower or the Administrative Agent, to the address, telecopier number, electronic mail address or telephone number set forth on Schedule 13.01;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315" w:name="page316"/>
    <w:bookmarkEnd w:id="315"/>
    <w:p>
      <w:pPr>
        <w:ind w:left="660" w:firstLine="644"/>
        <w:spacing w:after="0" w:line="263" w:lineRule="auto"/>
        <w:tabs>
          <w:tab w:leader="none" w:pos="1928"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if to any other Lender or Issuing Lender, to the address, telecopier number, electronic mail address or telephone number specified in its administrative questionnaire.</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paragraph (b) below, shall be effective as provided in said paragraph (b).</w:t>
      </w:r>
    </w:p>
    <w:p>
      <w:pPr>
        <w:spacing w:after="0" w:line="93" w:lineRule="exact"/>
        <w:rPr>
          <w:sz w:val="20"/>
          <w:szCs w:val="20"/>
          <w:color w:val="auto"/>
        </w:rPr>
      </w:pPr>
    </w:p>
    <w:p>
      <w:pPr>
        <w:jc w:val="both"/>
        <w:ind w:firstLine="656"/>
        <w:spacing w:after="0" w:line="290" w:lineRule="auto"/>
        <w:tabs>
          <w:tab w:leader="none" w:pos="1143" w:val="left"/>
        </w:tabs>
        <w:numPr>
          <w:ilvl w:val="0"/>
          <w:numId w:val="264"/>
        </w:numPr>
        <w:rPr>
          <w:rFonts w:ascii="Arial" w:cs="Arial" w:eastAsia="Arial" w:hAnsi="Arial"/>
          <w:sz w:val="19"/>
          <w:szCs w:val="19"/>
          <w:color w:val="auto"/>
        </w:rPr>
      </w:pPr>
      <w:r>
        <w:rPr>
          <w:rFonts w:ascii="Arial" w:cs="Arial" w:eastAsia="Arial" w:hAnsi="Arial"/>
          <w:sz w:val="19"/>
          <w:szCs w:val="19"/>
          <w:i w:val="1"/>
          <w:iCs w:val="1"/>
          <w:color w:val="auto"/>
        </w:rPr>
        <w:t>Electronic Communications</w:t>
      </w:r>
      <w:r>
        <w:rPr>
          <w:rFonts w:ascii="Arial" w:cs="Arial" w:eastAsia="Arial" w:hAnsi="Arial"/>
          <w:sz w:val="19"/>
          <w:szCs w:val="19"/>
          <w:color w:val="auto"/>
        </w:rPr>
        <w:t>. Notices and other communications to the Lenders and Issuing Lenders hereunder may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delivered or furnished by electronic communication (including e-mail and internet or intranet websites) pursuant to procedures approved by the Administrative Agent or as otherwise determined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or Issuing Lender pursuant to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if such Lender or Issuing Lender has notified the Administrative Agent that it is incapable of receiving notices under such Article by electronic communication. The Administrative Agent, the Borrower or any Issuing Lender may, in its respective discretion, agree to accept notices and other communications to it hereunder by electronic communications pursuant to procedures approved by it or as it otherwise determines,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determination or approval may be limited to particular notices or communications.</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notification that such notice or communication is available and identifying the website address therefor.</w:t>
      </w:r>
    </w:p>
    <w:p>
      <w:pPr>
        <w:spacing w:after="0" w:line="129" w:lineRule="exact"/>
        <w:rPr>
          <w:sz w:val="20"/>
          <w:szCs w:val="20"/>
          <w:color w:val="auto"/>
        </w:rPr>
      </w:pPr>
    </w:p>
    <w:p>
      <w:pPr>
        <w:ind w:left="1160" w:hanging="504"/>
        <w:spacing w:after="0"/>
        <w:tabs>
          <w:tab w:leader="none" w:pos="1160" w:val="left"/>
        </w:tabs>
        <w:numPr>
          <w:ilvl w:val="0"/>
          <w:numId w:val="265"/>
        </w:numPr>
        <w:rPr>
          <w:rFonts w:ascii="Arial" w:cs="Arial" w:eastAsia="Arial" w:hAnsi="Arial"/>
          <w:sz w:val="21"/>
          <w:szCs w:val="21"/>
          <w:color w:val="auto"/>
        </w:rPr>
      </w:pPr>
      <w:r>
        <w:rPr>
          <w:rFonts w:ascii="Arial" w:cs="Arial" w:eastAsia="Arial" w:hAnsi="Arial"/>
          <w:sz w:val="21"/>
          <w:szCs w:val="21"/>
          <w:i w:val="1"/>
          <w:iCs w:val="1"/>
          <w:color w:val="auto"/>
        </w:rPr>
        <w:t>The Platform</w:t>
      </w:r>
      <w:r>
        <w:rPr>
          <w:rFonts w:ascii="Arial" w:cs="Arial" w:eastAsia="Arial" w:hAnsi="Arial"/>
          <w:sz w:val="21"/>
          <w:szCs w:val="21"/>
          <w:color w:val="auto"/>
        </w:rPr>
        <w:t>. THE PLATFORM IS PROVIDED “AS IS” AND “AS AVAILABLE.” THE AGENT PARTIES (AS</w:t>
      </w:r>
    </w:p>
    <w:p>
      <w:pPr>
        <w:spacing w:after="0" w:line="32" w:lineRule="exact"/>
        <w:rPr>
          <w:rFonts w:ascii="Arial" w:cs="Arial" w:eastAsia="Arial" w:hAnsi="Arial"/>
          <w:sz w:val="21"/>
          <w:szCs w:val="21"/>
          <w:color w:val="auto"/>
        </w:rPr>
      </w:pPr>
    </w:p>
    <w:p>
      <w:pPr>
        <w:jc w:val="both"/>
        <w:spacing w:after="0" w:line="244" w:lineRule="auto"/>
        <w:rPr>
          <w:rFonts w:ascii="Arial" w:cs="Arial" w:eastAsia="Arial" w:hAnsi="Arial"/>
          <w:sz w:val="21"/>
          <w:szCs w:val="21"/>
          <w:color w:val="auto"/>
        </w:rPr>
      </w:pPr>
      <w:r>
        <w:rPr>
          <w:rFonts w:ascii="Arial" w:cs="Arial" w:eastAsia="Arial" w:hAnsi="Arial"/>
          <w:sz w:val="22"/>
          <w:szCs w:val="22"/>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8" w:right="339" w:bottom="1440" w:gutter="0" w:footer="0" w:header="0"/>
        </w:sectPr>
      </w:pPr>
    </w:p>
    <w:bookmarkStart w:id="316" w:name="page317"/>
    <w:bookmarkEnd w:id="316"/>
    <w:p>
      <w:pPr>
        <w:jc w:val="both"/>
        <w:spacing w:after="0" w:line="289" w:lineRule="auto"/>
        <w:rPr>
          <w:sz w:val="20"/>
          <w:szCs w:val="20"/>
          <w:color w:val="auto"/>
        </w:rPr>
      </w:pPr>
      <w:r>
        <w:rPr>
          <w:rFonts w:ascii="Arial" w:cs="Arial" w:eastAsia="Arial" w:hAnsi="Arial"/>
          <w:sz w:val="19"/>
          <w:szCs w:val="19"/>
          <w:color w:val="auto"/>
        </w:rPr>
        <w:t>IN CONNECTION WITH THE BORROWER MATERIALS OR THE PLATFORM. In no event shall the Administrative Agent or any of its Related Parties (collectively, the “</w:t>
      </w:r>
      <w:r>
        <w:rPr>
          <w:rFonts w:ascii="Arial" w:cs="Arial" w:eastAsia="Arial" w:hAnsi="Arial"/>
          <w:sz w:val="19"/>
          <w:szCs w:val="19"/>
          <w:b w:val="1"/>
          <w:bCs w:val="1"/>
          <w:color w:val="auto"/>
        </w:rPr>
        <w:t>Agent Parties</w:t>
      </w:r>
      <w:r>
        <w:rPr>
          <w:rFonts w:ascii="Arial" w:cs="Arial" w:eastAsia="Arial" w:hAnsi="Arial"/>
          <w:sz w:val="19"/>
          <w:szCs w:val="19"/>
          <w:color w:val="auto"/>
        </w:rPr>
        <w:t>”) have any liability to the Borrower, any Lender, any Issuing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or breach of its material obligations under any Loan Document by, such Agent Party; provided, however, that in no event shall any Agent Party have any liability to the Borrower, any Lender, any Issuing Lender or any other Person for indirect, special, incidental, consequential or punitive damages (as opposed to direct or actual damages).</w:t>
      </w:r>
    </w:p>
    <w:p>
      <w:pPr>
        <w:spacing w:after="0" w:line="103" w:lineRule="exact"/>
        <w:rPr>
          <w:sz w:val="20"/>
          <w:szCs w:val="20"/>
          <w:color w:val="auto"/>
        </w:rPr>
      </w:pPr>
    </w:p>
    <w:p>
      <w:pPr>
        <w:jc w:val="both"/>
        <w:ind w:firstLine="656"/>
        <w:spacing w:after="0" w:line="287" w:lineRule="auto"/>
        <w:tabs>
          <w:tab w:leader="none" w:pos="1170"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Change of Address, Etc</w:t>
      </w:r>
      <w:r>
        <w:rPr>
          <w:rFonts w:ascii="Arial" w:cs="Arial" w:eastAsia="Arial" w:hAnsi="Arial"/>
          <w:sz w:val="19"/>
          <w:szCs w:val="19"/>
          <w:color w:val="auto"/>
        </w:rPr>
        <w:t>. Each of the Borrower, the Administrative Agent and each Issuing Lender may change its</w:t>
      </w:r>
      <w:r>
        <w:rPr>
          <w:rFonts w:ascii="Arial" w:cs="Arial" w:eastAsia="Arial" w:hAnsi="Arial"/>
          <w:sz w:val="19"/>
          <w:szCs w:val="19"/>
          <w:i w:val="1"/>
          <w:iCs w:val="1"/>
          <w:color w:val="auto"/>
        </w:rPr>
        <w:t xml:space="preserve"> </w:t>
      </w:r>
      <w:r>
        <w:rPr>
          <w:rFonts w:ascii="Arial" w:cs="Arial" w:eastAsia="Arial" w:hAnsi="Arial"/>
          <w:sz w:val="19"/>
          <w:szCs w:val="19"/>
          <w:color w:val="auto"/>
        </w:rPr>
        <w:t>address, telecopier or telephone number for notices and other communications hereunder by written notice to the other parties hereto. Each other Lender may change its address, telecopier or telephone number for notices and other communications hereunder by written notice to the Borrower, the Administrative Agent and each Issuing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361" w:lineRule="exact"/>
        <w:rPr>
          <w:rFonts w:ascii="Arial" w:cs="Arial" w:eastAsia="Arial" w:hAnsi="Arial"/>
          <w:sz w:val="19"/>
          <w:szCs w:val="19"/>
          <w:color w:val="auto"/>
        </w:rPr>
      </w:pPr>
    </w:p>
    <w:p>
      <w:pPr>
        <w:jc w:val="both"/>
        <w:ind w:firstLine="656"/>
        <w:spacing w:after="0" w:line="290" w:lineRule="auto"/>
        <w:tabs>
          <w:tab w:leader="none" w:pos="1104"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Reliance by Administrative Agent and Lenders</w:t>
      </w:r>
      <w:r>
        <w:rPr>
          <w:rFonts w:ascii="Arial" w:cs="Arial" w:eastAsia="Arial" w:hAnsi="Arial"/>
          <w:sz w:val="19"/>
          <w:szCs w:val="19"/>
          <w:color w:val="auto"/>
        </w:rPr>
        <w:t>. The Administrative Agent, the Lenders and the Issuing Lenders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entitled to rely and act upon any notices purportedly given by or on behalf of the Borrower so long as such notices appear on their face to be authentic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each Issuing Lender and the Related Parties of each of them from all losses, costs, expenses and liabilities resulting from the reliance by such Person on each notice purportedly given by or on behalf of the Borrower. All telephonic communications with the Administrative Agent may be recorded by the Administrative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317" w:name="page318"/>
    <w:bookmarkEnd w:id="317"/>
    <w:p>
      <w:pPr>
        <w:ind w:left="5360"/>
        <w:spacing w:after="0"/>
        <w:rPr>
          <w:sz w:val="20"/>
          <w:szCs w:val="20"/>
          <w:color w:val="auto"/>
        </w:rPr>
      </w:pPr>
      <w:r>
        <w:rPr>
          <w:rFonts w:ascii="Arial" w:cs="Arial" w:eastAsia="Arial" w:hAnsi="Arial"/>
          <w:sz w:val="22"/>
          <w:szCs w:val="22"/>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OUNTERPARTS</w:t>
      </w:r>
      <w:r>
        <w:rPr>
          <w:rFonts w:ascii="Arial" w:cs="Arial" w:eastAsia="Arial" w:hAnsi="Arial"/>
          <w:sz w:val="22"/>
          <w:szCs w:val="22"/>
          <w:color w:val="auto"/>
        </w:rPr>
        <w:t>; I</w:t>
      </w:r>
      <w:r>
        <w:rPr>
          <w:rFonts w:ascii="Arial" w:cs="Arial" w:eastAsia="Arial" w:hAnsi="Arial"/>
          <w:sz w:val="17"/>
          <w:szCs w:val="17"/>
          <w:color w:val="auto"/>
        </w:rPr>
        <w:t>NTEGRATION</w:t>
      </w:r>
      <w:r>
        <w:rPr>
          <w:rFonts w:ascii="Arial" w:cs="Arial" w:eastAsia="Arial" w:hAnsi="Arial"/>
          <w:sz w:val="22"/>
          <w:szCs w:val="22"/>
          <w:color w:val="auto"/>
        </w:rPr>
        <w:t>; E</w:t>
      </w:r>
      <w:r>
        <w:rPr>
          <w:rFonts w:ascii="Arial" w:cs="Arial" w:eastAsia="Arial" w:hAnsi="Arial"/>
          <w:sz w:val="17"/>
          <w:szCs w:val="17"/>
          <w:color w:val="auto"/>
        </w:rPr>
        <w:t>FFECTIVENESS</w:t>
      </w:r>
      <w:r>
        <w:rPr>
          <w:rFonts w:ascii="Arial" w:cs="Arial" w:eastAsia="Arial" w:hAnsi="Arial"/>
          <w:sz w:val="22"/>
          <w:szCs w:val="22"/>
          <w:color w:val="auto"/>
        </w:rPr>
        <w:t>; E</w:t>
      </w:r>
      <w:r>
        <w:rPr>
          <w:rFonts w:ascii="Arial" w:cs="Arial" w:eastAsia="Arial" w:hAnsi="Arial"/>
          <w:sz w:val="17"/>
          <w:szCs w:val="17"/>
          <w:color w:val="auto"/>
        </w:rPr>
        <w:t>LECTRONIC</w:t>
      </w:r>
      <w:r>
        <w:rPr>
          <w:rFonts w:ascii="Arial" w:cs="Arial" w:eastAsia="Arial" w:hAnsi="Arial"/>
          <w:sz w:val="22"/>
          <w:szCs w:val="22"/>
          <w:color w:val="auto"/>
        </w:rPr>
        <w:t xml:space="preserve"> E</w:t>
      </w:r>
      <w:r>
        <w:rPr>
          <w:rFonts w:ascii="Arial" w:cs="Arial" w:eastAsia="Arial" w:hAnsi="Arial"/>
          <w:sz w:val="17"/>
          <w:szCs w:val="17"/>
          <w:color w:val="auto"/>
        </w:rPr>
        <w:t>XECUTION</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14.01 </w:t>
      </w:r>
      <w:r>
        <w:rPr>
          <w:rFonts w:ascii="Arial" w:cs="Arial" w:eastAsia="Arial" w:hAnsi="Arial"/>
          <w:sz w:val="19"/>
          <w:szCs w:val="19"/>
          <w:i w:val="1"/>
          <w:iCs w:val="1"/>
          <w:color w:val="auto"/>
        </w:rPr>
        <w:t>Counterparts; Effectiveness</w:t>
      </w:r>
      <w:r>
        <w:rPr>
          <w:rFonts w:ascii="Arial" w:cs="Arial" w:eastAsia="Arial" w:hAnsi="Arial"/>
          <w:sz w:val="19"/>
          <w:szCs w:val="19"/>
          <w:color w:val="auto"/>
        </w:rPr>
        <w:t>. This Agreement may be executed in counterparts (and by different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hereto in different counterparts), each of which shall constitute an original, but all of which when taken together shall constitute a single contract. Except as provided in </w:t>
      </w:r>
      <w:r>
        <w:rPr>
          <w:rFonts w:ascii="Arial" w:cs="Arial" w:eastAsia="Arial" w:hAnsi="Arial"/>
          <w:sz w:val="19"/>
          <w:szCs w:val="19"/>
          <w:u w:val="single" w:color="auto"/>
          <w:color w:val="auto"/>
        </w:rPr>
        <w:t>Article 4</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parties hereto, and thereafter shall be binding upon and inure to the benefit of the parties hereto and their respective successors and assigns. Delivery of an executed counterpart of a signature page of this Agreement by telecopy or email shall be effective as delivery of a manually executed counterpart of this Agreement.</w:t>
      </w:r>
    </w:p>
    <w:p>
      <w:pPr>
        <w:spacing w:after="0" w:line="9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Section 14.02 </w:t>
      </w:r>
      <w:r>
        <w:rPr>
          <w:rFonts w:ascii="Arial" w:cs="Arial" w:eastAsia="Arial" w:hAnsi="Arial"/>
          <w:sz w:val="19"/>
          <w:szCs w:val="19"/>
          <w:i w:val="1"/>
          <w:iCs w:val="1"/>
          <w:color w:val="auto"/>
        </w:rPr>
        <w:t>Electronic Execution</w:t>
      </w:r>
      <w:r>
        <w:rPr>
          <w:rFonts w:ascii="Arial" w:cs="Arial" w:eastAsia="Arial" w:hAnsi="Arial"/>
          <w:sz w:val="19"/>
          <w:szCs w:val="19"/>
          <w:color w:val="auto"/>
        </w:rPr>
        <w:t>. The words “delivery”, “execute,” “execution,” “signed,” “signature,” and words of</w:t>
      </w:r>
      <w:r>
        <w:rPr>
          <w:rFonts w:ascii="Arial" w:cs="Arial" w:eastAsia="Arial" w:hAnsi="Arial"/>
          <w:sz w:val="19"/>
          <w:szCs w:val="19"/>
          <w:b w:val="1"/>
          <w:bCs w:val="1"/>
          <w:color w:val="auto"/>
        </w:rPr>
        <w:t xml:space="preserve"> </w:t>
      </w:r>
      <w:r>
        <w:rPr>
          <w:rFonts w:ascii="Arial" w:cs="Arial" w:eastAsia="Arial" w:hAnsi="Arial"/>
          <w:sz w:val="19"/>
          <w:szCs w:val="19"/>
          <w:color w:val="auto"/>
        </w:rPr>
        <w:t>like import in or related to any document to be signed in connection with this Agreement and the transactions contemplated hereby (including without limitation Assignment and Assumptions, amendments or other modifications, Conversion/Continuation Notices, Borrowing Notices, waivers and consents) (each, a “</w:t>
      </w:r>
      <w:r>
        <w:rPr>
          <w:rFonts w:ascii="Arial" w:cs="Arial" w:eastAsia="Arial" w:hAnsi="Arial"/>
          <w:sz w:val="19"/>
          <w:szCs w:val="19"/>
          <w:b w:val="1"/>
          <w:bCs w:val="1"/>
          <w:color w:val="auto"/>
        </w:rPr>
        <w:t>Communication</w:t>
      </w:r>
      <w:r>
        <w:rPr>
          <w:rFonts w:ascii="Arial" w:cs="Arial" w:eastAsia="Arial" w:hAnsi="Arial"/>
          <w:sz w:val="19"/>
          <w:szCs w:val="19"/>
          <w:color w:val="auto"/>
        </w:rPr>
        <w: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the authorization under this Section 14.02 may include, without limitation, use or acceptance by the Borrower,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Borrower, the Administrative Agent and each of the Lenders may, at its option, create one or more copies of any Communication in the form of an imaged Electronic Record (“</w:t>
      </w:r>
      <w:r>
        <w:rPr>
          <w:rFonts w:ascii="Arial" w:cs="Arial" w:eastAsia="Arial" w:hAnsi="Arial"/>
          <w:sz w:val="19"/>
          <w:szCs w:val="19"/>
          <w:b w:val="1"/>
          <w:bCs w:val="1"/>
          <w:color w:val="auto"/>
        </w:rPr>
        <w:t>Electronic Copy</w:t>
      </w:r>
      <w:r>
        <w:rPr>
          <w:rFonts w:ascii="Arial" w:cs="Arial" w:eastAsia="Arial" w:hAnsi="Arial"/>
          <w:sz w:val="19"/>
          <w:szCs w:val="19"/>
          <w:color w:val="auto"/>
        </w:rPr>
        <w:t>”), which shall be deemed created in the ordinary course of such Person’s business, and destroy the original paper document.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without limiting the foregoing, (a) to the extent the Administrative Agent has agreed to accept such Electronic Signature, the Administrative Agent and each of the Lenders shall be entitled to rely on any such Electronic Signature purportedly given by or on behalf of the Borrower without further verification and (b) upon the reasonable request of the Administrative Agent or any Lender, any Electronic Signature shall be promptly followed by such manually executed counterpart. For purposes hereof, “</w:t>
      </w:r>
      <w:r>
        <w:rPr>
          <w:rFonts w:ascii="Arial" w:cs="Arial" w:eastAsia="Arial" w:hAnsi="Arial"/>
          <w:sz w:val="19"/>
          <w:szCs w:val="19"/>
          <w:b w:val="1"/>
          <w:bCs w:val="1"/>
          <w:color w:val="auto"/>
        </w:rPr>
        <w:t>Electronic</w:t>
      </w:r>
      <w:r>
        <w:rPr>
          <w:rFonts w:ascii="Arial" w:cs="Arial" w:eastAsia="Arial" w:hAnsi="Arial"/>
          <w:sz w:val="19"/>
          <w:szCs w:val="19"/>
          <w:color w:val="auto"/>
        </w:rPr>
        <w:t xml:space="preserve"> </w:t>
      </w:r>
      <w:r>
        <w:rPr>
          <w:rFonts w:ascii="Arial" w:cs="Arial" w:eastAsia="Arial" w:hAnsi="Arial"/>
          <w:sz w:val="19"/>
          <w:szCs w:val="19"/>
          <w:b w:val="1"/>
          <w:bCs w:val="1"/>
          <w:color w:val="auto"/>
        </w:rPr>
        <w:t>Record</w:t>
      </w:r>
      <w:r>
        <w:rPr>
          <w:rFonts w:ascii="Arial" w:cs="Arial" w:eastAsia="Arial" w:hAnsi="Arial"/>
          <w:sz w:val="19"/>
          <w:szCs w:val="19"/>
          <w:color w:val="auto"/>
        </w:rPr>
        <w:t>” and “</w:t>
      </w:r>
      <w:r>
        <w:rPr>
          <w:rFonts w:ascii="Arial" w:cs="Arial" w:eastAsia="Arial" w:hAnsi="Arial"/>
          <w:sz w:val="19"/>
          <w:szCs w:val="19"/>
          <w:b w:val="1"/>
          <w:bCs w:val="1"/>
          <w:color w:val="auto"/>
        </w:rPr>
        <w:t>Electronic Signature</w:t>
      </w:r>
      <w:r>
        <w:rPr>
          <w:rFonts w:ascii="Arial" w:cs="Arial" w:eastAsia="Arial" w:hAnsi="Arial"/>
          <w:sz w:val="19"/>
          <w:szCs w:val="19"/>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318" w:name="page319"/>
    <w:bookmarkEnd w:id="318"/>
    <w:p>
      <w:pPr>
        <w:spacing w:after="0"/>
        <w:rPr>
          <w:sz w:val="20"/>
          <w:szCs w:val="20"/>
          <w:color w:val="auto"/>
        </w:rPr>
      </w:pPr>
      <w:r>
        <w:rPr>
          <w:rFonts w:ascii="Arial" w:cs="Arial" w:eastAsia="Arial" w:hAnsi="Arial"/>
          <w:sz w:val="22"/>
          <w:szCs w:val="22"/>
          <w:color w:val="auto"/>
        </w:rPr>
        <w:t>have the meanings assigned to them, respectively, by 15 USC §7006, as it may be amended from time to time.</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7"/>
          <w:szCs w:val="17"/>
          <w:color w:val="auto"/>
        </w:rPr>
        <w:t>HOICE OF</w:t>
      </w:r>
      <w:r>
        <w:rPr>
          <w:rFonts w:ascii="Arial" w:cs="Arial" w:eastAsia="Arial" w:hAnsi="Arial"/>
          <w:sz w:val="22"/>
          <w:szCs w:val="22"/>
          <w:color w:val="auto"/>
        </w:rPr>
        <w:t xml:space="preserve"> L</w:t>
      </w:r>
      <w:r>
        <w:rPr>
          <w:rFonts w:ascii="Arial" w:cs="Arial" w:eastAsia="Arial" w:hAnsi="Arial"/>
          <w:sz w:val="17"/>
          <w:szCs w:val="17"/>
          <w:color w:val="auto"/>
        </w:rPr>
        <w:t>AW</w:t>
      </w:r>
      <w:r>
        <w:rPr>
          <w:rFonts w:ascii="Arial" w:cs="Arial" w:eastAsia="Arial" w:hAnsi="Arial"/>
          <w:sz w:val="22"/>
          <w:szCs w:val="22"/>
          <w:color w:val="auto"/>
        </w:rPr>
        <w:t>; C</w:t>
      </w:r>
      <w:r>
        <w:rPr>
          <w:rFonts w:ascii="Arial" w:cs="Arial" w:eastAsia="Arial" w:hAnsi="Arial"/>
          <w:sz w:val="17"/>
          <w:szCs w:val="17"/>
          <w:color w:val="auto"/>
        </w:rPr>
        <w:t>ONSENT TO</w:t>
      </w:r>
      <w:r>
        <w:rPr>
          <w:rFonts w:ascii="Arial" w:cs="Arial" w:eastAsia="Arial" w:hAnsi="Arial"/>
          <w:sz w:val="22"/>
          <w:szCs w:val="22"/>
          <w:color w:val="auto"/>
        </w:rPr>
        <w:t xml:space="preserve"> J</w:t>
      </w:r>
      <w:r>
        <w:rPr>
          <w:rFonts w:ascii="Arial" w:cs="Arial" w:eastAsia="Arial" w:hAnsi="Arial"/>
          <w:sz w:val="17"/>
          <w:szCs w:val="17"/>
          <w:color w:val="auto"/>
        </w:rPr>
        <w:t>URISDICTION</w:t>
      </w:r>
      <w:r>
        <w:rPr>
          <w:rFonts w:ascii="Arial" w:cs="Arial" w:eastAsia="Arial" w:hAnsi="Arial"/>
          <w:sz w:val="22"/>
          <w:szCs w:val="22"/>
          <w:color w:val="auto"/>
        </w:rPr>
        <w:t>; W</w:t>
      </w:r>
      <w:r>
        <w:rPr>
          <w:rFonts w:ascii="Arial" w:cs="Arial" w:eastAsia="Arial" w:hAnsi="Arial"/>
          <w:sz w:val="17"/>
          <w:szCs w:val="17"/>
          <w:color w:val="auto"/>
        </w:rPr>
        <w:t>AIVER OF</w:t>
      </w:r>
      <w:r>
        <w:rPr>
          <w:rFonts w:ascii="Arial" w:cs="Arial" w:eastAsia="Arial" w:hAnsi="Arial"/>
          <w:sz w:val="22"/>
          <w:szCs w:val="22"/>
          <w:color w:val="auto"/>
        </w:rPr>
        <w:t xml:space="preserve"> J</w:t>
      </w:r>
      <w:r>
        <w:rPr>
          <w:rFonts w:ascii="Arial" w:cs="Arial" w:eastAsia="Arial" w:hAnsi="Arial"/>
          <w:sz w:val="17"/>
          <w:szCs w:val="17"/>
          <w:color w:val="auto"/>
        </w:rPr>
        <w:t>URY</w:t>
      </w:r>
      <w:r>
        <w:rPr>
          <w:rFonts w:ascii="Arial" w:cs="Arial" w:eastAsia="Arial" w:hAnsi="Arial"/>
          <w:sz w:val="22"/>
          <w:szCs w:val="22"/>
          <w:color w:val="auto"/>
        </w:rPr>
        <w:t xml:space="preserve"> T</w:t>
      </w:r>
      <w:r>
        <w:rPr>
          <w:rFonts w:ascii="Arial" w:cs="Arial" w:eastAsia="Arial" w:hAnsi="Arial"/>
          <w:sz w:val="17"/>
          <w:szCs w:val="17"/>
          <w:color w:val="auto"/>
        </w:rPr>
        <w:t>RIAL</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15.01 </w:t>
      </w:r>
      <w:r>
        <w:rPr>
          <w:rFonts w:ascii="Arial" w:cs="Arial" w:eastAsia="Arial" w:hAnsi="Arial"/>
          <w:sz w:val="21"/>
          <w:szCs w:val="21"/>
          <w:i w:val="1"/>
          <w:iCs w:val="1"/>
          <w:color w:val="auto"/>
        </w:rPr>
        <w:t>Choice of Law</w:t>
      </w:r>
      <w:r>
        <w:rPr>
          <w:rFonts w:ascii="Arial" w:cs="Arial" w:eastAsia="Arial" w:hAnsi="Arial"/>
          <w:sz w:val="21"/>
          <w:szCs w:val="21"/>
          <w:color w:val="auto"/>
        </w:rPr>
        <w:t>. THE LOAN DOCUMENTS AND OBLIGATIONS OF THE PARTIES THEREUNDER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WITHOUT LIMITATION, ANY CLAIMS SOUNDING IN CONTRACT LAW OR TORT LAW ARISING OUT OF THE SUBJECT MATTER THEREOF AND ANY DETERMINATIONS WITH RESPECT TO POST-JUDGMENT INTEREST) SHALL BE GOVERNED BY AND CONSTRUED AND ENFORCED IN ACCORDANCE WITH THE LAWS OF THE STATE OF NEW YORK, WITHOUT REGARD TO CONFLICTS OF LAW PRINCIPLES THEREOF THAT WOULD REQUIRE THE APPLICATION OF THE LAWS OF ANOTHER JURISDICTION.</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 xml:space="preserve">Section 15.02 </w:t>
      </w:r>
      <w:r>
        <w:rPr>
          <w:rFonts w:ascii="Arial" w:cs="Arial" w:eastAsia="Arial" w:hAnsi="Arial"/>
          <w:sz w:val="21"/>
          <w:szCs w:val="21"/>
          <w:i w:val="1"/>
          <w:iCs w:val="1"/>
          <w:color w:val="auto"/>
        </w:rPr>
        <w:t>Consent to Jurisdiction</w:t>
      </w:r>
      <w:r>
        <w:rPr>
          <w:rFonts w:ascii="Arial" w:cs="Arial" w:eastAsia="Arial" w:hAnsi="Arial"/>
          <w:sz w:val="21"/>
          <w:szCs w:val="21"/>
          <w:color w:val="auto"/>
        </w:rPr>
        <w:t>. EACH OF THE BORROWER, THE AGENTS, THE ISSUING LENDERS</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LENDERS HEREBY IRREVOCABLY SUBMITS TO JURISDICTION OF ANY FEDERAL COURT OF THE UNITED STATES OF AMERICA SITTING IN THE BOROUGH OF MANHATTAN OR, IF THAT COURT DOES NOT HAVE SUBJECT MATTER JURISDICTION, OF ANY STATE COURT LOCATED IN THE BOROUGH OF MANHATTAN IN ANY ACTION OR PROCEEDING ARISING OUT OF OR RELATING TO ANY LOAN DOCUMENTS AND HEREBY IRREVOCABLY AGREES THAT ALL CLAIMS IN RESPECT OF SUCH ACTION OR PROCEEDING SHALL BE HEARD AND DETERMINED IN ANY SUCH COURT AND IRREVOCABLY WAIVES ANY OBJECTION IT MAY NOW OR HEREAFTER HAVE AS TO THE VENUE OF ANY SUCH SUIT, ACTION OR PROCEEDING BROUGHT IN SUCH A COURT OR THAT SUCH COURT IS AN INCONVENIENT FORUM. NOTHING HEREIN SHALL LIMIT THE RIGHT OF THE AGENTS, THE ISSUING LENDERS OR ANY LENDER TO BRING PROCEEDINGS AGAINST THE BORROWER IN THE COURTS OF ANY OTHER JURISDICTION. ANY JUDICIAL PROCEEDING BROUGHT BY THE BORROWER, DIRECTLY OR INDIRECTLY, IN ANY WAY ARISING OUT OF, RELATED TO, OR CONNECTED WITH ANY LOAN DOCUMENT SHALL BE BROUGHT ONLY IN A COURT IN ANY FEDERAL COURT OF THE UNITED STATES OF AMERICA SITTING IN THE BOROUGH OF MANHATTAN OR, IF THAT COURT DOES NOT HAVE SUBJECT MATTER JURISDICTION, IN ANY STATE COURT LOCATED IN THE CITY AND COUNTY OF NEW YORK.</w:t>
      </w:r>
    </w:p>
    <w:p>
      <w:pPr>
        <w:spacing w:after="0" w:line="13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EACH OF THE BORROWER, THE AGENTS, THE ISSUING LENDERS AND THE LENDERS HEREBY AGREES FURTHER THAT SERVICE OF ALL PROCESS IN ANY SUCH PROCEEDING IN ANY SUCH COURT MAY BE MADE BY REGISTERED OR CERTIFIED MAIL, RETURN RECEIPT REQUESTED, TO THE APPLICABLE PERSON AT ITS ADDRESS PROVIDED IN ACCORDANCE WITH </w:t>
      </w:r>
      <w:r>
        <w:rPr>
          <w:rFonts w:ascii="Arial" w:cs="Arial" w:eastAsia="Arial" w:hAnsi="Arial"/>
          <w:sz w:val="22"/>
          <w:szCs w:val="22"/>
          <w:u w:val="single" w:color="auto"/>
          <w:color w:val="auto"/>
        </w:rPr>
        <w:t>SECTION 13.01</w:t>
      </w:r>
      <w:r>
        <w:rPr>
          <w:rFonts w:ascii="Arial" w:cs="Arial" w:eastAsia="Arial" w:hAnsi="Arial"/>
          <w:sz w:val="22"/>
          <w:szCs w:val="22"/>
          <w:color w:val="auto"/>
        </w:rPr>
        <w:t xml:space="preserve"> AND AGREES THAT SUCH SERVICE IS SUFFICIENT TO CONFER PERSONAL JURISDICTION OVER THE APPLICABLE PERSON IN ANY SUCH PROCEEDING IN ANY SUCH COURT, AND OTHERWISE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8" w:right="339" w:bottom="1440" w:gutter="0" w:footer="0" w:header="0"/>
        </w:sectPr>
      </w:pPr>
    </w:p>
    <w:bookmarkStart w:id="319" w:name="page320"/>
    <w:bookmarkEnd w:id="319"/>
    <w:p>
      <w:pPr>
        <w:jc w:val="both"/>
        <w:spacing w:after="0" w:line="263" w:lineRule="auto"/>
        <w:rPr>
          <w:sz w:val="20"/>
          <w:szCs w:val="20"/>
          <w:color w:val="auto"/>
        </w:rPr>
      </w:pPr>
      <w:r>
        <w:rPr>
          <w:rFonts w:ascii="Arial" w:cs="Arial" w:eastAsia="Arial" w:hAnsi="Arial"/>
          <w:sz w:val="22"/>
          <w:szCs w:val="22"/>
          <w:color w:val="auto"/>
        </w:rPr>
        <w:t>EFFECTIVE AND BINDING SERVICE IN EVERY RESPECT. NOTHING HEREIN SHALL LIMIT THE RIGHT OF THE AGENTS OR LENDERS TO SERVE PROCESS IN ANY OTHER MANNER PERMITTED BY LAW.</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Section 15.03 </w:t>
      </w:r>
      <w:r>
        <w:rPr>
          <w:rFonts w:ascii="Arial" w:cs="Arial" w:eastAsia="Arial" w:hAnsi="Arial"/>
          <w:sz w:val="21"/>
          <w:szCs w:val="21"/>
          <w:i w:val="1"/>
          <w:iCs w:val="1"/>
          <w:color w:val="auto"/>
        </w:rPr>
        <w:t>Waiver of Jury Trial</w:t>
      </w:r>
      <w:r>
        <w:rPr>
          <w:rFonts w:ascii="Arial" w:cs="Arial" w:eastAsia="Arial" w:hAnsi="Arial"/>
          <w:sz w:val="21"/>
          <w:szCs w:val="21"/>
          <w:color w:val="auto"/>
        </w:rPr>
        <w:t>. EACH PARTY HERETO HEREBY IRREVOCABLY WAIVES,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15.04 </w:t>
      </w:r>
      <w:r>
        <w:rPr>
          <w:rFonts w:ascii="Arial" w:cs="Arial" w:eastAsia="Arial" w:hAnsi="Arial"/>
          <w:sz w:val="19"/>
          <w:szCs w:val="19"/>
          <w:i w:val="1"/>
          <w:iCs w:val="1"/>
          <w:color w:val="auto"/>
        </w:rPr>
        <w:t>U.S. Patriot Act and Beneficial Ownership Regulation Notice</w:t>
      </w:r>
      <w:r>
        <w:rPr>
          <w:rFonts w:ascii="Arial" w:cs="Arial" w:eastAsia="Arial" w:hAnsi="Arial"/>
          <w:sz w:val="19"/>
          <w:szCs w:val="19"/>
          <w:color w:val="auto"/>
        </w:rPr>
        <w:t>. Each Lender that is subject to the U.S.</w:t>
      </w:r>
      <w:r>
        <w:rPr>
          <w:rFonts w:ascii="Arial" w:cs="Arial" w:eastAsia="Arial" w:hAnsi="Arial"/>
          <w:sz w:val="19"/>
          <w:szCs w:val="19"/>
          <w:b w:val="1"/>
          <w:bCs w:val="1"/>
          <w:color w:val="auto"/>
        </w:rPr>
        <w:t xml:space="preserve"> </w:t>
      </w:r>
      <w:r>
        <w:rPr>
          <w:rFonts w:ascii="Arial" w:cs="Arial" w:eastAsia="Arial" w:hAnsi="Arial"/>
          <w:sz w:val="19"/>
          <w:szCs w:val="19"/>
          <w:color w:val="auto"/>
        </w:rPr>
        <w:t>Patriot Act and the Beneficial Ownership Regulation and the Administrative Agent (for itself and not on behalf of any Lender) hereby notifies the Borrower that pursuant to the requirements of the U.S. Patriot Act and the Beneficial Ownership Regulation, it is required to obtain, verify and record information that identifies the Borrower, which information includes the name, address and tax forms of the Borrower and other information that will allow such Lender or the Administrative Agent, as applicable, to identify the Borrower in accordance with the U.S. Patriot Act and Beneficial Ownership Regulation.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 Patriot Act and Beneficial Ownership Regulation.</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15.05 </w:t>
      </w:r>
      <w:r>
        <w:rPr>
          <w:rFonts w:ascii="Arial" w:cs="Arial" w:eastAsia="Arial" w:hAnsi="Arial"/>
          <w:sz w:val="19"/>
          <w:szCs w:val="19"/>
          <w:i w:val="1"/>
          <w:iCs w:val="1"/>
          <w:color w:val="auto"/>
        </w:rPr>
        <w:t>No Advisory or Fiduciary Responsibility</w:t>
      </w:r>
      <w:r>
        <w:rPr>
          <w:rFonts w:ascii="Arial" w:cs="Arial" w:eastAsia="Arial" w:hAnsi="Arial"/>
          <w:sz w:val="19"/>
          <w:szCs w:val="19"/>
          <w:color w:val="auto"/>
        </w:rPr>
        <w:t>. In connection with all aspects of each transaction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8" w:right="339" w:bottom="1440" w:gutter="0" w:footer="0" w:header="0"/>
        </w:sectPr>
      </w:pPr>
    </w:p>
    <w:bookmarkStart w:id="320" w:name="page321"/>
    <w:bookmarkEnd w:id="320"/>
    <w:p>
      <w:pPr>
        <w:jc w:val="both"/>
        <w:spacing w:after="0" w:line="289" w:lineRule="auto"/>
        <w:rPr>
          <w:sz w:val="20"/>
          <w:szCs w:val="20"/>
          <w:color w:val="auto"/>
        </w:rPr>
      </w:pPr>
      <w:r>
        <w:rPr>
          <w:rFonts w:ascii="Arial" w:cs="Arial" w:eastAsia="Arial" w:hAnsi="Arial"/>
          <w:sz w:val="19"/>
          <w:szCs w:val="19"/>
          <w:color w:val="auto"/>
        </w:rPr>
        <w:t>agent or fiduciary for the Borrower or any of its Affiliates, or any other Person and (B) neither the Administrative Agent nor the Arrangers nor any of the Lenders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nor the Arrangers nor any of the Lenders has any obligation to disclose any of such interests to the Borrower or its Affiliates. To the fullest extent permitted by law, the Borrower hereby agrees and covenants that it will not make any claims that it may have against the Administrative Agent, the Arrangers and the Lenders with respect to any breach or alleged breach of agency or fiduciary duty in connection with any aspect of any transaction contemplated hereby.</w:t>
      </w:r>
    </w:p>
    <w:p>
      <w:pPr>
        <w:spacing w:after="0" w:line="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Section 15.06 </w:t>
      </w:r>
      <w:r>
        <w:rPr>
          <w:rFonts w:ascii="Arial" w:cs="Arial" w:eastAsia="Arial" w:hAnsi="Arial"/>
          <w:sz w:val="19"/>
          <w:szCs w:val="19"/>
          <w:i w:val="1"/>
          <w:iCs w:val="1"/>
          <w:color w:val="auto"/>
        </w:rPr>
        <w:t>Judgment Currency</w:t>
      </w:r>
      <w:r>
        <w:rPr>
          <w:rFonts w:ascii="Arial" w:cs="Arial" w:eastAsia="Arial" w:hAnsi="Arial"/>
          <w:sz w:val="19"/>
          <w:szCs w:val="19"/>
          <w:color w:val="auto"/>
        </w:rPr>
        <w:t>. If, for the purposes of obtaining judgment in any court, it is necessary to convert a</w:t>
      </w:r>
      <w:r>
        <w:rPr>
          <w:rFonts w:ascii="Arial" w:cs="Arial" w:eastAsia="Arial" w:hAnsi="Arial"/>
          <w:sz w:val="19"/>
          <w:szCs w:val="19"/>
          <w:b w:val="1"/>
          <w:bCs w:val="1"/>
          <w:color w:val="auto"/>
        </w:rPr>
        <w:t xml:space="preserve"> </w:t>
      </w:r>
      <w:r>
        <w:rPr>
          <w:rFonts w:ascii="Arial" w:cs="Arial" w:eastAsia="Arial" w:hAnsi="Arial"/>
          <w:sz w:val="19"/>
          <w:szCs w:val="19"/>
          <w:color w:val="auto"/>
        </w:rPr>
        <w:t>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any Issuing Lender or any Lender hereunder or under the other Loan Documents shall, notwithstanding any judgment in a currency (the “</w:t>
      </w:r>
      <w:r>
        <w:rPr>
          <w:rFonts w:ascii="Arial" w:cs="Arial" w:eastAsia="Arial" w:hAnsi="Arial"/>
          <w:sz w:val="19"/>
          <w:szCs w:val="19"/>
          <w:b w:val="1"/>
          <w:bCs w:val="1"/>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b w:val="1"/>
          <w:bCs w:val="1"/>
          <w:color w:val="auto"/>
        </w:rPr>
        <w:t>Agreement Currency</w:t>
      </w:r>
      <w:r>
        <w:rPr>
          <w:rFonts w:ascii="Arial" w:cs="Arial" w:eastAsia="Arial" w:hAnsi="Arial"/>
          <w:sz w:val="19"/>
          <w:szCs w:val="19"/>
          <w:color w:val="auto"/>
        </w:rPr>
        <w:t>”), be discharged only to the extent that on the Business Day following receipt by the Administrative Agent, such Issuing Lender or such Lender, as the case may be, of any sum adjudged to be so due in the Judgment Currency, the Administrative Agent, such Issuing Lender or such Lender, as the case may be, may in accordance with normal banking procedures purchase the Agreement Currency with the Judgment Currency. If the amount of the Agreement Currency so purchased is less than the sum originally due to the Administrative Agent, any Issuing Lender or any Lender from the Borrower in the Agreement Currency, the Borrower agrees, as a separate obligation and notwithstanding any such judgment, to indemnify the Administrative Agent, such Issuing Lender or such Lender, as the case may be, against such loss. If the amount of the Agreement Currency so purchased is greater than the sum originally due to the Administrative Agent, any Issuing Lender or any Lender in such currency, the Administrative Agent, such Issuing Lender or such Lender, as the case may be, agrees to return the amount of any excess to the Borrower (or to any other Person who may be entitled thereto under applicable law).</w:t>
      </w:r>
    </w:p>
    <w:p>
      <w:pPr>
        <w:spacing w:after="0" w:line="3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15.07 </w:t>
      </w:r>
      <w:r>
        <w:rPr>
          <w:rFonts w:ascii="Arial" w:cs="Arial" w:eastAsia="Arial" w:hAnsi="Arial"/>
          <w:sz w:val="21"/>
          <w:szCs w:val="21"/>
          <w:i w:val="1"/>
          <w:iCs w:val="1"/>
          <w:color w:val="auto"/>
        </w:rPr>
        <w:t>Acknowledgement and Consent to Bail-In of Affected Financial Institutions</w:t>
      </w:r>
      <w:r>
        <w:rPr>
          <w:rFonts w:ascii="Arial" w:cs="Arial" w:eastAsia="Arial" w:hAnsi="Arial"/>
          <w:sz w:val="21"/>
          <w:szCs w:val="21"/>
          <w:color w:val="auto"/>
        </w:rPr>
        <w:t>. Notwithstanding anything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28" w:right="339" w:bottom="1440" w:gutter="0" w:footer="0" w:header="0"/>
        </w:sectPr>
      </w:pPr>
    </w:p>
    <w:bookmarkStart w:id="321" w:name="page322"/>
    <w:bookmarkEnd w:id="321"/>
    <w:p>
      <w:pPr>
        <w:ind w:firstLine="656"/>
        <w:spacing w:after="0" w:line="343" w:lineRule="auto"/>
        <w:tabs>
          <w:tab w:leader="none" w:pos="122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0" w:lineRule="exact"/>
        <w:rPr>
          <w:rFonts w:ascii="Arial" w:cs="Arial" w:eastAsia="Arial" w:hAnsi="Arial"/>
          <w:sz w:val="19"/>
          <w:szCs w:val="19"/>
          <w:color w:val="auto"/>
        </w:rPr>
      </w:pPr>
    </w:p>
    <w:p>
      <w:pPr>
        <w:ind w:left="1120" w:hanging="464"/>
        <w:spacing w:after="0"/>
        <w:tabs>
          <w:tab w:leader="none" w:pos="112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65" w:lineRule="exact"/>
        <w:rPr>
          <w:rFonts w:ascii="Arial" w:cs="Arial" w:eastAsia="Arial" w:hAnsi="Arial"/>
          <w:sz w:val="22"/>
          <w:szCs w:val="22"/>
          <w:color w:val="auto"/>
        </w:rPr>
      </w:pPr>
    </w:p>
    <w:p>
      <w:pPr>
        <w:ind w:left="1720" w:hanging="416"/>
        <w:spacing w:after="0"/>
        <w:tabs>
          <w:tab w:leader="none" w:pos="172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65" w:lineRule="exact"/>
        <w:rPr>
          <w:rFonts w:ascii="Arial" w:cs="Arial" w:eastAsia="Arial" w:hAnsi="Arial"/>
          <w:sz w:val="22"/>
          <w:szCs w:val="22"/>
          <w:color w:val="auto"/>
        </w:rPr>
      </w:pPr>
    </w:p>
    <w:p>
      <w:pPr>
        <w:jc w:val="both"/>
        <w:ind w:left="660" w:firstLine="644"/>
        <w:spacing w:after="0" w:line="250" w:lineRule="auto"/>
        <w:tabs>
          <w:tab w:leader="none" w:pos="1903" w:val="left"/>
        </w:tabs>
        <w:numPr>
          <w:ilvl w:val="1"/>
          <w:numId w:val="267"/>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3" w:lineRule="exact"/>
        <w:rPr>
          <w:rFonts w:ascii="Arial" w:cs="Arial" w:eastAsia="Arial" w:hAnsi="Arial"/>
          <w:sz w:val="22"/>
          <w:szCs w:val="22"/>
          <w:color w:val="auto"/>
        </w:rPr>
      </w:pPr>
    </w:p>
    <w:p>
      <w:pPr>
        <w:ind w:left="660" w:firstLine="644"/>
        <w:spacing w:after="0" w:line="263" w:lineRule="auto"/>
        <w:tabs>
          <w:tab w:leader="none" w:pos="205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GUARANTEE</w:t>
      </w:r>
    </w:p>
    <w:p>
      <w:pPr>
        <w:spacing w:after="0" w:line="14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16.01 </w:t>
      </w:r>
      <w:r>
        <w:rPr>
          <w:rFonts w:ascii="Arial" w:cs="Arial" w:eastAsia="Arial" w:hAnsi="Arial"/>
          <w:sz w:val="19"/>
          <w:szCs w:val="19"/>
          <w:i w:val="1"/>
          <w:iCs w:val="1"/>
          <w:color w:val="auto"/>
        </w:rPr>
        <w:t>Guarantors</w:t>
      </w:r>
      <w:r>
        <w:rPr>
          <w:rFonts w:ascii="Arial" w:cs="Arial" w:eastAsia="Arial" w:hAnsi="Arial"/>
          <w:sz w:val="19"/>
          <w:szCs w:val="19"/>
          <w:color w:val="auto"/>
        </w:rPr>
        <w:t>. Any time after the Effective Date, the Borrower may cause any Subsidiary of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guarantee the Obligations of the Borrower under the Loan Documents by delivering to the Administrative Agent customary joinder documentation reasonably acceptable to the Administrative Agent, and pursuant to which such Person shall become a “Guarantor” for all purposes under this Agreement and each other Loan Document and shall be bound by all of the obligations of and shall have all of the rights of a “Guarantor” under this Agreement and each other Loan Document including, without limitation, providing the guarantee of the Guaranteed Obligations as set forth in this </w:t>
      </w:r>
      <w:r>
        <w:rPr>
          <w:rFonts w:ascii="Arial" w:cs="Arial" w:eastAsia="Arial" w:hAnsi="Arial"/>
          <w:sz w:val="19"/>
          <w:szCs w:val="19"/>
          <w:u w:val="single" w:color="auto"/>
          <w:color w:val="auto"/>
        </w:rPr>
        <w:t>Article 16</w:t>
      </w:r>
      <w:r>
        <w:rPr>
          <w:rFonts w:ascii="Arial" w:cs="Arial" w:eastAsia="Arial" w:hAnsi="Arial"/>
          <w:sz w:val="19"/>
          <w:szCs w:val="19"/>
          <w:color w:val="auto"/>
        </w:rPr>
        <w:t>.</w:t>
      </w:r>
    </w:p>
    <w:p>
      <w:pPr>
        <w:spacing w:after="0" w:line="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16.02 </w:t>
      </w:r>
      <w:r>
        <w:rPr>
          <w:rFonts w:ascii="Arial" w:cs="Arial" w:eastAsia="Arial" w:hAnsi="Arial"/>
          <w:sz w:val="19"/>
          <w:szCs w:val="19"/>
          <w:i w:val="1"/>
          <w:iCs w:val="1"/>
          <w:color w:val="auto"/>
        </w:rPr>
        <w:t>Guarantee</w:t>
      </w:r>
      <w:r>
        <w:rPr>
          <w:rFonts w:ascii="Arial" w:cs="Arial" w:eastAsia="Arial" w:hAnsi="Arial"/>
          <w:sz w:val="19"/>
          <w:szCs w:val="19"/>
          <w:color w:val="auto"/>
        </w:rPr>
        <w:t>. Upon becoming a Guarantor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16.01</w:t>
      </w:r>
      <w:r>
        <w:rPr>
          <w:rFonts w:ascii="Arial" w:cs="Arial" w:eastAsia="Arial" w:hAnsi="Arial"/>
          <w:sz w:val="19"/>
          <w:szCs w:val="19"/>
          <w:color w:val="auto"/>
        </w:rPr>
        <w:t>, each Guarantor, on a joint and several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basis, unconditionally guarantees (the undertaking of each Guarantor contained in this </w:t>
      </w:r>
      <w:r>
        <w:rPr>
          <w:rFonts w:ascii="Arial" w:cs="Arial" w:eastAsia="Arial" w:hAnsi="Arial"/>
          <w:sz w:val="19"/>
          <w:szCs w:val="19"/>
          <w:u w:val="single" w:color="auto"/>
          <w:color w:val="auto"/>
        </w:rPr>
        <w:t>Article 16</w:t>
      </w:r>
      <w:r>
        <w:rPr>
          <w:rFonts w:ascii="Arial" w:cs="Arial" w:eastAsia="Arial" w:hAnsi="Arial"/>
          <w:sz w:val="19"/>
          <w:szCs w:val="19"/>
          <w:color w:val="auto"/>
        </w:rPr>
        <w:t xml:space="preserve"> being a “</w:t>
      </w:r>
      <w:r>
        <w:rPr>
          <w:rFonts w:ascii="Arial" w:cs="Arial" w:eastAsia="Arial" w:hAnsi="Arial"/>
          <w:sz w:val="19"/>
          <w:szCs w:val="19"/>
          <w:b w:val="1"/>
          <w:bCs w:val="1"/>
          <w:u w:val="single" w:color="auto"/>
          <w:color w:val="auto"/>
        </w:rPr>
        <w:t>Guarantee</w:t>
      </w:r>
      <w:r>
        <w:rPr>
          <w:rFonts w:ascii="Arial" w:cs="Arial" w:eastAsia="Arial" w:hAnsi="Arial"/>
          <w:sz w:val="19"/>
          <w:szCs w:val="19"/>
          <w:color w:val="auto"/>
        </w:rPr>
        <w:t>”) the punctual payment when due, whether at stated maturity, by acceleration or otherwise, of all Obligations of the Borrower now or hereafter existing under the Loan Documents, whether for principal, interest, fees, expenses or otherwise (such obligations, collectively, being the “</w:t>
      </w:r>
      <w:r>
        <w:rPr>
          <w:rFonts w:ascii="Arial" w:cs="Arial" w:eastAsia="Arial" w:hAnsi="Arial"/>
          <w:sz w:val="19"/>
          <w:szCs w:val="19"/>
          <w:b w:val="1"/>
          <w:bCs w:val="1"/>
          <w:u w:val="single" w:color="auto"/>
          <w:color w:val="auto"/>
        </w:rPr>
        <w:t>Guaranteed Obligations</w:t>
      </w:r>
      <w:r>
        <w:rPr>
          <w:rFonts w:ascii="Arial" w:cs="Arial" w:eastAsia="Arial" w:hAnsi="Arial"/>
          <w:sz w:val="19"/>
          <w:szCs w:val="19"/>
          <w:color w:val="auto"/>
        </w:rPr>
        <w:t xml:space="preserve">”). Each Guarantee is a guaranty of payment and not of collection. Upon becoming a Guarantor pursuant to </w:t>
      </w:r>
      <w:r>
        <w:rPr>
          <w:rFonts w:ascii="Arial" w:cs="Arial" w:eastAsia="Arial" w:hAnsi="Arial"/>
          <w:sz w:val="19"/>
          <w:szCs w:val="19"/>
          <w:u w:val="single" w:color="auto"/>
          <w:color w:val="auto"/>
        </w:rPr>
        <w:t>Section 16.01</w:t>
      </w:r>
      <w:r>
        <w:rPr>
          <w:rFonts w:ascii="Arial" w:cs="Arial" w:eastAsia="Arial" w:hAnsi="Arial"/>
          <w:sz w:val="19"/>
          <w:szCs w:val="19"/>
          <w:color w:val="auto"/>
        </w:rPr>
        <w:t xml:space="preserve"> each Guarantor agrees that, as between each Guarantor and the Administrative Agent, the Guaranteed Obligations may be declared to be due and payable for purposes of its Guarantee notwithstanding any stay (including any stay imposed by the commencement by or against the Borrower of any proceeding under any Debtor Relief Laws naming the Borrower as the debtor in such proceeding), injunction or other prohibition which may prevent, delay or vitiate any declaration as regards the Borrower and that in the event of a declaration or attempted declaration, the Guaranteed Obligations shall immediately become due and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322" w:name="page323"/>
    <w:bookmarkEnd w:id="322"/>
    <w:p>
      <w:pPr>
        <w:jc w:val="both"/>
        <w:spacing w:after="0" w:line="246" w:lineRule="auto"/>
        <w:rPr>
          <w:sz w:val="20"/>
          <w:szCs w:val="20"/>
          <w:color w:val="auto"/>
        </w:rPr>
      </w:pPr>
      <w:r>
        <w:rPr>
          <w:rFonts w:ascii="Arial" w:cs="Arial" w:eastAsia="Arial" w:hAnsi="Arial"/>
          <w:sz w:val="22"/>
          <w:szCs w:val="22"/>
          <w:color w:val="auto"/>
        </w:rPr>
        <w:t>Guarantors for purposes of its Guarantee. Anything contained herein to the contrary notwithstanding, the obligations of each Guarantor hereunder at any time shall, without further action by any Guarantor or any other Person, be automatically limited and reduced to an aggregate amount equal to the largest amount that would not render such Guarantor’s obligations hereunder invalid and unenforceable or otherwise subject to avoidance as a fraudulent transfer or conveyance under Section 548 of the U.S. Bankruptcy Code or any comparable provisions of any similar federal or state law (including the Uniform Fraudulent Conveyance Act and the Uniform Fraudulent Transfer Act) or subordinated to the claims of other creditors as determined in such proceeding.</w:t>
      </w:r>
    </w:p>
    <w:p>
      <w:pPr>
        <w:spacing w:after="0" w:line="1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16.03 </w:t>
      </w:r>
      <w:r>
        <w:rPr>
          <w:rFonts w:ascii="Arial" w:cs="Arial" w:eastAsia="Arial" w:hAnsi="Arial"/>
          <w:sz w:val="22"/>
          <w:szCs w:val="22"/>
          <w:i w:val="1"/>
          <w:iCs w:val="1"/>
          <w:color w:val="auto"/>
        </w:rPr>
        <w:t>Guaranty Absolute</w:t>
      </w:r>
      <w:r>
        <w:rPr>
          <w:rFonts w:ascii="Arial" w:cs="Arial" w:eastAsia="Arial" w:hAnsi="Arial"/>
          <w:sz w:val="19"/>
          <w:szCs w:val="19"/>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Upon becoming a Guarantor pursuant to Section 16.01, each Guarantor guarantees</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Guaranteed Obligations will be paid strictly in accordance with the terms of this Agreement, regardless of any law, regulation or order now or hereafter in effect in any jurisdiction affecting any of such terms or the rights of the Administrative Agent, the Issuing Lenders or the Lenders with respect thereto. The liability of each Guarantor under its Guarantee shall be absolute and unconditional irrespective of:</w:t>
      </w:r>
    </w:p>
    <w:p>
      <w:pPr>
        <w:spacing w:after="0" w:line="138" w:lineRule="exact"/>
        <w:rPr>
          <w:sz w:val="20"/>
          <w:szCs w:val="20"/>
          <w:color w:val="auto"/>
        </w:rPr>
      </w:pPr>
    </w:p>
    <w:p>
      <w:pPr>
        <w:ind w:firstLine="1304"/>
        <w:spacing w:after="0" w:line="263" w:lineRule="auto"/>
        <w:tabs>
          <w:tab w:leader="none" w:pos="1789"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lack of validity, enforceability or genuineness of any provision of any Loan Document, any Guaranteed Obligations or any other agreement or instrument relating thereto;</w:t>
      </w:r>
    </w:p>
    <w:p>
      <w:pPr>
        <w:spacing w:after="0" w:line="120" w:lineRule="exact"/>
        <w:rPr>
          <w:rFonts w:ascii="Arial" w:cs="Arial" w:eastAsia="Arial" w:hAnsi="Arial"/>
          <w:sz w:val="22"/>
          <w:szCs w:val="22"/>
          <w:color w:val="auto"/>
        </w:rPr>
      </w:pPr>
    </w:p>
    <w:p>
      <w:pPr>
        <w:ind w:firstLine="1304"/>
        <w:spacing w:after="0" w:line="263" w:lineRule="auto"/>
        <w:tabs>
          <w:tab w:leader="none" w:pos="1789"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Guaranteed Obligations, or any other amendment or waiver of or any consent to departure from this Agreement;</w:t>
      </w:r>
    </w:p>
    <w:p>
      <w:pPr>
        <w:spacing w:after="0" w:line="120" w:lineRule="exact"/>
        <w:rPr>
          <w:rFonts w:ascii="Arial" w:cs="Arial" w:eastAsia="Arial" w:hAnsi="Arial"/>
          <w:sz w:val="22"/>
          <w:szCs w:val="22"/>
          <w:color w:val="auto"/>
        </w:rPr>
      </w:pPr>
    </w:p>
    <w:p>
      <w:pPr>
        <w:ind w:firstLine="1304"/>
        <w:spacing w:after="0" w:line="263" w:lineRule="auto"/>
        <w:tabs>
          <w:tab w:leader="none" w:pos="1876"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other guaranty, for all or any of the Guaranteed Obligations;</w:t>
      </w:r>
    </w:p>
    <w:p>
      <w:pPr>
        <w:spacing w:after="0" w:line="120" w:lineRule="exact"/>
        <w:rPr>
          <w:rFonts w:ascii="Arial" w:cs="Arial" w:eastAsia="Arial" w:hAnsi="Arial"/>
          <w:sz w:val="22"/>
          <w:szCs w:val="22"/>
          <w:color w:val="auto"/>
        </w:rPr>
      </w:pPr>
    </w:p>
    <w:p>
      <w:pPr>
        <w:ind w:left="1780" w:hanging="476"/>
        <w:spacing w:after="0"/>
        <w:tabs>
          <w:tab w:leader="none" w:pos="178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any law or regulation of any jurisdiction or any other event affecting any term of a Guaranteed Obligation; or</w:t>
      </w:r>
    </w:p>
    <w:p>
      <w:pPr>
        <w:spacing w:after="0" w:line="200" w:lineRule="exact"/>
        <w:rPr>
          <w:rFonts w:ascii="Arial" w:cs="Arial" w:eastAsia="Arial" w:hAnsi="Arial"/>
          <w:sz w:val="19"/>
          <w:szCs w:val="19"/>
          <w:color w:val="auto"/>
        </w:rPr>
      </w:pPr>
    </w:p>
    <w:p>
      <w:pPr>
        <w:ind w:firstLine="1304"/>
        <w:spacing w:after="0" w:line="263" w:lineRule="auto"/>
        <w:tabs>
          <w:tab w:leader="none" w:pos="1891"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any Guarantor or the Borrower.</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Each Guarantee shall continue to be effective or be reinstated, as the case may be, if at any time any payment of any of the Guaranteed Obligations is rescinded or must otherwise be returned by the Administrative Agent, any L/C Issuer or any Lender upon the insolvency, bankruptcy or reorganization of the Borrower or otherwise, all as though such payment had not been made.</w:t>
      </w:r>
    </w:p>
    <w:p>
      <w:pPr>
        <w:spacing w:after="0" w:line="7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16.04</w:t>
      </w:r>
      <w:r>
        <w:rPr>
          <w:sz w:val="20"/>
          <w:szCs w:val="20"/>
          <w:color w:val="auto"/>
        </w:rPr>
        <w:tab/>
      </w:r>
      <w:r>
        <w:rPr>
          <w:rFonts w:ascii="Arial" w:cs="Arial" w:eastAsia="Arial" w:hAnsi="Arial"/>
          <w:sz w:val="19"/>
          <w:szCs w:val="19"/>
          <w:i w:val="1"/>
          <w:iCs w:val="1"/>
          <w:color w:val="auto"/>
        </w:rPr>
        <w:t>Waivers</w:t>
      </w:r>
      <w:r>
        <w:rPr>
          <w:rFonts w:ascii="Arial" w:cs="Arial" w:eastAsia="Arial" w:hAnsi="Arial"/>
          <w:sz w:val="19"/>
          <w:szCs w:val="19"/>
          <w:color w:val="auto"/>
        </w:rPr>
        <w:t>.</w:t>
      </w:r>
    </w:p>
    <w:p>
      <w:pPr>
        <w:spacing w:after="0" w:line="172" w:lineRule="exact"/>
        <w:rPr>
          <w:sz w:val="20"/>
          <w:szCs w:val="20"/>
          <w:color w:val="auto"/>
        </w:rPr>
      </w:pPr>
    </w:p>
    <w:p>
      <w:pPr>
        <w:jc w:val="both"/>
        <w:ind w:firstLine="1304"/>
        <w:spacing w:after="0" w:line="271" w:lineRule="auto"/>
        <w:tabs>
          <w:tab w:leader="none" w:pos="1768" w:val="left"/>
        </w:tabs>
        <w:numPr>
          <w:ilvl w:val="0"/>
          <w:numId w:val="269"/>
        </w:numPr>
        <w:rPr>
          <w:rFonts w:ascii="Arial" w:cs="Arial" w:eastAsia="Arial" w:hAnsi="Arial"/>
          <w:sz w:val="21"/>
          <w:szCs w:val="21"/>
          <w:color w:val="auto"/>
        </w:rPr>
      </w:pPr>
      <w:r>
        <w:rPr>
          <w:rFonts w:ascii="Arial" w:cs="Arial" w:eastAsia="Arial" w:hAnsi="Arial"/>
          <w:sz w:val="21"/>
          <w:szCs w:val="21"/>
          <w:color w:val="auto"/>
        </w:rPr>
        <w:t xml:space="preserve">Upon becoming a Guarantor pursuant to </w:t>
      </w:r>
      <w:r>
        <w:rPr>
          <w:rFonts w:ascii="Arial" w:cs="Arial" w:eastAsia="Arial" w:hAnsi="Arial"/>
          <w:sz w:val="21"/>
          <w:szCs w:val="21"/>
          <w:u w:val="single" w:color="auto"/>
          <w:color w:val="auto"/>
        </w:rPr>
        <w:t>Section 16.01,</w:t>
      </w:r>
      <w:r>
        <w:rPr>
          <w:rFonts w:ascii="Arial" w:cs="Arial" w:eastAsia="Arial" w:hAnsi="Arial"/>
          <w:sz w:val="21"/>
          <w:szCs w:val="21"/>
          <w:color w:val="auto"/>
        </w:rPr>
        <w:t xml:space="preserve"> each Guarantor waives promptness, diligence, notice of acceptance and any other notice with respect to any of the Guaranteed Obligations and its Guarantee and any requirement that the Administrative Agent, any Issuing Lender or any Lender protect, secure, perfect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323" w:name="page324"/>
    <w:bookmarkEnd w:id="323"/>
    <w:p>
      <w:pPr>
        <w:spacing w:after="0" w:line="263" w:lineRule="auto"/>
        <w:rPr>
          <w:sz w:val="20"/>
          <w:szCs w:val="20"/>
          <w:color w:val="auto"/>
        </w:rPr>
      </w:pPr>
      <w:r>
        <w:rPr>
          <w:rFonts w:ascii="Arial" w:cs="Arial" w:eastAsia="Arial" w:hAnsi="Arial"/>
          <w:sz w:val="22"/>
          <w:szCs w:val="22"/>
          <w:color w:val="auto"/>
        </w:rPr>
        <w:t>insure any security interest or lien or any property subject thereto or exhaust any right or take any action against the Borrower or any other Person or any collateral.</w:t>
      </w:r>
    </w:p>
    <w:p>
      <w:pPr>
        <w:spacing w:after="0" w:line="121" w:lineRule="exact"/>
        <w:rPr>
          <w:sz w:val="20"/>
          <w:szCs w:val="20"/>
          <w:color w:val="auto"/>
        </w:rPr>
      </w:pPr>
    </w:p>
    <w:p>
      <w:pPr>
        <w:jc w:val="both"/>
        <w:ind w:firstLine="1304"/>
        <w:spacing w:after="0" w:line="256" w:lineRule="auto"/>
        <w:tabs>
          <w:tab w:leader="none" w:pos="185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 xml:space="preserve">Upon becoming a Guarantor pursuant to </w:t>
      </w:r>
      <w:r>
        <w:rPr>
          <w:rFonts w:ascii="Arial" w:cs="Arial" w:eastAsia="Arial" w:hAnsi="Arial"/>
          <w:sz w:val="21"/>
          <w:szCs w:val="21"/>
          <w:u w:val="single" w:color="auto"/>
          <w:color w:val="auto"/>
        </w:rPr>
        <w:t>Section 16.01,</w:t>
      </w:r>
      <w:r>
        <w:rPr>
          <w:rFonts w:ascii="Arial" w:cs="Arial" w:eastAsia="Arial" w:hAnsi="Arial"/>
          <w:sz w:val="21"/>
          <w:szCs w:val="21"/>
          <w:color w:val="auto"/>
        </w:rPr>
        <w:t xml:space="preserve"> each Guarantor irrevocably waives any claims or other rights that it may now or hereafter acquire against the Borrower that arise from the existence, payment, performance or enforcement of the obligations of any Guarantor under its Guarantee, including, without limitation, any right of subrogation, reimbursement, exoneration, contribution or indemnification and any right to participate in any claim or remedy of the Administrative Agent, any Issuing Lender or any Lender against the Borrower or any collateral, whether or not such claim, remedy or right arises in equity or under contract, statute or common law, including, without limitation, the right to take or receive from the Borrower, directly or indirectly, in cash or other property or by set-off or in any other manner, payment or security on account of such claim, remedy or right. If any amount shall be paid to any Guarantor in violation of the preceding sentence at any time prior to the later of the payment in full of the Guaranteed Obligations and all other amounts payable under such Guarantor’s Guarantee and the Facility Termination Date, such amount shall be held in trust for the benefit of the Administrative Agent, any Issuing Lender and the Lenders and shall forthwith be paid to the Administrative Agent to be credited and applied to the Guaranteed Obligations and all other amounts payable under such Guarantor’s Guarantee, whether matured or unmatured, in accordance with the terms of this Agreement and such Guarantor’s Guarantee, or to be held as collateral for any Guaranteed Obligations or other amounts payable under the Guarantee thereafter arising. Upon becoming a Guarantor pursuant to </w:t>
      </w:r>
      <w:r>
        <w:rPr>
          <w:rFonts w:ascii="Arial" w:cs="Arial" w:eastAsia="Arial" w:hAnsi="Arial"/>
          <w:sz w:val="21"/>
          <w:szCs w:val="21"/>
          <w:u w:val="single" w:color="auto"/>
          <w:color w:val="auto"/>
        </w:rPr>
        <w:t>Section 16.01,</w:t>
      </w:r>
      <w:r>
        <w:rPr>
          <w:rFonts w:ascii="Arial" w:cs="Arial" w:eastAsia="Arial" w:hAnsi="Arial"/>
          <w:sz w:val="21"/>
          <w:szCs w:val="21"/>
          <w:color w:val="auto"/>
        </w:rPr>
        <w:t xml:space="preserve"> each Guarantor acknowledges that it will receive direct and indirect benefits from the financing arrangements contemplated by this Agreement and its Guarantee and that the waiver set forth in this </w:t>
      </w:r>
      <w:r>
        <w:rPr>
          <w:rFonts w:ascii="Arial" w:cs="Arial" w:eastAsia="Arial" w:hAnsi="Arial"/>
          <w:sz w:val="21"/>
          <w:szCs w:val="21"/>
          <w:u w:val="single" w:color="auto"/>
          <w:color w:val="auto"/>
        </w:rPr>
        <w:t>Section 16.04(b)</w:t>
      </w:r>
      <w:r>
        <w:rPr>
          <w:rFonts w:ascii="Arial" w:cs="Arial" w:eastAsia="Arial" w:hAnsi="Arial"/>
          <w:sz w:val="21"/>
          <w:szCs w:val="21"/>
          <w:color w:val="auto"/>
        </w:rPr>
        <w:t xml:space="preserve"> is knowingly made in contemplation of such benefits.</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Section 16.05 </w:t>
      </w:r>
      <w:r>
        <w:rPr>
          <w:rFonts w:ascii="Arial" w:cs="Arial" w:eastAsia="Arial" w:hAnsi="Arial"/>
          <w:sz w:val="21"/>
          <w:szCs w:val="21"/>
          <w:i w:val="1"/>
          <w:iCs w:val="1"/>
          <w:color w:val="auto"/>
        </w:rPr>
        <w:t>Continuing Guaranty</w:t>
      </w:r>
      <w:r>
        <w:rPr>
          <w:rFonts w:ascii="Arial" w:cs="Arial" w:eastAsia="Arial" w:hAnsi="Arial"/>
          <w:sz w:val="21"/>
          <w:szCs w:val="21"/>
          <w:color w:val="auto"/>
        </w:rPr>
        <w:t>. Each Guarantee is a continuing guaranty and shall (i) remain in full force and</w:t>
      </w:r>
      <w:r>
        <w:rPr>
          <w:rFonts w:ascii="Arial" w:cs="Arial" w:eastAsia="Arial" w:hAnsi="Arial"/>
          <w:sz w:val="21"/>
          <w:szCs w:val="21"/>
          <w:b w:val="1"/>
          <w:bCs w:val="1"/>
          <w:color w:val="auto"/>
        </w:rPr>
        <w:t xml:space="preserve"> </w:t>
      </w:r>
      <w:r>
        <w:rPr>
          <w:rFonts w:ascii="Arial" w:cs="Arial" w:eastAsia="Arial" w:hAnsi="Arial"/>
          <w:sz w:val="21"/>
          <w:szCs w:val="21"/>
          <w:color w:val="auto"/>
        </w:rPr>
        <w:t>effect until payment in full of the Guaranteed Obligations (including any and all Guaranteed Obligations which remain outstanding after the Facility Termination Date) and all other amounts payable under its Guarantee, (ii) be binding upon each Guarantor and its successors and assigns, and (iii) inure to the benefit of and be enforceable by the Lenders, the Issuing Lenders, the Administrative Agent and their respective successors, transferees and assigns.</w:t>
      </w:r>
    </w:p>
    <w:p>
      <w:pPr>
        <w:spacing w:after="0" w:line="11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16.06</w:t>
      </w:r>
      <w:r>
        <w:rPr>
          <w:sz w:val="20"/>
          <w:szCs w:val="20"/>
          <w:color w:val="auto"/>
        </w:rPr>
        <w:tab/>
      </w:r>
      <w:r>
        <w:rPr>
          <w:rFonts w:ascii="Arial" w:cs="Arial" w:eastAsia="Arial" w:hAnsi="Arial"/>
          <w:sz w:val="19"/>
          <w:szCs w:val="19"/>
          <w:i w:val="1"/>
          <w:iCs w:val="1"/>
          <w:color w:val="auto"/>
        </w:rPr>
        <w:t>Release of Guarantors</w:t>
      </w:r>
      <w:r>
        <w:rPr>
          <w:rFonts w:ascii="Arial" w:cs="Arial" w:eastAsia="Arial" w:hAnsi="Arial"/>
          <w:sz w:val="19"/>
          <w:szCs w:val="19"/>
          <w:color w:val="auto"/>
        </w:rPr>
        <w:t>.</w:t>
      </w:r>
    </w:p>
    <w:p>
      <w:pPr>
        <w:spacing w:after="0" w:line="172" w:lineRule="exact"/>
        <w:rPr>
          <w:sz w:val="20"/>
          <w:szCs w:val="20"/>
          <w:color w:val="auto"/>
        </w:rPr>
      </w:pPr>
    </w:p>
    <w:p>
      <w:pPr>
        <w:jc w:val="both"/>
        <w:ind w:firstLine="656"/>
        <w:spacing w:after="0" w:line="297" w:lineRule="auto"/>
        <w:tabs>
          <w:tab w:leader="none" w:pos="1109"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(i) in compliance with the terms and provisions of this Agreement, any Guarantor ceases to constitute a Subsidiary of the Borrower or (ii) after giving effect to the release of any Guarantor, there is no Default under this Agreement, then such Guarantor shall, in the discretion of the Borrower upon notice in writing to the Administrative Agent, automatically be released from its obligations under this Agreement or any other Loan Document, including the Guarantee set forth in this Article 16, and thereafter such Person shall no longer constitute a Guarantor under this Agreement or any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324" w:name="page325"/>
    <w:bookmarkEnd w:id="324"/>
    <w:p>
      <w:pPr>
        <w:jc w:val="both"/>
        <w:ind w:left="-20" w:firstLine="656"/>
        <w:spacing w:after="0" w:line="250" w:lineRule="auto"/>
        <w:tabs>
          <w:tab w:leader="none" w:pos="1114"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At the request of the Borrower, the Administrative Agent shall, at the Borrower’s expense, execute such documents as are reasonably necessary to acknowledge any such release in accordance with this </w:t>
      </w:r>
      <w:r>
        <w:rPr>
          <w:rFonts w:ascii="Arial" w:cs="Arial" w:eastAsia="Arial" w:hAnsi="Arial"/>
          <w:sz w:val="22"/>
          <w:szCs w:val="22"/>
          <w:u w:val="single" w:color="auto"/>
          <w:color w:val="auto"/>
        </w:rPr>
        <w:t>Section 16.06</w:t>
      </w:r>
      <w:r>
        <w:rPr>
          <w:rFonts w:ascii="Arial" w:cs="Arial" w:eastAsia="Arial" w:hAnsi="Arial"/>
          <w:sz w:val="22"/>
          <w:szCs w:val="22"/>
          <w:color w:val="auto"/>
        </w:rPr>
        <w:t>, so long as the Borrower shall have provided the Administrative Agent a certificate, signed by an Authorized Officer of the Borrower, certifying as to satisfaction of one of the requirements set forth in clause (a) above.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20"/>
          </w:cols>
          <w:pgMar w:left="340" w:top="1428" w:right="339" w:bottom="1440" w:gutter="0" w:footer="0" w:header="0"/>
        </w:sectPr>
      </w:pPr>
    </w:p>
    <w:bookmarkStart w:id="325" w:name="page326"/>
    <w:bookmarkEnd w:id="325"/>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GXO LOGISTICS, INC.</w:t>
      </w:r>
    </w:p>
    <w:p>
      <w:pPr>
        <w:spacing w:after="0" w:line="38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24130</wp:posOffset>
            </wp:positionV>
            <wp:extent cx="39604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51" w:lineRule="exact"/>
        <w:rPr>
          <w:sz w:val="20"/>
          <w:szCs w:val="20"/>
          <w:color w:val="auto"/>
        </w:rPr>
      </w:pPr>
    </w:p>
    <w:p>
      <w:pPr>
        <w:ind w:left="4360"/>
        <w:spacing w:after="0"/>
        <w:tabs>
          <w:tab w:leader="none" w:pos="5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Baris Oran</w:t>
      </w:r>
    </w:p>
    <w:p>
      <w:pPr>
        <w:spacing w:after="0" w:line="58" w:lineRule="exact"/>
        <w:rPr>
          <w:sz w:val="20"/>
          <w:szCs w:val="20"/>
          <w:color w:val="auto"/>
        </w:rPr>
      </w:pPr>
    </w:p>
    <w:p>
      <w:pPr>
        <w:ind w:left="436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9479"/>
          </w:cols>
          <w:pgMar w:left="980" w:top="1428" w:right="1440" w:bottom="1440" w:gutter="0" w:footer="0" w:header="0"/>
        </w:sectPr>
      </w:pPr>
    </w:p>
    <w:bookmarkStart w:id="326" w:name="page327"/>
    <w:bookmarkEnd w:id="326"/>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CITIBANK, N.A.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Administrative Agent,</w:t>
      </w:r>
    </w:p>
    <w:p>
      <w:pPr>
        <w:spacing w:after="0" w:line="5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 Lender and an Issuing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Rivera</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300" w:type="dxa"/>
            <w:vAlign w:val="bottom"/>
          </w:tcPr>
          <w:p>
            <w:pPr>
              <w:ind w:left="20"/>
              <w:spacing w:after="0"/>
              <w:rPr>
                <w:sz w:val="20"/>
                <w:szCs w:val="20"/>
                <w:color w:val="auto"/>
              </w:rPr>
            </w:pPr>
            <w:r>
              <w:rPr>
                <w:rFonts w:ascii="Arial" w:cs="Arial" w:eastAsia="Arial" w:hAnsi="Arial"/>
                <w:sz w:val="22"/>
                <w:szCs w:val="22"/>
                <w:color w:val="auto"/>
              </w:rPr>
              <w:t>Richard Rivera</w:t>
            </w:r>
          </w:p>
        </w:tc>
      </w:tr>
      <w:tr>
        <w:trPr>
          <w:trHeight w:val="311"/>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3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27" w:name="page328"/>
    <w:bookmarkEnd w:id="327"/>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BARCLAYS BANK PLC,</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 and an Issuing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Craig Malloy</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Craig Malloy</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28" w:name="page329"/>
    <w:bookmarkEnd w:id="328"/>
    <w:p>
      <w:pPr>
        <w:spacing w:after="0" w:line="36" w:lineRule="exact"/>
        <w:rPr>
          <w:sz w:val="20"/>
          <w:szCs w:val="20"/>
          <w:color w:val="auto"/>
        </w:rPr>
      </w:pPr>
    </w:p>
    <w:p>
      <w:pPr>
        <w:ind w:left="3920" w:right="20"/>
        <w:spacing w:after="0" w:line="269" w:lineRule="auto"/>
        <w:rPr>
          <w:sz w:val="20"/>
          <w:szCs w:val="20"/>
          <w:color w:val="auto"/>
        </w:rPr>
      </w:pPr>
      <w:r>
        <w:rPr>
          <w:rFonts w:ascii="Arial" w:cs="Arial" w:eastAsia="Arial" w:hAnsi="Arial"/>
          <w:sz w:val="22"/>
          <w:szCs w:val="22"/>
          <w:b w:val="1"/>
          <w:bCs w:val="1"/>
          <w:color w:val="auto"/>
        </w:rPr>
        <w:t>CRÉDIT AGRICOLE CORPORATE AND INVESTMENT BANK,</w:t>
      </w:r>
    </w:p>
    <w:p>
      <w:pPr>
        <w:spacing w:after="0" w:line="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 and an Issuing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Gordon Yip</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Gordon Yip</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59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Paul Arens</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Paul Arens</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29" w:name="page330"/>
    <w:bookmarkEnd w:id="329"/>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Valenta</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Kevin Valenta</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0" w:name="page331"/>
    <w:bookmarkEnd w:id="330"/>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HSBC Bank USA, N.A.,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Patrick D. Mueller</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Patrick D. Mueller</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1" w:name="page332"/>
    <w:bookmarkEnd w:id="331"/>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The Bank of Nova Scotia,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Frans Braniotis</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Frans Braniotis</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2" w:name="page333"/>
    <w:bookmarkEnd w:id="332"/>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MORGAN STANLEY BANK, N.A.,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King</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Michael King</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3" w:name="page334"/>
    <w:bookmarkEnd w:id="333"/>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BANK OF AMERICA, N.A.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Stephen J. D’Elia</w:t>
            </w:r>
          </w:p>
        </w:tc>
      </w:tr>
      <w:tr>
        <w:trPr>
          <w:trHeight w:val="29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Stephen J. D’Elia</w:t>
            </w:r>
          </w:p>
        </w:tc>
      </w:tr>
      <w:tr>
        <w:trPr>
          <w:trHeight w:val="310"/>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4" w:name="page335"/>
    <w:bookmarkEnd w:id="334"/>
    <w:p>
      <w:pPr>
        <w:spacing w:after="0" w:line="36"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DEUTSCHE BANK AG NEW YORK BRANCH,</w:t>
      </w:r>
    </w:p>
    <w:p>
      <w:pPr>
        <w:spacing w:after="0" w:line="64" w:lineRule="exact"/>
        <w:rPr>
          <w:sz w:val="20"/>
          <w:szCs w:val="20"/>
          <w:color w:val="auto"/>
        </w:rPr>
      </w:pPr>
    </w:p>
    <w:tbl>
      <w:tblPr>
        <w:tblLayout w:type="fixed"/>
        <w:tblInd w:w="3880" w:type="dxa"/>
        <w:tblCellMar>
          <w:top w:w="0" w:type="dxa"/>
          <w:left w:w="0" w:type="dxa"/>
          <w:bottom w:w="0" w:type="dxa"/>
          <w:right w:w="0" w:type="dxa"/>
        </w:tblCellMar>
      </w:tblPr>
      <w:tr>
        <w:trPr>
          <w:trHeight w:val="274"/>
        </w:trPr>
        <w:tc>
          <w:tcPr>
            <w:tcW w:w="1000" w:type="dxa"/>
            <w:vAlign w:val="bottom"/>
            <w:gridSpan w:val="2"/>
          </w:tcPr>
          <w:p>
            <w:pPr>
              <w:spacing w:after="0"/>
              <w:rPr>
                <w:sz w:val="20"/>
                <w:szCs w:val="20"/>
                <w:color w:val="auto"/>
              </w:rPr>
            </w:pPr>
            <w:r>
              <w:rPr>
                <w:rFonts w:ascii="Arial" w:cs="Arial" w:eastAsia="Arial" w:hAnsi="Arial"/>
                <w:sz w:val="22"/>
                <w:szCs w:val="22"/>
                <w:color w:val="auto"/>
                <w:w w:val="84"/>
              </w:rPr>
              <w:t>as a Lender</w:t>
            </w:r>
          </w:p>
        </w:tc>
        <w:tc>
          <w:tcPr>
            <w:tcW w:w="1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9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Ming K. Chu</w:t>
            </w:r>
          </w:p>
        </w:tc>
        <w:tc>
          <w:tcPr>
            <w:tcW w:w="6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293"/>
        </w:trPr>
        <w:tc>
          <w:tcPr>
            <w:tcW w:w="1000" w:type="dxa"/>
            <w:vAlign w:val="bottom"/>
            <w:gridSpan w:val="2"/>
          </w:tcPr>
          <w:p>
            <w:pPr>
              <w:spacing w:after="0"/>
              <w:rPr>
                <w:sz w:val="20"/>
                <w:szCs w:val="20"/>
                <w:color w:val="auto"/>
              </w:rPr>
            </w:pPr>
            <w:r>
              <w:rPr>
                <w:rFonts w:ascii="Arial" w:cs="Arial" w:eastAsia="Arial" w:hAnsi="Arial"/>
                <w:sz w:val="22"/>
                <w:szCs w:val="22"/>
                <w:color w:val="auto"/>
              </w:rPr>
              <w:t>Name:</w:t>
            </w:r>
          </w:p>
        </w:tc>
        <w:tc>
          <w:tcPr>
            <w:tcW w:w="1860" w:type="dxa"/>
            <w:vAlign w:val="bottom"/>
          </w:tcPr>
          <w:p>
            <w:pPr>
              <w:spacing w:after="0"/>
              <w:rPr>
                <w:sz w:val="20"/>
                <w:szCs w:val="20"/>
                <w:color w:val="auto"/>
              </w:rPr>
            </w:pPr>
            <w:r>
              <w:rPr>
                <w:rFonts w:ascii="Arial" w:cs="Arial" w:eastAsia="Arial" w:hAnsi="Arial"/>
                <w:sz w:val="22"/>
                <w:szCs w:val="22"/>
                <w:color w:val="auto"/>
              </w:rPr>
              <w:t>Ming K. Chu</w:t>
            </w:r>
          </w:p>
        </w:tc>
        <w:tc>
          <w:tcPr>
            <w:tcW w:w="66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22"/>
                <w:szCs w:val="22"/>
                <w:color w:val="auto"/>
              </w:rPr>
              <w:t>ming.k.chu@db.com</w:t>
            </w:r>
          </w:p>
        </w:tc>
      </w:tr>
      <w:tr>
        <w:trPr>
          <w:trHeight w:val="310"/>
        </w:trPr>
        <w:tc>
          <w:tcPr>
            <w:tcW w:w="100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60" w:type="dxa"/>
            <w:vAlign w:val="bottom"/>
          </w:tcPr>
          <w:p>
            <w:pPr>
              <w:spacing w:after="0"/>
              <w:rPr>
                <w:sz w:val="20"/>
                <w:szCs w:val="20"/>
                <w:color w:val="auto"/>
              </w:rPr>
            </w:pPr>
            <w:r>
              <w:rPr>
                <w:rFonts w:ascii="Arial" w:cs="Arial" w:eastAsia="Arial" w:hAnsi="Arial"/>
                <w:sz w:val="22"/>
                <w:szCs w:val="22"/>
                <w:color w:val="auto"/>
              </w:rPr>
              <w:t>Director</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2720" w:type="dxa"/>
            <w:vAlign w:val="bottom"/>
          </w:tcPr>
          <w:p>
            <w:pPr>
              <w:ind w:left="60"/>
              <w:spacing w:after="0"/>
              <w:rPr>
                <w:sz w:val="20"/>
                <w:szCs w:val="20"/>
                <w:color w:val="auto"/>
              </w:rPr>
            </w:pPr>
            <w:r>
              <w:rPr>
                <w:rFonts w:ascii="Arial" w:cs="Arial" w:eastAsia="Arial" w:hAnsi="Arial"/>
                <w:sz w:val="22"/>
                <w:szCs w:val="22"/>
                <w:color w:val="auto"/>
              </w:rPr>
              <w:t>1-212-250-5451</w:t>
            </w:r>
          </w:p>
        </w:tc>
      </w:tr>
      <w:tr>
        <w:trPr>
          <w:trHeight w:val="59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Marko Lukin</w:t>
            </w:r>
          </w:p>
        </w:tc>
        <w:tc>
          <w:tcPr>
            <w:tcW w:w="6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294"/>
        </w:trPr>
        <w:tc>
          <w:tcPr>
            <w:tcW w:w="1000" w:type="dxa"/>
            <w:vAlign w:val="bottom"/>
            <w:gridSpan w:val="2"/>
          </w:tcPr>
          <w:p>
            <w:pPr>
              <w:spacing w:after="0"/>
              <w:rPr>
                <w:sz w:val="20"/>
                <w:szCs w:val="20"/>
                <w:color w:val="auto"/>
              </w:rPr>
            </w:pPr>
            <w:r>
              <w:rPr>
                <w:rFonts w:ascii="Arial" w:cs="Arial" w:eastAsia="Arial" w:hAnsi="Arial"/>
                <w:sz w:val="22"/>
                <w:szCs w:val="22"/>
                <w:color w:val="auto"/>
              </w:rPr>
              <w:t>Name:</w:t>
            </w:r>
          </w:p>
        </w:tc>
        <w:tc>
          <w:tcPr>
            <w:tcW w:w="1860" w:type="dxa"/>
            <w:vAlign w:val="bottom"/>
          </w:tcPr>
          <w:p>
            <w:pPr>
              <w:spacing w:after="0"/>
              <w:rPr>
                <w:sz w:val="20"/>
                <w:szCs w:val="20"/>
                <w:color w:val="auto"/>
              </w:rPr>
            </w:pPr>
            <w:r>
              <w:rPr>
                <w:rFonts w:ascii="Arial" w:cs="Arial" w:eastAsia="Arial" w:hAnsi="Arial"/>
                <w:sz w:val="22"/>
                <w:szCs w:val="22"/>
                <w:color w:val="auto"/>
              </w:rPr>
              <w:t>Marko Lukin</w:t>
            </w:r>
          </w:p>
        </w:tc>
        <w:tc>
          <w:tcPr>
            <w:tcW w:w="66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22"/>
                <w:szCs w:val="22"/>
                <w:color w:val="auto"/>
              </w:rPr>
              <w:t>marko.lukin@db.com</w:t>
            </w:r>
          </w:p>
        </w:tc>
      </w:tr>
      <w:tr>
        <w:trPr>
          <w:trHeight w:val="310"/>
        </w:trPr>
        <w:tc>
          <w:tcPr>
            <w:tcW w:w="100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60" w:type="dxa"/>
            <w:vAlign w:val="bottom"/>
          </w:tcPr>
          <w:p>
            <w:pPr>
              <w:spacing w:after="0"/>
              <w:rPr>
                <w:sz w:val="20"/>
                <w:szCs w:val="20"/>
                <w:color w:val="auto"/>
              </w:rPr>
            </w:pPr>
            <w:r>
              <w:rPr>
                <w:rFonts w:ascii="Arial" w:cs="Arial" w:eastAsia="Arial" w:hAnsi="Arial"/>
                <w:sz w:val="22"/>
                <w:szCs w:val="22"/>
                <w:color w:val="auto"/>
              </w:rPr>
              <w:t>Vice President</w:t>
            </w:r>
          </w:p>
        </w:tc>
        <w:tc>
          <w:tcPr>
            <w:tcW w:w="660" w:type="dxa"/>
            <w:vAlign w:val="bottom"/>
          </w:tcPr>
          <w:p>
            <w:pPr>
              <w:jc w:val="right"/>
              <w:spacing w:after="0"/>
              <w:rPr>
                <w:sz w:val="20"/>
                <w:szCs w:val="20"/>
                <w:color w:val="auto"/>
              </w:rPr>
            </w:pPr>
            <w:r>
              <w:rPr>
                <w:rFonts w:ascii="Arial" w:cs="Arial" w:eastAsia="Arial" w:hAnsi="Arial"/>
                <w:sz w:val="22"/>
                <w:szCs w:val="22"/>
                <w:color w:val="auto"/>
              </w:rPr>
              <w:t>+</w:t>
            </w:r>
          </w:p>
        </w:tc>
        <w:tc>
          <w:tcPr>
            <w:tcW w:w="2720" w:type="dxa"/>
            <w:vAlign w:val="bottom"/>
          </w:tcPr>
          <w:p>
            <w:pPr>
              <w:ind w:left="60"/>
              <w:spacing w:after="0"/>
              <w:rPr>
                <w:sz w:val="20"/>
                <w:szCs w:val="20"/>
                <w:color w:val="auto"/>
              </w:rPr>
            </w:pPr>
            <w:r>
              <w:rPr>
                <w:rFonts w:ascii="Arial" w:cs="Arial" w:eastAsia="Arial" w:hAnsi="Arial"/>
                <w:sz w:val="22"/>
                <w:szCs w:val="22"/>
                <w:color w:val="auto"/>
              </w:rPr>
              <w:t>1-212-250-7283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5" w:name="page336"/>
    <w:bookmarkEnd w:id="335"/>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Capital One, National Association,</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Danielle Katz</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Danielle Katz</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6" w:name="page337"/>
    <w:bookmarkEnd w:id="336"/>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BNP Paribas, as a Lender</w:t>
      </w:r>
    </w:p>
    <w:p>
      <w:pPr>
        <w:spacing w:after="0" w:line="334"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Tony Baratta</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Tony Baratta</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Managing Director</w:t>
            </w:r>
          </w:p>
        </w:tc>
      </w:tr>
      <w:tr>
        <w:trPr>
          <w:trHeight w:val="59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Hoffman</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Michael Hoffman</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7" w:name="page338"/>
    <w:bookmarkEnd w:id="337"/>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GOLDMAN SACHS BANK USA,</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Ryan Durkin</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Ryan Durkin</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8" w:name="page339"/>
    <w:bookmarkEnd w:id="338"/>
    <w:p>
      <w:pPr>
        <w:spacing w:after="0" w:line="36"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Truist Bank,</w:t>
      </w:r>
    </w:p>
    <w:p>
      <w:pPr>
        <w:spacing w:after="0" w:line="6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328" w:lineRule="exact"/>
        <w:rPr>
          <w:sz w:val="20"/>
          <w:szCs w:val="20"/>
          <w:color w:val="auto"/>
        </w:rPr>
      </w:pPr>
    </w:p>
    <w:tbl>
      <w:tblPr>
        <w:tblLayout w:type="fixed"/>
        <w:tblInd w:w="39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Hursey</w:t>
            </w:r>
          </w:p>
        </w:tc>
      </w:tr>
      <w:tr>
        <w:trPr>
          <w:trHeight w:val="293"/>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Chris Hursey</w:t>
            </w:r>
          </w:p>
        </w:tc>
      </w:tr>
      <w:tr>
        <w:trPr>
          <w:trHeight w:val="311"/>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[Signature Page to Credit Agreement]</w:t>
      </w:r>
    </w:p>
    <w:p>
      <w:pPr>
        <w:sectPr>
          <w:pgSz w:w="11900" w:h="16838" w:orient="portrait"/>
          <w:cols w:equalWidth="0" w:num="1">
            <w:col w:w="10120"/>
          </w:cols>
          <w:pgMar w:left="1440" w:top="1440" w:right="339" w:bottom="1440" w:gutter="0" w:footer="0" w:header="0"/>
        </w:sectPr>
      </w:pPr>
    </w:p>
    <w:bookmarkStart w:id="339" w:name="page340"/>
    <w:bookmarkEnd w:id="339"/>
    <w:p>
      <w:pPr>
        <w:jc w:val="center"/>
        <w:ind w:right="20"/>
        <w:spacing w:after="0"/>
        <w:rPr>
          <w:sz w:val="20"/>
          <w:szCs w:val="20"/>
          <w:color w:val="auto"/>
        </w:rPr>
      </w:pPr>
      <w:r>
        <w:rPr>
          <w:rFonts w:ascii="Arial" w:cs="Arial" w:eastAsia="Arial" w:hAnsi="Arial"/>
          <w:sz w:val="22"/>
          <w:szCs w:val="22"/>
          <w:b w:val="1"/>
          <w:bCs w:val="1"/>
          <w:color w:val="auto"/>
        </w:rPr>
        <w:t>PRICING SCHEDULE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 REVOLVING CREDIT AGREEMENT</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APPLICABLE MARGIN</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220" w:type="dxa"/>
            <w:vAlign w:val="bottom"/>
            <w:tcBorders>
              <w:top w:val="single" w:sz="8" w:color="auto"/>
              <w:left w:val="single" w:sz="8" w:color="auto"/>
              <w:right w:val="single" w:sz="8" w:color="auto"/>
            </w:tcBorders>
          </w:tcPr>
          <w:p>
            <w:pPr>
              <w:spacing w:after="0"/>
              <w:rPr>
                <w:sz w:val="24"/>
                <w:szCs w:val="24"/>
                <w:color w:val="auto"/>
              </w:rPr>
            </w:pPr>
          </w:p>
        </w:tc>
        <w:tc>
          <w:tcPr>
            <w:tcW w:w="1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Pricing Level I</w:t>
            </w:r>
          </w:p>
        </w:tc>
        <w:tc>
          <w:tcPr>
            <w:tcW w:w="18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Pricing Level II</w:t>
            </w:r>
          </w:p>
        </w:tc>
        <w:tc>
          <w:tcPr>
            <w:tcW w:w="1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5"/>
              </w:rPr>
              <w:t>Pricing Level III</w:t>
            </w:r>
          </w:p>
        </w:tc>
        <w:tc>
          <w:tcPr>
            <w:tcW w:w="18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Pricing Level IV</w:t>
            </w:r>
          </w:p>
        </w:tc>
        <w:tc>
          <w:tcPr>
            <w:tcW w:w="18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Pricing Level V</w:t>
            </w:r>
          </w:p>
        </w:tc>
      </w:tr>
      <w:tr>
        <w:trPr>
          <w:trHeight w:val="298"/>
        </w:trPr>
        <w:tc>
          <w:tcPr>
            <w:tcW w:w="2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Public Debt Rating</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 BBB+ and BBB+</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BBB and BBB</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BBB− and BBB−</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BB+ and BB+</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 BB and BB</w:t>
            </w:r>
          </w:p>
        </w:tc>
      </w:tr>
      <w:tr>
        <w:trPr>
          <w:trHeight w:val="304"/>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Applicable Margin</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1.250%</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1.750%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2.000%</w:t>
            </w:r>
          </w:p>
        </w:tc>
      </w:tr>
      <w:tr>
        <w:trPr>
          <w:trHeight w:val="469"/>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20" w:type="dxa"/>
            <w:vAlign w:val="bottom"/>
            <w:gridSpan w:val="2"/>
          </w:tcPr>
          <w:p>
            <w:pPr>
              <w:ind w:left="560"/>
              <w:spacing w:after="0"/>
              <w:rPr>
                <w:sz w:val="20"/>
                <w:szCs w:val="20"/>
                <w:color w:val="auto"/>
              </w:rPr>
            </w:pPr>
            <w:r>
              <w:rPr>
                <w:rFonts w:ascii="Arial" w:cs="Arial" w:eastAsia="Arial" w:hAnsi="Arial"/>
                <w:sz w:val="22"/>
                <w:szCs w:val="22"/>
                <w:b w:val="1"/>
                <w:bCs w:val="1"/>
                <w:color w:val="auto"/>
              </w:rPr>
              <w:t>COMMITMENT FEE</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3"/>
        </w:trPr>
        <w:tc>
          <w:tcPr>
            <w:tcW w:w="2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77"/>
        </w:trPr>
        <w:tc>
          <w:tcPr>
            <w:tcW w:w="2220" w:type="dxa"/>
            <w:vAlign w:val="bottom"/>
            <w:tcBorders>
              <w:left w:val="single" w:sz="8" w:color="auto"/>
              <w:right w:val="single" w:sz="8" w:color="auto"/>
            </w:tcBorders>
          </w:tcPr>
          <w:p>
            <w:pPr>
              <w:spacing w:after="0"/>
              <w:rPr>
                <w:sz w:val="24"/>
                <w:szCs w:val="24"/>
                <w:color w:val="auto"/>
              </w:rPr>
            </w:pPr>
          </w:p>
        </w:tc>
        <w:tc>
          <w:tcPr>
            <w:tcW w:w="18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Pricing Level I</w:t>
            </w:r>
          </w:p>
        </w:tc>
        <w:tc>
          <w:tcPr>
            <w:tcW w:w="18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Pricing Level II</w:t>
            </w:r>
          </w:p>
        </w:tc>
        <w:tc>
          <w:tcPr>
            <w:tcW w:w="18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5"/>
              </w:rPr>
              <w:t>Pricing Level III</w:t>
            </w:r>
          </w:p>
        </w:tc>
        <w:tc>
          <w:tcPr>
            <w:tcW w:w="18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Pricing Level IV</w:t>
            </w:r>
          </w:p>
        </w:tc>
        <w:tc>
          <w:tcPr>
            <w:tcW w:w="18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2"/>
              </w:rPr>
              <w:t>Pricing Level V</w:t>
            </w:r>
          </w:p>
        </w:tc>
      </w:tr>
      <w:tr>
        <w:trPr>
          <w:trHeight w:val="298"/>
        </w:trPr>
        <w:tc>
          <w:tcPr>
            <w:tcW w:w="2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Public Debt Rating</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 BBB+ and BBB+</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BBB and BBB</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BBB− and BBB−</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BB+ and BB+</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 BB and BB</w:t>
            </w:r>
          </w:p>
        </w:tc>
      </w:tr>
      <w:tr>
        <w:trPr>
          <w:trHeight w:val="304"/>
        </w:trPr>
        <w:tc>
          <w:tcPr>
            <w:tcW w:w="2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Commitment Fee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0.125%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0.150%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0.175%</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0.225%</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0.275%</w:t>
            </w:r>
          </w:p>
        </w:tc>
      </w:tr>
    </w:tbl>
    <w:p>
      <w:pPr>
        <w:sectPr>
          <w:pgSz w:w="11900" w:h="16838" w:orient="portrait"/>
          <w:cols w:equalWidth="0" w:num="1">
            <w:col w:w="11260"/>
          </w:cols>
          <w:pgMar w:left="320" w:top="1422" w:right="319" w:bottom="1440" w:gutter="0" w:footer="0" w:header="0"/>
        </w:sectPr>
      </w:pPr>
    </w:p>
    <w:bookmarkStart w:id="340" w:name="page341"/>
    <w:bookmarkEnd w:id="340"/>
    <w:p>
      <w:pPr>
        <w:ind w:firstLine="648"/>
        <w:spacing w:after="0" w:line="287" w:lineRule="auto"/>
        <w:rPr>
          <w:sz w:val="20"/>
          <w:szCs w:val="20"/>
          <w:color w:val="auto"/>
        </w:rPr>
      </w:pPr>
      <w:r>
        <w:rPr>
          <w:rFonts w:ascii="Arial" w:cs="Arial" w:eastAsia="Arial" w:hAnsi="Arial"/>
          <w:sz w:val="19"/>
          <w:szCs w:val="19"/>
          <w:color w:val="auto"/>
        </w:rPr>
        <w:t>For the purpose of the foregoing charts, (a) if only one of S&amp;P and Fitch shall have in effect a Public Debt Rating, the Applicable Margin or Commitment Fee, as applicable, shall be determined by reference to the available Public Debt Rating; (b) if neither S&amp;P nor Fitch shall have in effect a Public Debt Rating, the Applicable Margin or Commitment Fee, as applicable, shall be set in accordance with Pricing Level V until such time as either S&amp;P or Fitch shall have in effect a Public Debt Rating; (c) if the Public Debt Ratings established by S&amp;P and Fitch shall fall within different levels, the Applicable Margin or Commitment Fee, as applicable, shall be based upon the higher of such Public Debt Ratings, except that in the event that the lower of such Public Debt Ratings is more than one level below the higher of such Public Debt Ratings, the Applicable Margin or Commitment Fee, as applicable, shall be based upon the level immediately below the higher of such Public Debt Ratings; (d) if any Public Debt Rating established by either S&amp;P or Fitch shall be changed, such change shall be effective as of the date on which such change is first announced publicly by the rating agency making such change; and (e) if either S&amp;P or Fitch shall change the basis on which Public Debt Ratings are established, each reference to the Public Debt Ratings announced by S&amp;P or Fitch, as the case may be, shall refer to the then equivalent rating by S&amp;P or Fitch, as the case may be.</w:t>
      </w:r>
    </w:p>
    <w:p>
      <w:pPr>
        <w:sectPr>
          <w:pgSz w:w="11900" w:h="16838" w:orient="portrait"/>
          <w:cols w:equalWidth="0" w:num="1">
            <w:col w:w="11220"/>
          </w:cols>
          <w:pgMar w:left="320" w:top="1428" w:right="359" w:bottom="1440" w:gutter="0" w:footer="0" w:header="0"/>
        </w:sectPr>
      </w:pPr>
    </w:p>
    <w:bookmarkStart w:id="341" w:name="page342"/>
    <w:bookmarkEnd w:id="341"/>
    <w:p>
      <w:pPr>
        <w:jc w:val="center"/>
        <w:spacing w:after="0"/>
        <w:rPr>
          <w:sz w:val="20"/>
          <w:szCs w:val="20"/>
          <w:color w:val="auto"/>
        </w:rPr>
      </w:pPr>
      <w:r>
        <w:rPr>
          <w:rFonts w:ascii="Arial" w:cs="Arial" w:eastAsia="Arial" w:hAnsi="Arial"/>
          <w:sz w:val="22"/>
          <w:szCs w:val="22"/>
          <w:b w:val="1"/>
          <w:bCs w:val="1"/>
          <w:color w:val="auto"/>
        </w:rPr>
        <w:t>COMMITMENT SCHEDULE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COMMITMENTS AND PRO RATA SHARES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right"/>
              <w:ind w:right="390"/>
              <w:spacing w:after="0"/>
              <w:rPr>
                <w:sz w:val="20"/>
                <w:szCs w:val="20"/>
                <w:color w:val="auto"/>
              </w:rPr>
            </w:pPr>
            <w:r>
              <w:rPr>
                <w:rFonts w:ascii="Arial" w:cs="Arial" w:eastAsia="Arial" w:hAnsi="Arial"/>
                <w:sz w:val="18"/>
                <w:szCs w:val="18"/>
                <w:b w:val="1"/>
                <w:bCs w:val="1"/>
                <w:color w:val="auto"/>
              </w:rPr>
              <w:t>Pro Rata Share of</w:t>
            </w:r>
          </w:p>
        </w:tc>
      </w:tr>
      <w:tr>
        <w:trPr>
          <w:trHeight w:val="234"/>
        </w:trPr>
        <w:tc>
          <w:tcPr>
            <w:tcW w:w="6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Lender</w:t>
            </w:r>
          </w:p>
        </w:tc>
        <w:tc>
          <w:tcPr>
            <w:tcW w:w="36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Commitment</w:t>
            </w:r>
          </w:p>
        </w:tc>
        <w:tc>
          <w:tcPr>
            <w:tcW w:w="2340" w:type="dxa"/>
            <w:vAlign w:val="bottom"/>
          </w:tcPr>
          <w:p>
            <w:pPr>
              <w:jc w:val="right"/>
              <w:ind w:right="150"/>
              <w:spacing w:after="0"/>
              <w:rPr>
                <w:sz w:val="20"/>
                <w:szCs w:val="20"/>
                <w:color w:val="auto"/>
              </w:rPr>
            </w:pPr>
            <w:r>
              <w:rPr>
                <w:rFonts w:ascii="Arial" w:cs="Arial" w:eastAsia="Arial" w:hAnsi="Arial"/>
                <w:sz w:val="18"/>
                <w:szCs w:val="18"/>
                <w:b w:val="1"/>
                <w:bCs w:val="1"/>
                <w:color w:val="auto"/>
              </w:rPr>
              <w:t>Aggregate Commitment</w:t>
            </w:r>
          </w:p>
        </w:tc>
      </w:tr>
      <w:tr>
        <w:trPr>
          <w:trHeight w:val="27"/>
        </w:trPr>
        <w:tc>
          <w:tcPr>
            <w:tcW w:w="6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Citibank, N.A.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Barclays Bank PLC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100,000,000.00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12.5000 %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Crédit Agricole Corporate and Investment Bank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Bank of America, N.A.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8.1250 %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BNP Paribas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8.1250 %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Deutsche Bank AG New York Branch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8.1250 %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Goldman Sachs Bank USA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8.1250 %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Morgan Stanley Bank, N.A.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8.1250 %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Wells Fargo Bank, National Association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8.1250 %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Capital One, National Association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27,500,000.00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3.4375 %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HSBC Bank USA, N.A.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3.4375 %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The Bank of Nova Scotia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27,500,000.00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3.4375 %</w:t>
            </w:r>
          </w:p>
        </w:tc>
      </w:tr>
      <w:tr>
        <w:trPr>
          <w:trHeight w:val="27"/>
        </w:trPr>
        <w:tc>
          <w:tcPr>
            <w:tcW w:w="6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Truist Bank</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27,500,000.00</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3.4375 %</w:t>
            </w:r>
          </w:p>
        </w:tc>
      </w:tr>
      <w:tr>
        <w:trPr>
          <w:trHeight w:val="243"/>
        </w:trPr>
        <w:tc>
          <w:tcPr>
            <w:tcW w:w="6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800,000,000.00</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100.0000%</w:t>
            </w:r>
          </w:p>
        </w:tc>
      </w:tr>
    </w:tbl>
    <w:p>
      <w:pPr>
        <w:sectPr>
          <w:pgSz w:w="11900" w:h="16838" w:orient="portrait"/>
          <w:cols w:equalWidth="0" w:num="1">
            <w:col w:w="11240"/>
          </w:cols>
          <w:pgMar w:left="320" w:top="1422" w:right="339" w:bottom="1440" w:gutter="0" w:footer="0" w:header="0"/>
        </w:sectPr>
      </w:pPr>
    </w:p>
    <w:bookmarkStart w:id="342" w:name="page343"/>
    <w:bookmarkEnd w:id="342"/>
    <w:p>
      <w:pPr>
        <w:ind w:left="4420"/>
        <w:spacing w:after="0"/>
        <w:rPr>
          <w:sz w:val="20"/>
          <w:szCs w:val="20"/>
          <w:color w:val="auto"/>
        </w:rPr>
      </w:pPr>
      <w:r>
        <w:rPr>
          <w:rFonts w:ascii="Arial" w:cs="Arial" w:eastAsia="Arial" w:hAnsi="Arial"/>
          <w:sz w:val="22"/>
          <w:szCs w:val="22"/>
          <w:u w:val="single" w:color="auto"/>
          <w:color w:val="auto"/>
        </w:rPr>
        <w:t>L/C COMMITMENT SCHEDULE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Issuing Lender</w:t>
            </w: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L/C Commitment</w:t>
            </w:r>
          </w:p>
        </w:tc>
      </w:tr>
      <w:tr>
        <w:trPr>
          <w:trHeight w:val="27"/>
        </w:trPr>
        <w:tc>
          <w:tcPr>
            <w:tcW w:w="9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6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Citibank, 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20,000,000.00</w:t>
            </w:r>
          </w:p>
        </w:tc>
      </w:tr>
      <w:tr>
        <w:trPr>
          <w:trHeight w:val="243"/>
        </w:trPr>
        <w:tc>
          <w:tcPr>
            <w:tcW w:w="96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Barclays Bank PLC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20,000,000.00</w:t>
            </w:r>
          </w:p>
        </w:tc>
      </w:tr>
      <w:tr>
        <w:trPr>
          <w:trHeight w:val="27"/>
        </w:trPr>
        <w:tc>
          <w:tcPr>
            <w:tcW w:w="9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Crédit Agricole Corporate and Investment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20,000,000.00</w:t>
            </w:r>
          </w:p>
        </w:tc>
      </w:tr>
      <w:tr>
        <w:trPr>
          <w:trHeight w:val="27"/>
        </w:trPr>
        <w:tc>
          <w:tcPr>
            <w:tcW w:w="9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28" w:right="33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22"/>
          <w:szCs w:val="22"/>
          <w:b w:val="1"/>
          <w:bCs w:val="1"/>
          <w:u w:val="single" w:color="auto"/>
          <w:color w:val="auto"/>
        </w:rPr>
        <w:t>Schedule 2.03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EXISTING LETTERS OF CREDIT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[To be delivered to the Administrative Agent on or prior to the Closing Date.]</w:t>
      </w:r>
    </w:p>
    <w:p>
      <w:pPr>
        <w:sectPr>
          <w:pgSz w:w="11900" w:h="16838" w:orient="portrait"/>
          <w:cols w:equalWidth="0" w:num="1">
            <w:col w:w="9019"/>
          </w:cols>
          <w:pgMar w:left="1440" w:top="1422" w:right="1440" w:bottom="1440" w:gutter="0" w:footer="0" w:header="0"/>
        </w:sectPr>
      </w:pPr>
    </w:p>
    <w:bookmarkStart w:id="344" w:name="page345"/>
    <w:bookmarkEnd w:id="344"/>
    <w:p>
      <w:pPr>
        <w:jc w:val="center"/>
        <w:ind w:right="-1120"/>
        <w:spacing w:after="0"/>
        <w:rPr>
          <w:sz w:val="20"/>
          <w:szCs w:val="20"/>
          <w:color w:val="auto"/>
        </w:rPr>
      </w:pPr>
      <w:r>
        <w:rPr>
          <w:rFonts w:ascii="Arial" w:cs="Arial" w:eastAsia="Arial" w:hAnsi="Arial"/>
          <w:sz w:val="22"/>
          <w:szCs w:val="22"/>
          <w:b w:val="1"/>
          <w:bCs w:val="1"/>
          <w:u w:val="single" w:color="auto"/>
          <w:color w:val="auto"/>
        </w:rPr>
        <w:t>Schedule 6.10</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EXISTING SPECIFIED INDEBTEDNESS FOR BORROWED MONEY</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39"/>
          </w:cols>
          <w:pgMar w:left="320" w:top="1422" w:right="1440" w:bottom="1440" w:gutter="0" w:footer="0" w:header="0"/>
        </w:sectPr>
      </w:pPr>
    </w:p>
    <w:bookmarkStart w:id="345" w:name="page346"/>
    <w:bookmarkEnd w:id="345"/>
    <w:p>
      <w:pPr>
        <w:jc w:val="center"/>
        <w:ind w:right="-760"/>
        <w:spacing w:after="0"/>
        <w:rPr>
          <w:sz w:val="20"/>
          <w:szCs w:val="20"/>
          <w:color w:val="auto"/>
        </w:rPr>
      </w:pPr>
      <w:r>
        <w:rPr>
          <w:rFonts w:ascii="Arial" w:cs="Arial" w:eastAsia="Arial" w:hAnsi="Arial"/>
          <w:sz w:val="22"/>
          <w:szCs w:val="22"/>
          <w:b w:val="1"/>
          <w:bCs w:val="1"/>
          <w:u w:val="single" w:color="auto"/>
          <w:color w:val="auto"/>
        </w:rPr>
        <w:t>Schedule 13.01</w:t>
      </w:r>
    </w:p>
    <w:p>
      <w:pPr>
        <w:spacing w:after="0" w:line="220"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CERTAIN ADDRESSES FOR NOTICES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Address of the Borrower:</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Attention: Baris Oran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Address for the Administrative Agent:</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2"/>
          <w:szCs w:val="22"/>
          <w:color w:val="auto"/>
        </w:rPr>
        <w:t>Citibank Delaware</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One Penns Way</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OPS II, Floor 2</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New Castle, DE 19720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Attn: Agency Operations</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Phone: (302) 894-6010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Fax: (646) 274-5080</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Borrower inquiries only: agencyabtfsupport@citi.com</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2"/>
          <w:szCs w:val="22"/>
          <w:color w:val="auto"/>
        </w:rPr>
        <w:t>Borrower notifications: GlAgentOfficeOps@Citi.com</w:t>
      </w:r>
    </w:p>
    <w:p>
      <w:pPr>
        <w:spacing w:after="0" w:line="4" w:lineRule="exact"/>
        <w:rPr>
          <w:sz w:val="20"/>
          <w:szCs w:val="20"/>
          <w:color w:val="auto"/>
        </w:rPr>
      </w:pPr>
    </w:p>
    <w:p>
      <w:pPr>
        <w:ind w:left="960"/>
        <w:spacing w:after="0"/>
        <w:rPr>
          <w:sz w:val="20"/>
          <w:szCs w:val="20"/>
          <w:color w:val="auto"/>
        </w:rPr>
      </w:pPr>
      <w:r>
        <w:rPr>
          <w:rFonts w:ascii="Arial" w:cs="Arial" w:eastAsia="Arial" w:hAnsi="Arial"/>
          <w:sz w:val="21"/>
          <w:szCs w:val="21"/>
          <w:color w:val="auto"/>
        </w:rPr>
        <w:t>Disclosure Team Mail (Financial Reporting): GlAgentOfficeOps@Citi.com</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Investor Relations Team (investor inquiries only): global.loans.support@citi.com</w:t>
      </w:r>
    </w:p>
    <w:p>
      <w:pPr>
        <w:sectPr>
          <w:pgSz w:w="11900" w:h="16838" w:orient="portrait"/>
          <w:cols w:equalWidth="0" w:num="1">
            <w:col w:w="9799"/>
          </w:cols>
          <w:pgMar w:left="660" w:top="1422" w:right="1440"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3860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2571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hanging="692"/>
        <w:spacing w:after="0"/>
        <w:tabs>
          <w:tab w:leader="none" w:pos="7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XPO Logistics, Inc. Stockholder:</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previously announced plans to separate XPO Logistics, Inc. (“XPO”) into two independent, publicly traded companies. The separation will occur through a distribution by XPO of all of the outstanding shares of a newly formed company named GXO Logistics, Inc. (“GXO”), consisting of XPO’s existing logistics business. XPO will continue to be a publicly traded company after the separation and will consist of its existing transportation business.</w:t>
      </w:r>
    </w:p>
    <w:p>
      <w:pPr>
        <w:spacing w:after="0" w:line="9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separation is expected to create two industry-leading, independent public companies with distinct investment identities and clearly delineated service offerings in vast end markets: GXO will be the largest pure-play contract logistics provider in the world, with one of the largest global e-commerce fulfillment platforms, and XPO will be a global provider of transportation services, primarily less-than-truckload transportation and truck brokerage.</w:t>
      </w:r>
    </w:p>
    <w:p>
      <w:pPr>
        <w:spacing w:after="0" w:line="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Each company will have an independent corporate strategy and distinct profit drivers, and will be able to effectively allocate resources and manage its capital in line with its strategic priorities. The separation will create a separate equity currency for GXO, allowing each company to structure incentive compensation arrangements that are more closely aligned with the performance of its respective business. As separate entities, each company will be better positioned to pursue its own growth opportunities, including the increasing demand for outsourcing, digital transportation management and warehouse automation, as our customers demand faster, leaner, smarter supply chains to meet the expectations of their end-markets.</w:t>
      </w:r>
    </w:p>
    <w:p>
      <w:pPr>
        <w:spacing w:after="0" w:line="1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Upon completion of the distribution, each XPO stockholder as of [ ], 2021, the record date for the distribution, will receive one share of GXO common stock for every share of XPO common stock held as of the close of business on the record date. GXO common stock will be issued in book-entry form only, which means that no physical share certificates will be issued. For U.S. federal income tax purposes, the distribution is intended to be tax-free to XPO stockholders. No vote of XPO stockholders is required for the distribution. You do not need to take any action to receive shares of GXO to which you are entitled as an XPO stockholder, and you do not need to pay any consideration or surrender or exchange your XPO common stock, which will continue to trade on the New York Stock Exchange.</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encourage you to read the attached information statement, which is being provided to all XPO stockholders that held shares of XPO on the record date for the distribution. The information statement describes the planned distribution of GXO common stock in detail and contains important business and financial information about GXO. The included financial statements of GXO are prepared from XPO’s historical accounting records and contain certain allocations of XPO’s costs, and we encourage you to read them together with the pro forma financial information included in the attached information statement, which gives effect to the separation and reflects GXO’s anticipated post-separation capital structure, including the assignment of certain assets and assumption of certain liabilities not included in the historical financial statements.</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the separation will create new opportunities for both companies to realize significant growth, led by management teams with a demonstrated commitment to our investors, customers, employees and community. As an XPO shareholder, you’ve seen the benefit of this commitment first-hand through a decade of operational excellence and productive capital allocation. We look forward to the potential we expect will be unlocked by the spin-off — for XPO, for GXO and for you, as a stockholder of both companies.</w:t>
      </w:r>
    </w:p>
    <w:p>
      <w:pPr>
        <w:spacing w:after="0" w:line="17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XPO Logistics, Inc.</w:t>
      </w:r>
    </w:p>
    <w:p>
      <w:pPr>
        <w:sectPr>
          <w:pgSz w:w="11900" w:h="16838" w:orient="portrait"/>
          <w:cols w:equalWidth="0" w:num="1">
            <w:col w:w="11240"/>
          </w:cols>
          <w:pgMar w:left="320" w:top="121" w:right="339" w:bottom="1440" w:gutter="0" w:footer="0" w:header="0"/>
        </w:sectPr>
      </w:pPr>
    </w:p>
    <w:bookmarkStart w:id="347" w:name="page348"/>
    <w:bookmarkEnd w:id="3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hanging="512"/>
        <w:spacing w:after="0"/>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Future GXO Logistics, Inc. Stockholder:</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I’m excited to welcome you as a future stockholder of GXO Logistics, Inc. (“GXO”), a leader in cutting-edge logistics solutions for supply chains around the world. The planned separation of GXO from XPO is a compelling prospect for our company, and one that we believe will unlock value for all our stakeholders.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opportunity we see in front of GXO is rooted in years of momentum as part of XPO, during which time our business benefited from significant investments in intelligent technology, customer service, talent and scale. As an independent public company, we can build on this strong positioning to capitalize on massive tailwinds in our industry: the secular growth in e-commerce and omnichannel retail, the rapidly increasing customer demand for digital capabilities, and the shift toward outsourcing logistics services. Moreover, as a separate company, we’ll be able to deepen our focus on providing our broad base of customers with tailored solutions, including robotics and other advanced automation, visibility and control. By continuing to develop our proprietary technology, we’ll continue to become increasingly nimble at managing our customers’ supply chains, gaining ground as a trusted partner and advisor as we deliver additional value to those relationships.</w:t>
      </w:r>
    </w:p>
    <w:p>
      <w:pPr>
        <w:spacing w:after="0" w:line="12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Importantly for you as a stockholder, we’ll be able to intensify our focus on our strategic priorities. We’ll also have a simplified business structure, a capital structure tailored to our needs and a clearly delineated investment profile. Our standalone stock listing will create an independent equity currency we can use to structure employee incentive compensation arrangements that are more directly tied to our performance, enhance our ability to recruit talent globally and accomplish accretive acquisitions. We intend to continue to drive profitable growth in our business, capitalizing on substantial market opportunities in our large and fragmented industry, and to be an innovation leader. We expect to list GXO’s common stock on the New York Stock Exchange under the symbol “GXO” when the separation is complete.</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vision for the future is clear. We intend to continue to deliver superior value for our customers. We plan to ensure operational excellence led by top talent, invest in the profitable growth of our business and generate strong cash flows, providing excellent outcomes for our stockholders. For our employees, we’ll build a purposeful culture as an independent, publicly traded company and engage our people in our 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our future and to your support as a holder of GXO common stock.</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GXO Logistics, Inc.</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0"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F1665F"/>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F1665F"/>
        </w:rPr>
        <w:t>Preliminary and Subject to Completion, Dated July 7,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17399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information statement is being furnished in connection with the distribution by XPO Logistics, Inc. (“XPO”) to its stockholders of the outstanding shares of common stock of GXO Logistics, Inc. (“GXO”), a wholly owned subsidiary of XPO that will hold the assets and liabilities associated with XPO’s Logistics segment. To implement the separation, XPO currently plans to distribute all of the shares of GXO common stock on a pro rata basis to XPO stockholders in a distribution that is intended to be tax-free to XPO stockholders for U.S. federal income tax purposes.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every share of common stock of XPO held of record by you as of the close of business on [ ], 2021, which is the record date for the distribution, you will receive one share of GXO common stock. As discussed under “The Separation and Distribution—Trading Between the Record Date and the Distribution Date,” if you sell your shares of XPO common stock in the “regular-way” market after the record date up to, and including through, the distribution date, you also will be selling your right to receive shares of GXO common stock in connection with the distribution. We expect the shares of</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GXO common stock to be distributed by XPO to you at [ ], Eastern Time, on [ ], 2021. We refer to the date of the distribution of the GXO common stock as the “distribution date.”</w:t>
      </w:r>
    </w:p>
    <w:p>
      <w:pPr>
        <w:spacing w:after="0" w:line="1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Until the distribution occurs, GXO will be a wholly owned subsidiary of XPO, and consequently, XPO will have the sole and absolute discretion to determine and change the terms of the separation (or to terminate the separation), including the establishment of the record date for the distribution and the distribution date.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 vote of XPO stockholders is required for the distribution. Therefore, you are not being asked for a proxy, and you are requested not to send XPO a proxy, in connection with the distribution. You do not need to pay any consideration, exchange or surrender your existing shares of XPO common stock or take any other action to receive your shares of GXO common stock.</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is no current trading market for GXO common stock, although we expect that a limited market, commonly known as a “when-issued” trading market, will develop on or shortly before the record date for the distribution, and we expect “regular-way” trading of GXO common stock to begin on the first trading day following the completion of the distribution. GXO intends to list its common stock on the New York Stock Exchange (the “NYSE”) under the symbol “GXO.” Following the distribution, XPO will continue to trade on the NYSE under the symbol “XPO.”</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reviewing this information statement, you should carefully consider the matters described in the section titled “Risk Factors” beginning on page 20.</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168910</wp:posOffset>
            </wp:positionV>
            <wp:extent cx="17399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w w:val="95"/>
              </w:rPr>
              <w:t>The date of this information statement is [</w:t>
            </w:r>
          </w:p>
        </w:tc>
        <w:tc>
          <w:tcPr>
            <w:tcW w:w="2620" w:type="dxa"/>
            <w:vAlign w:val="bottom"/>
          </w:tcPr>
          <w:p>
            <w:pPr>
              <w:jc w:val="right"/>
              <w:ind w:right="1810"/>
              <w:spacing w:after="0"/>
              <w:rPr>
                <w:sz w:val="20"/>
                <w:szCs w:val="20"/>
                <w:color w:val="auto"/>
              </w:rPr>
            </w:pPr>
            <w:r>
              <w:rPr>
                <w:rFonts w:ascii="Arial" w:cs="Arial" w:eastAsia="Arial" w:hAnsi="Arial"/>
                <w:sz w:val="18"/>
                <w:szCs w:val="18"/>
                <w:color w:val="auto"/>
              </w:rPr>
              <w:t>], 2021.</w:t>
            </w:r>
          </w:p>
        </w:tc>
        <w:tc>
          <w:tcPr>
            <w:tcW w:w="680" w:type="dxa"/>
            <w:vAlign w:val="bottom"/>
          </w:tcPr>
          <w:p>
            <w:pPr>
              <w:spacing w:after="0"/>
              <w:rPr>
                <w:sz w:val="20"/>
                <w:szCs w:val="20"/>
                <w:color w:val="auto"/>
              </w:rPr>
            </w:pPr>
          </w:p>
        </w:tc>
      </w:tr>
      <w:tr>
        <w:trPr>
          <w:trHeight w:val="378"/>
        </w:trPr>
        <w:tc>
          <w:tcPr>
            <w:tcW w:w="5800" w:type="dxa"/>
            <w:vAlign w:val="bottom"/>
            <w:gridSpan w:val="2"/>
          </w:tcPr>
          <w:p>
            <w:pPr>
              <w:spacing w:after="0"/>
              <w:rPr>
                <w:sz w:val="20"/>
                <w:szCs w:val="20"/>
                <w:color w:val="auto"/>
              </w:rPr>
            </w:pPr>
            <w:r>
              <w:rPr>
                <w:rFonts w:ascii="Arial" w:cs="Arial" w:eastAsia="Arial" w:hAnsi="Arial"/>
                <w:sz w:val="18"/>
                <w:szCs w:val="18"/>
                <w:color w:val="auto"/>
                <w:w w:val="93"/>
              </w:rPr>
              <w:t>This information statement was first mailed to XPO stockholders on or about [</w:t>
            </w:r>
          </w:p>
        </w:tc>
        <w:tc>
          <w:tcPr>
            <w:tcW w:w="68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20"/>
          </w:cols>
          <w:pgMar w:left="320" w:top="1440" w:right="359" w:bottom="1440" w:gutter="0" w:footer="0" w:header="0"/>
        </w:sectPr>
      </w:pPr>
    </w:p>
    <w:bookmarkStart w:id="349" w:name="page350"/>
    <w:bookmarkEnd w:id="34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00" w:type="dxa"/>
            <w:vAlign w:val="bottom"/>
            <w:gridSpan w:val="3"/>
          </w:tcPr>
          <w:p>
            <w:pPr>
              <w:ind w:left="200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2380" w:type="dxa"/>
            <w:vAlign w:val="bottom"/>
            <w:tcBorders>
              <w:bottom w:val="single" w:sz="8" w:color="0000FF"/>
            </w:tcBorders>
            <w:gridSpan w:val="11"/>
          </w:tcPr>
          <w:p>
            <w:pPr>
              <w:spacing w:after="0" w:line="201" w:lineRule="exact"/>
              <w:rPr>
                <w:rFonts w:ascii="Arial" w:cs="Arial" w:eastAsia="Arial" w:hAnsi="Arial"/>
                <w:sz w:val="18"/>
                <w:szCs w:val="18"/>
                <w:color w:val="0000FF"/>
                <w:w w:val="91"/>
              </w:rPr>
            </w:pPr>
            <w:hyperlink w:anchor="page351">
              <w:r>
                <w:rPr>
                  <w:rFonts w:ascii="Arial" w:cs="Arial" w:eastAsia="Arial" w:hAnsi="Arial"/>
                  <w:sz w:val="18"/>
                  <w:szCs w:val="18"/>
                  <w:color w:val="0000FF"/>
                  <w:w w:val="91"/>
                </w:rPr>
                <w:t>Information Statement Summary</w:t>
              </w:r>
            </w:hyperlink>
          </w:p>
        </w:tc>
        <w:tc>
          <w:tcPr>
            <w:tcW w:w="6080" w:type="dxa"/>
            <w:vAlign w:val="bottom"/>
            <w:gridSpan w:val="12"/>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1" w:lineRule="exact"/>
              <w:rPr>
                <w:rFonts w:ascii="Arial" w:cs="Arial" w:eastAsia="Arial" w:hAnsi="Arial"/>
                <w:sz w:val="18"/>
                <w:szCs w:val="18"/>
                <w:color w:val="0000FF"/>
                <w:w w:val="99"/>
              </w:rPr>
            </w:pPr>
            <w:hyperlink w:anchor="page351">
              <w:r>
                <w:rPr>
                  <w:rFonts w:ascii="Arial" w:cs="Arial" w:eastAsia="Arial" w:hAnsi="Arial"/>
                  <w:sz w:val="18"/>
                  <w:szCs w:val="18"/>
                  <w:color w:val="0000FF"/>
                  <w:w w:val="99"/>
                </w:rPr>
                <w:t>1</w:t>
              </w:r>
            </w:hyperlink>
          </w:p>
        </w:tc>
        <w:tc>
          <w:tcPr>
            <w:tcW w:w="60" w:type="dxa"/>
            <w:vAlign w:val="bottom"/>
          </w:tcPr>
          <w:p>
            <w:pPr>
              <w:spacing w:after="0"/>
              <w:rPr>
                <w:sz w:val="17"/>
                <w:szCs w:val="17"/>
                <w:color w:val="auto"/>
              </w:rPr>
            </w:pPr>
          </w:p>
        </w:tc>
      </w:tr>
      <w:tr>
        <w:trPr>
          <w:trHeight w:val="209"/>
        </w:trPr>
        <w:tc>
          <w:tcPr>
            <w:tcW w:w="4500" w:type="dxa"/>
            <w:vAlign w:val="bottom"/>
            <w:gridSpan w:val="18"/>
          </w:tcPr>
          <w:p>
            <w:pPr>
              <w:spacing w:after="0"/>
              <w:rPr>
                <w:rFonts w:ascii="Arial" w:cs="Arial" w:eastAsia="Arial" w:hAnsi="Arial"/>
                <w:sz w:val="18"/>
                <w:szCs w:val="18"/>
                <w:color w:val="0000FF"/>
                <w:w w:val="90"/>
              </w:rPr>
            </w:pPr>
            <w:hyperlink w:anchor="page360">
              <w:r>
                <w:rPr>
                  <w:rFonts w:ascii="Arial" w:cs="Arial" w:eastAsia="Arial" w:hAnsi="Arial"/>
                  <w:sz w:val="18"/>
                  <w:szCs w:val="18"/>
                  <w:color w:val="0000FF"/>
                  <w:w w:val="90"/>
                </w:rPr>
                <w:t>Questions and Answers About the Separation and Distribution</w:t>
              </w:r>
            </w:hyperlink>
          </w:p>
        </w:tc>
        <w:tc>
          <w:tcPr>
            <w:tcW w:w="396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60">
              <w:r>
                <w:rPr>
                  <w:rFonts w:ascii="Arial" w:cs="Arial" w:eastAsia="Arial" w:hAnsi="Arial"/>
                  <w:sz w:val="18"/>
                  <w:szCs w:val="18"/>
                  <w:color w:val="0000FF"/>
                  <w:w w:val="89"/>
                </w:rPr>
                <w:t>10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3"/>
          </w:tcPr>
          <w:p>
            <w:pPr>
              <w:spacing w:after="0"/>
              <w:rPr>
                <w:rFonts w:ascii="Arial" w:cs="Arial" w:eastAsia="Arial" w:hAnsi="Arial"/>
                <w:sz w:val="18"/>
                <w:szCs w:val="18"/>
                <w:color w:val="0000FF"/>
              </w:rPr>
            </w:pPr>
            <w:hyperlink w:anchor="page366">
              <w:r>
                <w:rPr>
                  <w:rFonts w:ascii="Arial" w:cs="Arial" w:eastAsia="Arial" w:hAnsi="Arial"/>
                  <w:sz w:val="18"/>
                  <w:szCs w:val="18"/>
                  <w:color w:val="0000FF"/>
                </w:rPr>
                <w:t>Summary of Historical and Pro Forma Combined Financial Data</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66">
              <w:r>
                <w:rPr>
                  <w:rFonts w:ascii="Arial" w:cs="Arial" w:eastAsia="Arial" w:hAnsi="Arial"/>
                  <w:sz w:val="18"/>
                  <w:szCs w:val="18"/>
                  <w:color w:val="0000FF"/>
                  <w:w w:val="89"/>
                </w:rPr>
                <w:t>16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gridSpan w:val="3"/>
          </w:tcPr>
          <w:p>
            <w:pPr>
              <w:spacing w:after="0"/>
              <w:rPr>
                <w:rFonts w:ascii="Arial" w:cs="Arial" w:eastAsia="Arial" w:hAnsi="Arial"/>
                <w:sz w:val="18"/>
                <w:szCs w:val="18"/>
                <w:color w:val="0000FF"/>
                <w:w w:val="87"/>
              </w:rPr>
            </w:pPr>
            <w:hyperlink w:anchor="page370">
              <w:r>
                <w:rPr>
                  <w:rFonts w:ascii="Arial" w:cs="Arial" w:eastAsia="Arial" w:hAnsi="Arial"/>
                  <w:sz w:val="18"/>
                  <w:szCs w:val="18"/>
                  <w:color w:val="0000FF"/>
                  <w:w w:val="87"/>
                </w:rPr>
                <w:t>Risk Factors</w:t>
              </w:r>
            </w:hyperlink>
          </w:p>
        </w:tc>
        <w:tc>
          <w:tcPr>
            <w:tcW w:w="3740" w:type="dxa"/>
            <w:vAlign w:val="bottom"/>
            <w:gridSpan w:val="16"/>
          </w:tcPr>
          <w:p>
            <w:pPr>
              <w:spacing w:after="0"/>
              <w:rPr>
                <w:sz w:val="18"/>
                <w:szCs w:val="18"/>
                <w:color w:val="auto"/>
              </w:rPr>
            </w:pPr>
          </w:p>
        </w:tc>
        <w:tc>
          <w:tcPr>
            <w:tcW w:w="3800" w:type="dxa"/>
            <w:vAlign w:val="bottom"/>
            <w:gridSpan w:val="4"/>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70">
              <w:r>
                <w:rPr>
                  <w:rFonts w:ascii="Arial" w:cs="Arial" w:eastAsia="Arial" w:hAnsi="Arial"/>
                  <w:sz w:val="18"/>
                  <w:szCs w:val="18"/>
                  <w:color w:val="0000FF"/>
                  <w:w w:val="89"/>
                </w:rPr>
                <w:t>20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60" w:type="dxa"/>
            <w:vAlign w:val="bottom"/>
            <w:gridSpan w:val="17"/>
          </w:tcPr>
          <w:p>
            <w:pPr>
              <w:spacing w:after="0"/>
              <w:rPr>
                <w:rFonts w:ascii="Arial" w:cs="Arial" w:eastAsia="Arial" w:hAnsi="Arial"/>
                <w:sz w:val="18"/>
                <w:szCs w:val="18"/>
                <w:color w:val="0000FF"/>
                <w:w w:val="91"/>
              </w:rPr>
            </w:pPr>
            <w:hyperlink w:anchor="page388">
              <w:r>
                <w:rPr>
                  <w:rFonts w:ascii="Arial" w:cs="Arial" w:eastAsia="Arial" w:hAnsi="Arial"/>
                  <w:sz w:val="18"/>
                  <w:szCs w:val="18"/>
                  <w:color w:val="0000FF"/>
                  <w:w w:val="91"/>
                </w:rPr>
                <w:t>Cautionary Note Regarding Forward-Looking Statements</w:t>
              </w:r>
            </w:hyperlink>
          </w:p>
        </w:tc>
        <w:tc>
          <w:tcPr>
            <w:tcW w:w="4300" w:type="dxa"/>
            <w:vAlign w:val="bottom"/>
            <w:gridSpan w:val="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88">
              <w:r>
                <w:rPr>
                  <w:rFonts w:ascii="Arial" w:cs="Arial" w:eastAsia="Arial" w:hAnsi="Arial"/>
                  <w:sz w:val="18"/>
                  <w:szCs w:val="18"/>
                  <w:color w:val="0000FF"/>
                  <w:w w:val="89"/>
                </w:rPr>
                <w:t>38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w w:val="90"/>
              </w:rPr>
            </w:pPr>
            <w:hyperlink w:anchor="page390">
              <w:r>
                <w:rPr>
                  <w:rFonts w:ascii="Arial" w:cs="Arial" w:eastAsia="Arial" w:hAnsi="Arial"/>
                  <w:sz w:val="18"/>
                  <w:szCs w:val="18"/>
                  <w:color w:val="0000FF"/>
                  <w:w w:val="90"/>
                </w:rPr>
                <w:t>The Separation and Distribution</w:t>
              </w:r>
            </w:hyperlink>
          </w:p>
        </w:tc>
        <w:tc>
          <w:tcPr>
            <w:tcW w:w="1840" w:type="dxa"/>
            <w:vAlign w:val="bottom"/>
            <w:gridSpan w:val="7"/>
          </w:tcPr>
          <w:p>
            <w:pPr>
              <w:spacing w:after="0"/>
              <w:rPr>
                <w:sz w:val="18"/>
                <w:szCs w:val="18"/>
                <w:color w:val="auto"/>
              </w:rPr>
            </w:pPr>
          </w:p>
        </w:tc>
        <w:tc>
          <w:tcPr>
            <w:tcW w:w="4300" w:type="dxa"/>
            <w:vAlign w:val="bottom"/>
            <w:gridSpan w:val="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90">
              <w:r>
                <w:rPr>
                  <w:rFonts w:ascii="Arial" w:cs="Arial" w:eastAsia="Arial" w:hAnsi="Arial"/>
                  <w:sz w:val="18"/>
                  <w:szCs w:val="18"/>
                  <w:color w:val="0000FF"/>
                  <w:w w:val="89"/>
                </w:rPr>
                <w:t>40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0"/>
          </w:tcPr>
          <w:p>
            <w:pPr>
              <w:spacing w:after="0"/>
              <w:rPr>
                <w:rFonts w:ascii="Arial" w:cs="Arial" w:eastAsia="Arial" w:hAnsi="Arial"/>
                <w:sz w:val="18"/>
                <w:szCs w:val="18"/>
                <w:color w:val="0000FF"/>
              </w:rPr>
            </w:pPr>
            <w:hyperlink w:anchor="page397">
              <w:r>
                <w:rPr>
                  <w:rFonts w:ascii="Arial" w:cs="Arial" w:eastAsia="Arial" w:hAnsi="Arial"/>
                  <w:sz w:val="18"/>
                  <w:szCs w:val="18"/>
                  <w:color w:val="0000FF"/>
                </w:rPr>
                <w:t>Dividend Policy</w:t>
              </w:r>
            </w:hyperlink>
          </w:p>
        </w:tc>
        <w:tc>
          <w:tcPr>
            <w:tcW w:w="6140" w:type="dxa"/>
            <w:vAlign w:val="bottom"/>
            <w:gridSpan w:val="1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97">
              <w:r>
                <w:rPr>
                  <w:rFonts w:ascii="Arial" w:cs="Arial" w:eastAsia="Arial" w:hAnsi="Arial"/>
                  <w:sz w:val="18"/>
                  <w:szCs w:val="18"/>
                  <w:color w:val="0000FF"/>
                  <w:w w:val="89"/>
                </w:rPr>
                <w:t>47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20" w:type="dxa"/>
            <w:vAlign w:val="bottom"/>
            <w:gridSpan w:val="4"/>
          </w:tcPr>
          <w:p>
            <w:pPr>
              <w:spacing w:after="0"/>
              <w:rPr>
                <w:rFonts w:ascii="Arial" w:cs="Arial" w:eastAsia="Arial" w:hAnsi="Arial"/>
                <w:sz w:val="18"/>
                <w:szCs w:val="18"/>
                <w:color w:val="0000FF"/>
                <w:w w:val="92"/>
              </w:rPr>
            </w:pPr>
            <w:hyperlink w:anchor="page398">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7280" w:type="dxa"/>
            <w:vAlign w:val="bottom"/>
            <w:gridSpan w:val="18"/>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98">
              <w:r>
                <w:rPr>
                  <w:rFonts w:ascii="Arial" w:cs="Arial" w:eastAsia="Arial" w:hAnsi="Arial"/>
                  <w:sz w:val="18"/>
                  <w:szCs w:val="18"/>
                  <w:color w:val="0000FF"/>
                  <w:w w:val="89"/>
                </w:rPr>
                <w:t>48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3"/>
          </w:tcPr>
          <w:p>
            <w:pPr>
              <w:spacing w:after="0"/>
              <w:rPr>
                <w:rFonts w:ascii="Arial" w:cs="Arial" w:eastAsia="Arial" w:hAnsi="Arial"/>
                <w:sz w:val="18"/>
                <w:szCs w:val="18"/>
                <w:color w:val="0000FF"/>
              </w:rPr>
            </w:pPr>
            <w:hyperlink w:anchor="page399">
              <w:r>
                <w:rPr>
                  <w:rFonts w:ascii="Arial" w:cs="Arial" w:eastAsia="Arial" w:hAnsi="Arial"/>
                  <w:sz w:val="18"/>
                  <w:szCs w:val="18"/>
                  <w:color w:val="0000FF"/>
                </w:rPr>
                <w:t>Unaudited Pro Forma Condensed Combined Financial Information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99">
              <w:r>
                <w:rPr>
                  <w:rFonts w:ascii="Arial" w:cs="Arial" w:eastAsia="Arial" w:hAnsi="Arial"/>
                  <w:sz w:val="18"/>
                  <w:szCs w:val="18"/>
                  <w:color w:val="0000FF"/>
                  <w:w w:val="89"/>
                </w:rPr>
                <w:t>49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820" w:type="dxa"/>
            <w:vAlign w:val="bottom"/>
            <w:gridSpan w:val="20"/>
          </w:tcPr>
          <w:p>
            <w:pPr>
              <w:spacing w:after="0"/>
              <w:rPr>
                <w:rFonts w:ascii="Arial" w:cs="Arial" w:eastAsia="Arial" w:hAnsi="Arial"/>
                <w:sz w:val="18"/>
                <w:szCs w:val="18"/>
                <w:color w:val="0000FF"/>
              </w:rPr>
            </w:pPr>
            <w:hyperlink w:anchor="page407">
              <w:r>
                <w:rPr>
                  <w:rFonts w:ascii="Arial" w:cs="Arial" w:eastAsia="Arial" w:hAnsi="Arial"/>
                  <w:sz w:val="18"/>
                  <w:szCs w:val="18"/>
                  <w:color w:val="0000FF"/>
                </w:rPr>
                <w:t>Business</w:t>
              </w:r>
            </w:hyperlink>
          </w:p>
        </w:tc>
        <w:tc>
          <w:tcPr>
            <w:tcW w:w="3640" w:type="dxa"/>
            <w:vAlign w:val="bottom"/>
            <w:gridSpan w:val="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07">
              <w:r>
                <w:rPr>
                  <w:rFonts w:ascii="Arial" w:cs="Arial" w:eastAsia="Arial" w:hAnsi="Arial"/>
                  <w:sz w:val="18"/>
                  <w:szCs w:val="18"/>
                  <w:color w:val="0000FF"/>
                  <w:w w:val="89"/>
                </w:rPr>
                <w:t>57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3"/>
          </w:tcPr>
          <w:p>
            <w:pPr>
              <w:spacing w:after="0"/>
              <w:rPr>
                <w:rFonts w:ascii="Arial" w:cs="Arial" w:eastAsia="Arial" w:hAnsi="Arial"/>
                <w:sz w:val="18"/>
                <w:szCs w:val="18"/>
                <w:color w:val="0000FF"/>
              </w:rPr>
            </w:pPr>
            <w:hyperlink w:anchor="page418">
              <w:r>
                <w:rPr>
                  <w:rFonts w:ascii="Arial" w:cs="Arial" w:eastAsia="Arial" w:hAnsi="Arial"/>
                  <w:sz w:val="18"/>
                  <w:szCs w:val="18"/>
                  <w:color w:val="0000FF"/>
                </w:rPr>
                <w:t>Management’s Discussion and Analysis of Financial Condition and Results of Operations</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18">
              <w:r>
                <w:rPr>
                  <w:rFonts w:ascii="Arial" w:cs="Arial" w:eastAsia="Arial" w:hAnsi="Arial"/>
                  <w:sz w:val="18"/>
                  <w:szCs w:val="18"/>
                  <w:color w:val="0000FF"/>
                  <w:w w:val="89"/>
                </w:rPr>
                <w:t>68</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60" w:type="dxa"/>
            <w:vAlign w:val="bottom"/>
            <w:gridSpan w:val="22"/>
          </w:tcPr>
          <w:p>
            <w:pPr>
              <w:spacing w:after="0"/>
              <w:rPr>
                <w:rFonts w:ascii="Arial" w:cs="Arial" w:eastAsia="Arial" w:hAnsi="Arial"/>
                <w:sz w:val="18"/>
                <w:szCs w:val="18"/>
                <w:color w:val="0000FF"/>
              </w:rPr>
            </w:pPr>
            <w:hyperlink w:anchor="page430">
              <w:r>
                <w:rPr>
                  <w:rFonts w:ascii="Arial" w:cs="Arial" w:eastAsia="Arial" w:hAnsi="Arial"/>
                  <w:sz w:val="18"/>
                  <w:szCs w:val="18"/>
                  <w:color w:val="0000FF"/>
                </w:rPr>
                <w:t>Management</w:t>
              </w:r>
            </w:hyperlink>
          </w:p>
        </w:tc>
        <w:tc>
          <w:tcPr>
            <w:tcW w:w="2000" w:type="dxa"/>
            <w:vAlign w:val="bottom"/>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30">
              <w:r>
                <w:rPr>
                  <w:rFonts w:ascii="Arial" w:cs="Arial" w:eastAsia="Arial" w:hAnsi="Arial"/>
                  <w:sz w:val="18"/>
                  <w:szCs w:val="18"/>
                  <w:color w:val="0000FF"/>
                  <w:w w:val="89"/>
                </w:rPr>
                <w:t>80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color w:val="0000FF"/>
                <w:w w:val="91"/>
              </w:rPr>
            </w:pPr>
            <w:hyperlink w:anchor="page431">
              <w:r>
                <w:rPr>
                  <w:rFonts w:ascii="Arial" w:cs="Arial" w:eastAsia="Arial" w:hAnsi="Arial"/>
                  <w:sz w:val="18"/>
                  <w:szCs w:val="18"/>
                  <w:color w:val="0000FF"/>
                  <w:w w:val="91"/>
                </w:rPr>
                <w:t>Directors</w:t>
              </w:r>
            </w:hyperlink>
          </w:p>
        </w:tc>
        <w:tc>
          <w:tcPr>
            <w:tcW w:w="240" w:type="dxa"/>
            <w:vAlign w:val="bottom"/>
          </w:tcPr>
          <w:p>
            <w:pPr>
              <w:spacing w:after="0"/>
              <w:rPr>
                <w:sz w:val="18"/>
                <w:szCs w:val="18"/>
                <w:color w:val="auto"/>
              </w:rPr>
            </w:pPr>
          </w:p>
        </w:tc>
        <w:tc>
          <w:tcPr>
            <w:tcW w:w="7540" w:type="dxa"/>
            <w:vAlign w:val="bottom"/>
            <w:gridSpan w:val="20"/>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31">
              <w:r>
                <w:rPr>
                  <w:rFonts w:ascii="Arial" w:cs="Arial" w:eastAsia="Arial" w:hAnsi="Arial"/>
                  <w:sz w:val="18"/>
                  <w:szCs w:val="18"/>
                  <w:color w:val="0000FF"/>
                  <w:w w:val="89"/>
                </w:rPr>
                <w:t>81</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3"/>
          </w:tcPr>
          <w:p>
            <w:pPr>
              <w:spacing w:after="0"/>
              <w:rPr>
                <w:rFonts w:ascii="Arial" w:cs="Arial" w:eastAsia="Arial" w:hAnsi="Arial"/>
                <w:sz w:val="18"/>
                <w:szCs w:val="18"/>
                <w:color w:val="0000FF"/>
              </w:rPr>
            </w:pPr>
            <w:hyperlink w:anchor="page438">
              <w:r>
                <w:rPr>
                  <w:rFonts w:ascii="Arial" w:cs="Arial" w:eastAsia="Arial" w:hAnsi="Arial"/>
                  <w:sz w:val="18"/>
                  <w:szCs w:val="18"/>
                  <w:color w:val="0000FF"/>
                </w:rPr>
                <w:t>Executive Compensation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38">
              <w:r>
                <w:rPr>
                  <w:rFonts w:ascii="Arial" w:cs="Arial" w:eastAsia="Arial" w:hAnsi="Arial"/>
                  <w:sz w:val="18"/>
                  <w:szCs w:val="18"/>
                  <w:color w:val="0000FF"/>
                  <w:w w:val="89"/>
                </w:rPr>
                <w:t>88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rFonts w:ascii="Arial" w:cs="Arial" w:eastAsia="Arial" w:hAnsi="Arial"/>
                <w:sz w:val="18"/>
                <w:szCs w:val="18"/>
                <w:color w:val="0000FF"/>
                <w:w w:val="96"/>
              </w:rPr>
            </w:pPr>
            <w:hyperlink w:anchor="page445">
              <w:r>
                <w:rPr>
                  <w:rFonts w:ascii="Arial" w:cs="Arial" w:eastAsia="Arial" w:hAnsi="Arial"/>
                  <w:sz w:val="18"/>
                  <w:szCs w:val="18"/>
                  <w:color w:val="0000FF"/>
                  <w:w w:val="96"/>
                </w:rPr>
                <w:t>Director Compensation</w:t>
              </w:r>
            </w:hyperlink>
          </w:p>
        </w:tc>
        <w:tc>
          <w:tcPr>
            <w:tcW w:w="6660" w:type="dxa"/>
            <w:vAlign w:val="bottom"/>
            <w:gridSpan w:val="1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45">
              <w:r>
                <w:rPr>
                  <w:rFonts w:ascii="Arial" w:cs="Arial" w:eastAsia="Arial" w:hAnsi="Arial"/>
                  <w:sz w:val="18"/>
                  <w:szCs w:val="18"/>
                  <w:color w:val="0000FF"/>
                  <w:w w:val="89"/>
                </w:rPr>
                <w:t>95</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3"/>
          </w:tcPr>
          <w:p>
            <w:pPr>
              <w:spacing w:after="0"/>
              <w:rPr>
                <w:rFonts w:ascii="Arial" w:cs="Arial" w:eastAsia="Arial" w:hAnsi="Arial"/>
                <w:sz w:val="18"/>
                <w:szCs w:val="18"/>
                <w:color w:val="0000FF"/>
              </w:rPr>
            </w:pPr>
            <w:hyperlink w:anchor="page446">
              <w:r>
                <w:rPr>
                  <w:rFonts w:ascii="Arial" w:cs="Arial" w:eastAsia="Arial" w:hAnsi="Arial"/>
                  <w:sz w:val="18"/>
                  <w:szCs w:val="18"/>
                  <w:color w:val="0000FF"/>
                </w:rPr>
                <w:t>GXO 2021 Omnibus Incentive Compensation Plan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446">
              <w:r>
                <w:rPr>
                  <w:rFonts w:ascii="Arial" w:cs="Arial" w:eastAsia="Arial" w:hAnsi="Arial"/>
                  <w:sz w:val="18"/>
                  <w:szCs w:val="18"/>
                  <w:color w:val="0000FF"/>
                  <w:w w:val="89"/>
                </w:rPr>
                <w:t>96</w:t>
              </w:r>
            </w:hyperlink>
          </w:p>
        </w:tc>
        <w:tc>
          <w:tcPr>
            <w:tcW w:w="60" w:type="dxa"/>
            <w:vAlign w:val="bottom"/>
          </w:tcPr>
          <w:p>
            <w:pPr>
              <w:spacing w:after="0"/>
              <w:rPr>
                <w:sz w:val="18"/>
                <w:szCs w:val="18"/>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3"/>
          </w:tcPr>
          <w:p>
            <w:pPr>
              <w:spacing w:after="0"/>
              <w:rPr>
                <w:rFonts w:ascii="Arial" w:cs="Arial" w:eastAsia="Arial" w:hAnsi="Arial"/>
                <w:sz w:val="18"/>
                <w:szCs w:val="18"/>
                <w:color w:val="0000FF"/>
              </w:rPr>
            </w:pPr>
            <w:hyperlink w:anchor="page451">
              <w:r>
                <w:rPr>
                  <w:rFonts w:ascii="Arial" w:cs="Arial" w:eastAsia="Arial" w:hAnsi="Arial"/>
                  <w:sz w:val="18"/>
                  <w:szCs w:val="18"/>
                  <w:color w:val="0000FF"/>
                </w:rPr>
                <w:t>Certain Relationships and Related Party Transactions</w:t>
              </w:r>
            </w:hyperlink>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451">
              <w:r>
                <w:rPr>
                  <w:rFonts w:ascii="Arial" w:cs="Arial" w:eastAsia="Arial" w:hAnsi="Arial"/>
                  <w:sz w:val="18"/>
                  <w:szCs w:val="18"/>
                  <w:color w:val="0000FF"/>
                  <w:w w:val="86"/>
                </w:rPr>
                <w:t>101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3540" w:type="dxa"/>
            <w:vAlign w:val="bottom"/>
            <w:gridSpan w:val="14"/>
          </w:tcPr>
          <w:p>
            <w:pPr>
              <w:spacing w:after="0"/>
              <w:rPr>
                <w:rFonts w:ascii="Arial" w:cs="Arial" w:eastAsia="Arial" w:hAnsi="Arial"/>
                <w:sz w:val="18"/>
                <w:szCs w:val="18"/>
                <w:color w:val="0000FF"/>
                <w:w w:val="89"/>
              </w:rPr>
            </w:pPr>
            <w:hyperlink w:anchor="page457">
              <w:r>
                <w:rPr>
                  <w:rFonts w:ascii="Arial" w:cs="Arial" w:eastAsia="Arial" w:hAnsi="Arial"/>
                  <w:sz w:val="18"/>
                  <w:szCs w:val="18"/>
                  <w:color w:val="0000FF"/>
                  <w:w w:val="89"/>
                </w:rPr>
                <w:t>Material U.S. Federal Income Tax Consequences</w:t>
              </w:r>
            </w:hyperlink>
          </w:p>
        </w:tc>
        <w:tc>
          <w:tcPr>
            <w:tcW w:w="300" w:type="dxa"/>
            <w:vAlign w:val="bottom"/>
            <w:gridSpan w:val="2"/>
          </w:tcPr>
          <w:p>
            <w:pPr>
              <w:spacing w:after="0"/>
              <w:rPr>
                <w:sz w:val="18"/>
                <w:szCs w:val="18"/>
                <w:color w:val="auto"/>
              </w:rPr>
            </w:pPr>
          </w:p>
        </w:tc>
        <w:tc>
          <w:tcPr>
            <w:tcW w:w="4620" w:type="dxa"/>
            <w:vAlign w:val="bottom"/>
            <w:gridSpan w:val="7"/>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457">
              <w:r>
                <w:rPr>
                  <w:rFonts w:ascii="Arial" w:cs="Arial" w:eastAsia="Arial" w:hAnsi="Arial"/>
                  <w:sz w:val="18"/>
                  <w:szCs w:val="18"/>
                  <w:color w:val="0000FF"/>
                  <w:w w:val="86"/>
                </w:rPr>
                <w:t>107</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10"/>
        </w:trPr>
        <w:tc>
          <w:tcPr>
            <w:tcW w:w="2680" w:type="dxa"/>
            <w:vAlign w:val="bottom"/>
            <w:gridSpan w:val="12"/>
          </w:tcPr>
          <w:p>
            <w:pPr>
              <w:spacing w:after="0"/>
              <w:rPr>
                <w:rFonts w:ascii="Arial" w:cs="Arial" w:eastAsia="Arial" w:hAnsi="Arial"/>
                <w:sz w:val="18"/>
                <w:szCs w:val="18"/>
                <w:color w:val="0000FF"/>
                <w:w w:val="91"/>
              </w:rPr>
            </w:pPr>
            <w:hyperlink w:anchor="page460">
              <w:r>
                <w:rPr>
                  <w:rFonts w:ascii="Arial" w:cs="Arial" w:eastAsia="Arial" w:hAnsi="Arial"/>
                  <w:sz w:val="18"/>
                  <w:szCs w:val="18"/>
                  <w:color w:val="0000FF"/>
                  <w:w w:val="91"/>
                </w:rPr>
                <w:t>Description of Material Indebtedness</w:t>
              </w:r>
            </w:hyperlink>
          </w:p>
        </w:tc>
        <w:tc>
          <w:tcPr>
            <w:tcW w:w="860" w:type="dxa"/>
            <w:vAlign w:val="bottom"/>
            <w:gridSpan w:val="2"/>
          </w:tcPr>
          <w:p>
            <w:pPr>
              <w:spacing w:after="0"/>
              <w:rPr>
                <w:sz w:val="18"/>
                <w:szCs w:val="18"/>
                <w:color w:val="auto"/>
              </w:rPr>
            </w:pPr>
          </w:p>
        </w:tc>
        <w:tc>
          <w:tcPr>
            <w:tcW w:w="4920" w:type="dxa"/>
            <w:vAlign w:val="bottom"/>
            <w:gridSpan w:val="9"/>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460">
              <w:r>
                <w:rPr>
                  <w:rFonts w:ascii="Arial" w:cs="Arial" w:eastAsia="Arial" w:hAnsi="Arial"/>
                  <w:sz w:val="18"/>
                  <w:szCs w:val="18"/>
                  <w:color w:val="0000FF"/>
                  <w:w w:val="86"/>
                </w:rPr>
                <w:t>110</w:t>
              </w:r>
            </w:hyperlink>
          </w:p>
        </w:tc>
        <w:tc>
          <w:tcPr>
            <w:tcW w:w="60" w:type="dxa"/>
            <w:vAlign w:val="bottom"/>
          </w:tcPr>
          <w:p>
            <w:pPr>
              <w:spacing w:after="0"/>
              <w:rPr>
                <w:sz w:val="18"/>
                <w:szCs w:val="18"/>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8460" w:type="dxa"/>
            <w:vAlign w:val="bottom"/>
            <w:gridSpan w:val="23"/>
          </w:tcPr>
          <w:p>
            <w:pPr>
              <w:spacing w:after="0"/>
              <w:rPr>
                <w:rFonts w:ascii="Arial" w:cs="Arial" w:eastAsia="Arial" w:hAnsi="Arial"/>
                <w:sz w:val="18"/>
                <w:szCs w:val="18"/>
                <w:color w:val="0000FF"/>
              </w:rPr>
            </w:pPr>
            <w:hyperlink w:anchor="page462">
              <w:r>
                <w:rPr>
                  <w:rFonts w:ascii="Arial" w:cs="Arial" w:eastAsia="Arial" w:hAnsi="Arial"/>
                  <w:sz w:val="18"/>
                  <w:szCs w:val="18"/>
                  <w:color w:val="0000FF"/>
                </w:rPr>
                <w:t>Security Ownership of Certain Beneficial Owners and Management</w:t>
              </w:r>
            </w:hyperlink>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462">
              <w:r>
                <w:rPr>
                  <w:rFonts w:ascii="Arial" w:cs="Arial" w:eastAsia="Arial" w:hAnsi="Arial"/>
                  <w:sz w:val="18"/>
                  <w:szCs w:val="18"/>
                  <w:color w:val="0000FF"/>
                  <w:w w:val="86"/>
                </w:rPr>
                <w:t>112</w:t>
              </w:r>
            </w:hyperlink>
          </w:p>
        </w:tc>
        <w:tc>
          <w:tcPr>
            <w:tcW w:w="60" w:type="dxa"/>
            <w:vAlign w:val="bottom"/>
          </w:tcPr>
          <w:p>
            <w:pPr>
              <w:spacing w:after="0"/>
              <w:rPr>
                <w:sz w:val="18"/>
                <w:szCs w:val="18"/>
                <w:color w:val="auto"/>
              </w:rPr>
            </w:pPr>
          </w:p>
        </w:tc>
      </w:tr>
      <w:tr>
        <w:trPr>
          <w:trHeight w:val="20"/>
        </w:trPr>
        <w:tc>
          <w:tcPr>
            <w:tcW w:w="206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9"/>
        </w:trPr>
        <w:tc>
          <w:tcPr>
            <w:tcW w:w="2060" w:type="dxa"/>
            <w:vAlign w:val="bottom"/>
            <w:gridSpan w:val="8"/>
          </w:tcPr>
          <w:p>
            <w:pPr>
              <w:spacing w:after="0"/>
              <w:rPr>
                <w:rFonts w:ascii="Arial" w:cs="Arial" w:eastAsia="Arial" w:hAnsi="Arial"/>
                <w:sz w:val="18"/>
                <w:szCs w:val="18"/>
                <w:color w:val="0000FF"/>
                <w:w w:val="92"/>
              </w:rPr>
            </w:pPr>
            <w:hyperlink w:anchor="page463">
              <w:r>
                <w:rPr>
                  <w:rFonts w:ascii="Arial" w:cs="Arial" w:eastAsia="Arial" w:hAnsi="Arial"/>
                  <w:sz w:val="18"/>
                  <w:szCs w:val="18"/>
                  <w:color w:val="0000FF"/>
                  <w:w w:val="92"/>
                </w:rPr>
                <w:t>Description of Capital Stock</w:t>
              </w:r>
            </w:hyperlink>
          </w:p>
        </w:tc>
        <w:tc>
          <w:tcPr>
            <w:tcW w:w="2820" w:type="dxa"/>
            <w:vAlign w:val="bottom"/>
            <w:gridSpan w:val="13"/>
          </w:tcPr>
          <w:p>
            <w:pPr>
              <w:spacing w:after="0"/>
              <w:rPr>
                <w:sz w:val="18"/>
                <w:szCs w:val="18"/>
                <w:color w:val="auto"/>
              </w:rPr>
            </w:pPr>
          </w:p>
        </w:tc>
        <w:tc>
          <w:tcPr>
            <w:tcW w:w="3580" w:type="dxa"/>
            <w:vAlign w:val="bottom"/>
            <w:gridSpan w:val="2"/>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463">
              <w:r>
                <w:rPr>
                  <w:rFonts w:ascii="Arial" w:cs="Arial" w:eastAsia="Arial" w:hAnsi="Arial"/>
                  <w:sz w:val="18"/>
                  <w:szCs w:val="18"/>
                  <w:color w:val="0000FF"/>
                  <w:w w:val="86"/>
                </w:rPr>
                <w:t>113</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880" w:type="dxa"/>
            <w:vAlign w:val="bottom"/>
            <w:gridSpan w:val="13"/>
          </w:tcPr>
          <w:p>
            <w:pPr>
              <w:spacing w:after="0"/>
              <w:rPr>
                <w:rFonts w:ascii="Arial" w:cs="Arial" w:eastAsia="Arial" w:hAnsi="Arial"/>
                <w:sz w:val="18"/>
                <w:szCs w:val="18"/>
                <w:color w:val="0000FF"/>
                <w:w w:val="92"/>
              </w:rPr>
            </w:pPr>
            <w:hyperlink w:anchor="page468">
              <w:r>
                <w:rPr>
                  <w:rFonts w:ascii="Arial" w:cs="Arial" w:eastAsia="Arial" w:hAnsi="Arial"/>
                  <w:sz w:val="18"/>
                  <w:szCs w:val="18"/>
                  <w:color w:val="0000FF"/>
                  <w:w w:val="92"/>
                </w:rPr>
                <w:t>Where You Can Find More Information</w:t>
              </w:r>
            </w:hyperlink>
          </w:p>
        </w:tc>
        <w:tc>
          <w:tcPr>
            <w:tcW w:w="5580" w:type="dxa"/>
            <w:vAlign w:val="bottom"/>
            <w:gridSpan w:val="10"/>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468">
              <w:r>
                <w:rPr>
                  <w:rFonts w:ascii="Arial" w:cs="Arial" w:eastAsia="Arial" w:hAnsi="Arial"/>
                  <w:sz w:val="18"/>
                  <w:szCs w:val="18"/>
                  <w:color w:val="0000FF"/>
                  <w:w w:val="86"/>
                </w:rPr>
                <w:t>118</w:t>
              </w:r>
            </w:hyperlink>
          </w:p>
        </w:tc>
        <w:tc>
          <w:tcPr>
            <w:tcW w:w="60" w:type="dxa"/>
            <w:vAlign w:val="bottom"/>
          </w:tcPr>
          <w:p>
            <w:pPr>
              <w:spacing w:after="0"/>
              <w:rPr>
                <w:sz w:val="18"/>
                <w:szCs w:val="18"/>
                <w:color w:val="auto"/>
              </w:rPr>
            </w:pPr>
          </w:p>
        </w:tc>
      </w:tr>
      <w:tr>
        <w:trPr>
          <w:trHeight w:val="210"/>
        </w:trPr>
        <w:tc>
          <w:tcPr>
            <w:tcW w:w="2880" w:type="dxa"/>
            <w:vAlign w:val="bottom"/>
            <w:tcBorders>
              <w:top w:val="single" w:sz="8" w:color="0000FF"/>
            </w:tcBorders>
            <w:gridSpan w:val="13"/>
          </w:tcPr>
          <w:p>
            <w:pPr>
              <w:spacing w:after="0"/>
              <w:rPr>
                <w:rFonts w:ascii="Arial" w:cs="Arial" w:eastAsia="Arial" w:hAnsi="Arial"/>
                <w:sz w:val="18"/>
                <w:szCs w:val="18"/>
                <w:color w:val="0000FF"/>
              </w:rPr>
            </w:pPr>
            <w:hyperlink w:anchor="page469">
              <w:r>
                <w:rPr>
                  <w:rFonts w:ascii="Arial" w:cs="Arial" w:eastAsia="Arial" w:hAnsi="Arial"/>
                  <w:sz w:val="18"/>
                  <w:szCs w:val="18"/>
                  <w:color w:val="0000FF"/>
                </w:rPr>
                <w:t>Index to Financial Statements</w:t>
              </w:r>
            </w:hyperlink>
          </w:p>
        </w:tc>
        <w:tc>
          <w:tcPr>
            <w:tcW w:w="5580" w:type="dxa"/>
            <w:vAlign w:val="bottom"/>
            <w:gridSpan w:val="10"/>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top w:val="single" w:sz="8" w:color="0000FF"/>
            </w:tcBorders>
          </w:tcPr>
          <w:p>
            <w:pPr>
              <w:spacing w:after="0"/>
              <w:rPr>
                <w:rFonts w:ascii="Arial" w:cs="Arial" w:eastAsia="Arial" w:hAnsi="Arial"/>
                <w:sz w:val="9"/>
                <w:szCs w:val="9"/>
                <w:color w:val="0000FF"/>
                <w:w w:val="73"/>
              </w:rPr>
            </w:pPr>
            <w:hyperlink w:anchor="page469">
              <w:r>
                <w:rPr>
                  <w:rFonts w:ascii="Arial" w:cs="Arial" w:eastAsia="Arial" w:hAnsi="Arial"/>
                  <w:sz w:val="9"/>
                  <w:szCs w:val="9"/>
                  <w:color w:val="0000FF"/>
                  <w:w w:val="73"/>
                </w:rPr>
                <w:t>F-1</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Presentation of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the context otherwise requires or otherwise specifies:</w:t>
      </w:r>
    </w:p>
    <w:p>
      <w:pPr>
        <w:spacing w:after="0" w:line="171" w:lineRule="exact"/>
        <w:rPr>
          <w:sz w:val="20"/>
          <w:szCs w:val="20"/>
          <w:color w:val="auto"/>
        </w:rPr>
      </w:pPr>
    </w:p>
    <w:p>
      <w:pPr>
        <w:ind w:left="640" w:right="680" w:hanging="328"/>
        <w:spacing w:after="0" w:line="342" w:lineRule="auto"/>
        <w:tabs>
          <w:tab w:leader="none" w:pos="63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information included in this information statement about GXO, including the Combined Financial Statements of GXO, assumes the completion of all of the transactions referred to in this information statement in connection with the separation and distribution.</w:t>
      </w:r>
    </w:p>
    <w:p>
      <w:pPr>
        <w:spacing w:after="0" w:line="69" w:lineRule="exact"/>
        <w:rPr>
          <w:rFonts w:ascii="Arial" w:cs="Arial" w:eastAsia="Arial" w:hAnsi="Arial"/>
          <w:sz w:val="16"/>
          <w:szCs w:val="16"/>
          <w:color w:val="auto"/>
        </w:rPr>
      </w:pPr>
    </w:p>
    <w:p>
      <w:pPr>
        <w:ind w:left="640" w:right="160" w:hanging="328"/>
        <w:spacing w:after="0" w:line="277"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as otherwise specified herein, references in this information statement to “GXO,” “we,” “us,” “our,” “our company” and “the company” refer to GXO Logistics, Inc., a Delaware corporation, and its combined subsidiaries.</w:t>
      </w:r>
    </w:p>
    <w:p>
      <w:pPr>
        <w:spacing w:after="0" w:line="116" w:lineRule="exact"/>
        <w:rPr>
          <w:rFonts w:ascii="Arial" w:cs="Arial" w:eastAsia="Arial" w:hAnsi="Arial"/>
          <w:sz w:val="18"/>
          <w:szCs w:val="18"/>
          <w:color w:val="auto"/>
        </w:rPr>
      </w:pPr>
    </w:p>
    <w:p>
      <w:pPr>
        <w:jc w:val="both"/>
        <w:ind w:left="640" w:hanging="328"/>
        <w:spacing w:after="0" w:line="263"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References in this information statement to “XPO” refer to XPO Logistics, Inc., a Delaware corporation, and its combined subsidiaries, including XPO’s Logistics segment prior to completion of the separation and the distribution and excluding XPO’s Logistics segment following completion of the separation and the distribution.</w:t>
      </w:r>
    </w:p>
    <w:p>
      <w:pPr>
        <w:spacing w:after="0" w:line="129" w:lineRule="exact"/>
        <w:rPr>
          <w:rFonts w:ascii="Arial" w:cs="Arial" w:eastAsia="Arial" w:hAnsi="Arial"/>
          <w:sz w:val="18"/>
          <w:szCs w:val="18"/>
          <w:color w:val="auto"/>
        </w:rPr>
      </w:pPr>
    </w:p>
    <w:p>
      <w:pPr>
        <w:ind w:left="640" w:hanging="328"/>
        <w:spacing w:after="0"/>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References in this information statement to the “GXO Businesses” refer to XPO’s Logistics segment.</w:t>
      </w:r>
    </w:p>
    <w:p>
      <w:pPr>
        <w:spacing w:after="0" w:line="171" w:lineRule="exact"/>
        <w:rPr>
          <w:rFonts w:ascii="Arial" w:cs="Arial" w:eastAsia="Arial" w:hAnsi="Arial"/>
          <w:sz w:val="18"/>
          <w:szCs w:val="18"/>
          <w:color w:val="auto"/>
        </w:rPr>
      </w:pPr>
    </w:p>
    <w:p>
      <w:pPr>
        <w:ind w:left="640" w:right="120" w:hanging="328"/>
        <w:spacing w:after="0" w:line="263"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GXO Businesses from XPO’s other businesses and the creation, as a result of the distribution, of an independent, publicly traded company, GXO, to hold the assets and liabilities associated with the GXO Businesses after the distribution.</w:t>
      </w:r>
    </w:p>
    <w:p>
      <w:pPr>
        <w:spacing w:after="0" w:line="129" w:lineRule="exact"/>
        <w:rPr>
          <w:rFonts w:ascii="Arial" w:cs="Arial" w:eastAsia="Arial" w:hAnsi="Arial"/>
          <w:sz w:val="18"/>
          <w:szCs w:val="18"/>
          <w:color w:val="auto"/>
        </w:rPr>
      </w:pPr>
    </w:p>
    <w:p>
      <w:pPr>
        <w:ind w:left="640" w:right="240" w:hanging="328"/>
        <w:spacing w:after="0" w:line="277" w:lineRule="auto"/>
        <w:tabs>
          <w:tab w:leader="none" w:pos="6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“distribution” refer to the pro rata distribution of all of GXO’s issued and outstanding shares of common stock to XPO stockholders as of the close of business on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40" w:top="1440" w:right="439" w:bottom="1440" w:gutter="0" w:footer="0" w:header="0"/>
        </w:sectPr>
      </w:pPr>
    </w:p>
    <w:bookmarkStart w:id="350" w:name="page351"/>
    <w:bookmarkEnd w:id="350"/>
    <w:p>
      <w:pPr>
        <w:spacing w:after="0" w:line="144" w:lineRule="exact"/>
        <w:rPr>
          <w:sz w:val="20"/>
          <w:szCs w:val="20"/>
          <w:color w:val="auto"/>
        </w:rPr>
      </w:pPr>
    </w:p>
    <w:p>
      <w:pPr>
        <w:ind w:left="660" w:right="40" w:hanging="328"/>
        <w:spacing w:after="0" w:line="277" w:lineRule="auto"/>
        <w:tabs>
          <w:tab w:leader="none" w:pos="6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References in this information statement to GXO’s per share data assume a distribution ratio of one share of GXO common stock for every share of XPO common stock.</w:t>
      </w:r>
    </w:p>
    <w:p>
      <w:pPr>
        <w:spacing w:after="0" w:line="11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References in this information statement to GXO’s historical assets, liabilities, products, businesses or activities generally refer to the historical assets, liabilities, products, businesses or activities of the GXO Businesses as the businesses were conducted as part of XPO prior to the completion of the separation.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Information</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Unless indicated otherwise, the information concerning the industries and markets in which GXO participates contained in this information statement is based on GXO’s general knowledge of and expectations concerning the industry. The market positions, shares, market sizes and growth estimates included in this information statement are based on estimates using GXO’s internal data and estimates, based on data from various industry analyses, our internal research and adjustments and assumptions that we believe to be reasonable. GXO has not independently verified data from industry analyses and cannot guarantee their accuracy or completeness. In addition, GXO believes that data regarding the industry, market positions, shares, market sizes and growth estimates provide general guidance but are inherently imprecise. Further, GXO’s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1440" w:right="459" w:bottom="1440" w:gutter="0" w:footer="0" w:header="0"/>
        </w:sectPr>
      </w:pPr>
    </w:p>
    <w:bookmarkStart w:id="351" w:name="page352"/>
    <w:bookmarkEnd w:id="3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 SUMMARY</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the distribution or other information that may be important to you. To better understand the separation, the distribution and our business and financial position, you should carefully review this entire information statement. Unless the context otherwise requires, the information included in this information statement about GXO, including the Combined Financial Statements of GXO, assumes the completion of all of the transactions referred to in this information statement in connection with the separation and distribution. Unless the context otherwise requires, or when otherwise specified, references in this information statement to “GXO,” “we,” “us,” “our,” “our company” and “the company” refer to GXO Logistics, Inc., a Delaware corporation, and its subsidiaries. Unless the context otherwise requires, references in this information statement to “XPO” refer to XPO Logistics, Inc., a Delaware corporation, and its combined subsidiaries, including the GXO Businesses prior to completion of the separation and distribution and excluding the GXO Businesses following the completion of the separation and distribution.</w:t>
      </w:r>
    </w:p>
    <w:p>
      <w:pPr>
        <w:spacing w:after="0" w:line="1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Unless the context otherwise requires, or when otherwise specified, references in this information statement to our historical assets, liabilities, products, businesses or activities of our businesses are generally intended to refer to the historical assets, liabilities, products, businesses or activities of the GXO Businesses as they were conducted as part of XPO prior to completion of the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1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blue-chip leaders in attractive sectors that demonstrate high growth or durable demand over time.</w:t>
      </w:r>
    </w:p>
    <w:p>
      <w:pPr>
        <w:spacing w:after="0" w:line="9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2020, we generated $6.2 billion of revenue. See “Summary Historical and Pro Forma Combined Financial Data” for additional information. As of March 31, 2021, we operated with approximately 93,000 team members (comprised of approximately 66,000 full-time and part-time employees and 27,000 temporary workers engaged through third-party agencies) and had 885 facilities worldwide, with 210 million square feet (20 million square meters) of logistics warehouse space. Approximately 104 million square feet (10 million square meters) was located in Europe; 99 million square feet (9 million square meters) was located in North America; and 7 million square feet (1 million square meters) was located in Asia. We operate these sites primarily on behalf of large corporations, who have outsourced their warehousing, distribution and other related activities to us.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40" w:right="20" w:hanging="322"/>
        <w:spacing w:after="0" w:line="259" w:lineRule="auto"/>
        <w:tabs>
          <w:tab w:leader="none" w:pos="635"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Our significant scale makes us well-positioned to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logistics 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132" w:lineRule="exact"/>
        <w:rPr>
          <w:rFonts w:ascii="Arial" w:cs="Arial" w:eastAsia="Arial" w:hAnsi="Arial"/>
          <w:sz w:val="18"/>
          <w:szCs w:val="18"/>
          <w:color w:val="auto"/>
        </w:rPr>
      </w:pPr>
    </w:p>
    <w:p>
      <w:pPr>
        <w:ind w:left="640" w:right="900" w:hanging="322"/>
        <w:spacing w:after="0" w:line="308" w:lineRule="auto"/>
        <w:tabs>
          <w:tab w:leader="none" w:pos="635" w:val="left"/>
        </w:tabs>
        <w:numPr>
          <w:ilvl w:val="0"/>
          <w:numId w:val="277"/>
        </w:numPr>
        <w:rPr>
          <w:rFonts w:ascii="Arial" w:cs="Arial" w:eastAsia="Arial" w:hAnsi="Arial"/>
          <w:sz w:val="17"/>
          <w:szCs w:val="17"/>
          <w:color w:val="auto"/>
        </w:rPr>
      </w:pPr>
      <w:r>
        <w:rPr>
          <w:rFonts w:ascii="Arial" w:cs="Arial" w:eastAsia="Arial" w:hAnsi="Arial"/>
          <w:sz w:val="17"/>
          <w:szCs w:val="17"/>
          <w:i w:val="1"/>
          <w:iCs w:val="1"/>
          <w:color w:val="auto"/>
        </w:rPr>
        <w:t xml:space="preserve">Robust Technological Differentiation: </w:t>
      </w:r>
      <w:r>
        <w:rPr>
          <w:rFonts w:ascii="Arial" w:cs="Arial" w:eastAsia="Arial" w:hAnsi="Arial"/>
          <w:sz w:val="17"/>
          <w:szCs w:val="17"/>
          <w:color w:val="auto"/>
        </w:rPr>
        <w:t>We are strongly differentiated by our technology as an innovative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sophisticated logistics solutions that enhance visibility, speed, accuracy and cost effectiveness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352" w:name="page353"/>
    <w:bookmarkEnd w:id="3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our customers, and by our ability to customize our technology-enabled services to each customer’s requirements;</w:t>
      </w:r>
    </w:p>
    <w:p>
      <w:pPr>
        <w:spacing w:after="0" w:line="183" w:lineRule="exact"/>
        <w:rPr>
          <w:sz w:val="20"/>
          <w:szCs w:val="20"/>
          <w:color w:val="auto"/>
        </w:rPr>
      </w:pPr>
    </w:p>
    <w:p>
      <w:pPr>
        <w:ind w:left="640" w:right="380" w:hanging="322"/>
        <w:spacing w:after="0" w:line="263" w:lineRule="auto"/>
        <w:tabs>
          <w:tab w:leader="none" w:pos="635"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w:t>
      </w:r>
      <w:r>
        <w:rPr>
          <w:rFonts w:ascii="Arial" w:cs="Arial" w:eastAsia="Arial" w:hAnsi="Arial"/>
          <w:sz w:val="18"/>
          <w:szCs w:val="18"/>
          <w:i w:val="1"/>
          <w:iCs w:val="1"/>
          <w:color w:val="auto"/>
        </w:rPr>
        <w:t xml:space="preserve"> </w:t>
      </w:r>
      <w:r>
        <w:rPr>
          <w:rFonts w:ascii="Arial" w:cs="Arial" w:eastAsia="Arial" w:hAnsi="Arial"/>
          <w:sz w:val="18"/>
          <w:szCs w:val="18"/>
          <w:color w:val="auto"/>
        </w:rPr>
        <w:t>durable fundamentals 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40" w:right="380" w:hanging="322"/>
        <w:spacing w:after="0" w:line="301" w:lineRule="auto"/>
        <w:tabs>
          <w:tab w:leader="none" w:pos="635"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Resilient Business Model with Multiple Drivers of Profitable Growth: </w:t>
      </w:r>
      <w:r>
        <w:rPr>
          <w:rFonts w:ascii="Arial" w:cs="Arial" w:eastAsia="Arial" w:hAnsi="Arial"/>
          <w:sz w:val="16"/>
          <w:szCs w:val="16"/>
          <w:color w:val="auto"/>
        </w:rPr>
        <w:t>We have numerous avenues for profitable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long runway 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03" w:lineRule="exact"/>
        <w:rPr>
          <w:rFonts w:ascii="Arial" w:cs="Arial" w:eastAsia="Arial" w:hAnsi="Arial"/>
          <w:sz w:val="16"/>
          <w:szCs w:val="16"/>
          <w:color w:val="auto"/>
        </w:rPr>
      </w:pPr>
    </w:p>
    <w:p>
      <w:pPr>
        <w:jc w:val="both"/>
        <w:ind w:left="640" w:right="240" w:hanging="322"/>
        <w:spacing w:after="0" w:line="263" w:lineRule="auto"/>
        <w:tabs>
          <w:tab w:leader="none" w:pos="635"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and Cohesive Leadership: </w:t>
      </w:r>
      <w:r>
        <w:rPr>
          <w:rFonts w:ascii="Arial" w:cs="Arial" w:eastAsia="Arial" w:hAnsi="Arial"/>
          <w:sz w:val="18"/>
          <w:szCs w:val="18"/>
          <w:color w:val="auto"/>
        </w:rPr>
        <w:t>Our company is led by highly experienced executives who are recognized as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in their respective fields, and who will work together to create sustainable value through operational excellence and a purposeful culture.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GXO is the largest pure-play contract logistics provider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Order fulfillment times are compressing, and new channels are emerging as companies seek to improve the efficiency, speed and visibility of their supply chain activities, notably in the direct-to-consumer space. The most effective way to meet these expectations is through outsourced solutions that provide advanced automation, digital visibility and intelligent machines, such as robotics and autonomous goods-to-person systems — all capabilities we offer today.</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Robust Technological Differentiation</w:t>
      </w:r>
      <w:r>
        <w:rPr>
          <w:rFonts w:ascii="Arial" w:cs="Arial" w:eastAsia="Arial" w:hAnsi="Arial"/>
          <w:sz w:val="18"/>
          <w:szCs w:val="18"/>
          <w:color w:val="auto"/>
        </w:rPr>
        <w:t>. Logistics processes are ripe for transformation through automation. As a global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innovation, GXO is well positioned to capitalize on this evolution. Increasingly, customers want technology-enabled, highly customized solutions that incorporate intelligent automation and data science, particularly in e-commerce, omnichannel retail and direct-to-consumer channels. The timely delivery of goods to consumers is becoming imperative, leading to compressed order fulfillment times. Our focus as an innovator is on helping our customers meet the expectations of their customers, with reliable outcomes, more visibility and greater efficiency.</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In 2019, we integrated cobots (collaborative robots) and goods-to-person systems in a number of our sites to support our warehouse employees; this </w:t>
      </w:r>
      <w:r>
        <w:rPr>
          <w:rFonts w:ascii="Arial" w:cs="Arial" w:eastAsia="Arial" w:hAnsi="Arial"/>
          <w:sz w:val="18"/>
          <w:szCs w:val="18"/>
          <w:color w:val="auto"/>
          <w:highlight w:val="white"/>
        </w:rPr>
        <w:t>substantially increased throughput in 2020.</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Long-Term Customer Relationships in Attractive Verticals</w:t>
      </w:r>
      <w:r>
        <w:rPr>
          <w:rFonts w:ascii="Arial" w:cs="Arial" w:eastAsia="Arial" w:hAnsi="Arial"/>
          <w:sz w:val="17"/>
          <w:szCs w:val="17"/>
          <w:color w:val="auto"/>
        </w:rPr>
        <w:t>. Our customer base includes numerous long-term relationships with blue-chip market leaders and world-class brands, including over 30% of Fortune 100 companies and 24% of the Fortune Global 100. Our customers operate in sectors with high-growth outsourcing opportunities, such as retail and e-commerce, food and beverage, consumer packaged goods, consumer technology, telecommunications, manufacturing, chemical, agribusiness, life sciences and healthcare. We have extensive experience in these verticals, and we understand the specific requirements for quality control, real-time visibility, special handling, security, complex stock-keeping, time-assured deliveries and agility during surges in demand. The average relationship tenure for our top 20 customers in 2020, based on revenue, was approximately 15 years.</w:t>
      </w:r>
    </w:p>
    <w:p>
      <w:pPr>
        <w:spacing w:after="0" w:line="12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Resilient Business Model with Multiple Drivers of Profitable Growth</w:t>
      </w:r>
      <w:r>
        <w:rPr>
          <w:rFonts w:ascii="Arial" w:cs="Arial" w:eastAsia="Arial" w:hAnsi="Arial"/>
          <w:sz w:val="18"/>
          <w:szCs w:val="18"/>
          <w:color w:val="auto"/>
        </w:rPr>
        <w:t>. We have numerous drivers of profitable growth,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long runway for margin expansion through continuous deployment of our technology, as well as our asset-light business model, which has historically been resilient across cycles, with high returns, strong free cash flow and visibility into revenue and earnings. The vast majority of our contracts with customers are multi-year agreements, with facility lease arrangements that generally align with contract length. Historically, our retention rate has been approximately 93%. Additionally, our business requires limited maintenance capital spending, which</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40"/>
          </w:cols>
          <w:pgMar w:left="1000" w:top="1440" w:right="1059" w:bottom="1440" w:gutter="0" w:footer="0" w:header="0"/>
          <w:type w:val="continuous"/>
        </w:sectPr>
      </w:pPr>
    </w:p>
    <w:bookmarkStart w:id="353" w:name="page354"/>
    <w:bookmarkEnd w:id="3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provides us with the flexibility to adjust our overall capital spending to changes in the macro environment. We are committed to continuing to deploy capital with discipline and agility to maximize shareholder value.</w:t>
      </w:r>
    </w:p>
    <w:p>
      <w:pPr>
        <w:spacing w:after="0" w:line="1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i w:val="1"/>
          <w:iCs w:val="1"/>
          <w:color w:val="auto"/>
        </w:rPr>
        <w:t>Experienced and Cohesive Leadership</w:t>
      </w:r>
      <w:r>
        <w:rPr>
          <w:rFonts w:ascii="Arial" w:cs="Arial" w:eastAsia="Arial" w:hAnsi="Arial"/>
          <w:sz w:val="18"/>
          <w:szCs w:val="18"/>
          <w:color w:val="auto"/>
        </w:rPr>
        <w:t>. Our company and its culture are led by Malcolm Wilson, chief executive officer, and Baris</w:t>
      </w:r>
      <w:r>
        <w:rPr>
          <w:rFonts w:ascii="Arial" w:cs="Arial" w:eastAsia="Arial" w:hAnsi="Arial"/>
          <w:sz w:val="18"/>
          <w:szCs w:val="18"/>
          <w:i w:val="1"/>
          <w:iCs w:val="1"/>
          <w:color w:val="auto"/>
        </w:rPr>
        <w:t xml:space="preserve"> </w:t>
      </w:r>
      <w:r>
        <w:rPr>
          <w:rFonts w:ascii="Arial" w:cs="Arial" w:eastAsia="Arial" w:hAnsi="Arial"/>
          <w:sz w:val="18"/>
          <w:szCs w:val="18"/>
          <w:color w:val="auto"/>
        </w:rPr>
        <w:t>Oran, chief financial officer. Each of our executives has decades of experience in their respective fields, having previously served in leadership roles in businesses around the globe. Our executives foster a company culture that is safe, respectful, entrepreneurial, innovative, and inclusive, with a focus on diversity, equity and inclusion that continues to shape our recruitment efforts and work environments.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Our strategy is to help our customers manage their supply chains efficiently, using our network of people, technology and physical assets. Our growth and optimization strategy encompasses (i) developing additional business in verticals where we already have deep expertise, long-term relationships with prominent customers and a strong track record of performance, by successfully selling to new customers and by serving existing customers expertly through new projects, thus earning more of their external and internal logistics spend; (ii) marketing the advantages of our proprietary technology for warehouse operations, which we use to manage advanced automation, robotics, labor productivity, inventory management, safety, seasonal changes in demand and other aspects of complex logistics environments; (iii) partnering with our customers in meeting their goals for supply chain performance, risk mitigation, cost efficiency, growth management and stakeholder satisfaction, by helping them overcome challenges specific to their business; and (iv) integrating industry best practices into our operations to drive productivity, with a focus on automation and other levers of profitable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productivity is driven in large part by our proprietary warehouse management platform and order management system, as well as our comprehensive “Smart” suite of tools and analytics designed to enhance labor and inventory management. Our intelligent tools and analytics self-learn daily, site by site, to continuously optimize productivity. This technology incorporates dynamic data science, predictive analytics and machine learning to aid in decision-making. Our site managers use these tools to improve productivity in a safe, disciplined and cost-effective manner. See “Technology and Intellectual Property” for more information.</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Additionally, we have developed analytics that predict future surges in demand based on data histories and forecasted customer spend. Our demand forecasting helps our customers manage their supply chains throughout the ebb and flow of required volumes, while meeting the expectations of their end-markets. In the e-commerce industry, for example, about 15% to 35% of consumer goods bought online are returned, depending on the product category, which creates reverse peaks at certain times of year. We have been able to shave several days off the reverse logistics process through automation, accelerating our customers’ ability to get e-commerce goods back into inventory for resale. We believe our expertise in managing the complexities of returned items is a strategic advantage and a key differentiator from our peers.</w:t>
      </w:r>
    </w:p>
    <w:p>
      <w:pPr>
        <w:spacing w:after="0" w:line="14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Another type of innovation that differentiates GXO is our “Direct” shared-space distribution network for business-to-consumer (“B2C”) and business-to-business (“B2B”) customers in North America. This network gives retailers, e-tailers and manufacturers access to our scale, expertise and technology without the high fixed costs of traditional distribution center models. Our customers can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service responds directly to end-market expectations for shorter fulfillment times, and consequently, it enhances brand loyalty for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company is subject to a number of risks, including risks related to our business, risks related to the separation and distribution and risks related to our common stock. Set forth below is a high-level summary of some, but not all, of these risks. Please read the information in the section titled “Risk Factors” of this information statement for a more thorough description of these and other risks.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354" w:name="page355"/>
    <w:bookmarkEnd w:id="3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16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Strategy and Operations</w:t>
      </w:r>
    </w:p>
    <w:p>
      <w:pPr>
        <w:spacing w:after="0" w:line="171" w:lineRule="exact"/>
        <w:rPr>
          <w:sz w:val="20"/>
          <w:szCs w:val="20"/>
          <w:color w:val="auto"/>
        </w:rPr>
      </w:pPr>
    </w:p>
    <w:p>
      <w:pPr>
        <w:ind w:left="322" w:hanging="322"/>
        <w:spacing w:after="0" w:line="277" w:lineRule="auto"/>
        <w:tabs>
          <w:tab w:leader="none" w:pos="31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We operate in a highly competitive industry, and failure to compete or respond to customer requirements could negatively affect our business and our results of operations.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Increases in our labor costs to attract, train and retain employees may have a material adverse effect on us.</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We depend on our ability to attract and retain qualified employees and temporary workers.</w:t>
      </w:r>
    </w:p>
    <w:p>
      <w:pPr>
        <w:spacing w:after="0" w:line="171" w:lineRule="exact"/>
        <w:rPr>
          <w:rFonts w:ascii="Arial" w:cs="Arial" w:eastAsia="Arial" w:hAnsi="Arial"/>
          <w:sz w:val="18"/>
          <w:szCs w:val="18"/>
          <w:color w:val="auto"/>
        </w:rPr>
      </w:pPr>
    </w:p>
    <w:p>
      <w:pPr>
        <w:ind w:left="322" w:right="580" w:hanging="322"/>
        <w:spacing w:after="0" w:line="277" w:lineRule="auto"/>
        <w:tabs>
          <w:tab w:leader="none" w:pos="31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Economic recessions and other factors that reduce consumer spending, both in North America and Europe, could have a material adverse impact on our business.</w:t>
      </w:r>
    </w:p>
    <w:p>
      <w:pPr>
        <w:spacing w:after="0" w:line="116" w:lineRule="exact"/>
        <w:rPr>
          <w:rFonts w:ascii="Arial" w:cs="Arial" w:eastAsia="Arial" w:hAnsi="Arial"/>
          <w:sz w:val="18"/>
          <w:szCs w:val="18"/>
          <w:color w:val="auto"/>
        </w:rPr>
      </w:pPr>
    </w:p>
    <w:p>
      <w:pPr>
        <w:ind w:left="322" w:right="340" w:hanging="322"/>
        <w:spacing w:after="0" w:line="277" w:lineRule="auto"/>
        <w:tabs>
          <w:tab w:leader="none" w:pos="31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We may not successfully manage our growth.</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Our overseas operations are subject to various operational and financial risks that could adversely affect our business.</w:t>
      </w:r>
    </w:p>
    <w:p>
      <w:pPr>
        <w:spacing w:after="0" w:line="182" w:lineRule="exact"/>
        <w:rPr>
          <w:rFonts w:ascii="Arial" w:cs="Arial" w:eastAsia="Arial" w:hAnsi="Arial"/>
          <w:sz w:val="17"/>
          <w:szCs w:val="17"/>
          <w:color w:val="auto"/>
        </w:rPr>
      </w:pPr>
    </w:p>
    <w:p>
      <w:pPr>
        <w:ind w:left="322" w:right="20" w:hanging="322"/>
        <w:spacing w:after="0" w:line="277" w:lineRule="auto"/>
        <w:tabs>
          <w:tab w:leader="none" w:pos="31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left="322" w:right="740" w:hanging="323"/>
        <w:spacing w:after="0" w:line="277" w:lineRule="auto"/>
        <w:tabs>
          <w:tab w:leader="none" w:pos="301" w:val="left"/>
        </w:tabs>
        <w:rPr>
          <w:sz w:val="20"/>
          <w:szCs w:val="20"/>
          <w:color w:val="auto"/>
        </w:rPr>
      </w:pPr>
      <w:r>
        <w:rPr>
          <w:rFonts w:ascii="Arial" w:cs="Arial" w:eastAsia="Arial" w:hAnsi="Arial"/>
          <w:sz w:val="18"/>
          <w:szCs w:val="18"/>
          <w:color w:val="auto"/>
        </w:rPr>
        <w:t>•</w:t>
        <w:tab/>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left="322" w:right="360" w:hanging="322"/>
        <w:spacing w:after="0" w:line="277" w:lineRule="auto"/>
        <w:tabs>
          <w:tab w:leader="none" w:pos="31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contractual terms between us and our customers could expose us to penalties and costs in the event we do not meet the contractually prescribed performance levels.</w:t>
      </w:r>
    </w:p>
    <w:p>
      <w:pPr>
        <w:spacing w:after="0" w:line="116" w:lineRule="exact"/>
        <w:rPr>
          <w:rFonts w:ascii="Arial" w:cs="Arial" w:eastAsia="Arial" w:hAnsi="Arial"/>
          <w:sz w:val="18"/>
          <w:szCs w:val="18"/>
          <w:color w:val="auto"/>
        </w:rPr>
      </w:pPr>
    </w:p>
    <w:p>
      <w:pPr>
        <w:ind w:left="322" w:right="240" w:hanging="322"/>
        <w:spacing w:after="0" w:line="277" w:lineRule="auto"/>
        <w:tabs>
          <w:tab w:leader="none" w:pos="31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Our operations are subject to seasonal fluctuations, and our inability to manage these fluctuations could negatively affect our business and our results of operations.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 operations, results of operations, cash flows and financial position.</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Use of Technology</w:t>
      </w:r>
    </w:p>
    <w:p>
      <w:pPr>
        <w:spacing w:after="0" w:line="171" w:lineRule="exact"/>
        <w:rPr>
          <w:sz w:val="20"/>
          <w:szCs w:val="20"/>
          <w:color w:val="auto"/>
        </w:rPr>
      </w:pPr>
    </w:p>
    <w:p>
      <w:pPr>
        <w:ind w:left="322" w:right="200" w:hanging="322"/>
        <w:spacing w:after="0" w:line="277" w:lineRule="auto"/>
        <w:tabs>
          <w:tab w:leader="none" w:pos="3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rFonts w:ascii="Arial" w:cs="Arial" w:eastAsia="Arial" w:hAnsi="Arial"/>
          <w:sz w:val="18"/>
          <w:szCs w:val="18"/>
          <w:color w:val="auto"/>
        </w:rPr>
      </w:pPr>
    </w:p>
    <w:p>
      <w:pPr>
        <w:ind w:left="322" w:right="480" w:hanging="322"/>
        <w:spacing w:after="0" w:line="277" w:lineRule="auto"/>
        <w:tabs>
          <w:tab w:leader="none" w:pos="3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failure of our information technology infrastructure or a breach of our information systems, networks or processes may materially adversely affect our business.</w:t>
      </w:r>
    </w:p>
    <w:p>
      <w:pPr>
        <w:spacing w:after="0" w:line="116" w:lineRule="exact"/>
        <w:rPr>
          <w:rFonts w:ascii="Arial" w:cs="Arial" w:eastAsia="Arial" w:hAnsi="Arial"/>
          <w:sz w:val="18"/>
          <w:szCs w:val="18"/>
          <w:color w:val="auto"/>
        </w:rPr>
      </w:pPr>
    </w:p>
    <w:p>
      <w:pPr>
        <w:ind w:left="322" w:right="160" w:hanging="322"/>
        <w:spacing w:after="0" w:line="263" w:lineRule="auto"/>
        <w:tabs>
          <w:tab w:leader="none" w:pos="31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Third-Party Relationships</w:t>
      </w:r>
    </w:p>
    <w:p>
      <w:pPr>
        <w:spacing w:after="0" w:line="171" w:lineRule="exact"/>
        <w:rPr>
          <w:sz w:val="20"/>
          <w:szCs w:val="20"/>
          <w:color w:val="auto"/>
        </w:rPr>
      </w:pPr>
    </w:p>
    <w:p>
      <w:pPr>
        <w:ind w:left="322" w:hanging="322"/>
        <w:spacing w:after="0"/>
        <w:tabs>
          <w:tab w:leader="none" w:pos="32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Our business may be materially adversely affected by labor disputes or organizing efforts.</w:t>
      </w:r>
    </w:p>
    <w:p>
      <w:pPr>
        <w:spacing w:after="0" w:line="171" w:lineRule="exact"/>
        <w:rPr>
          <w:rFonts w:ascii="Arial" w:cs="Arial" w:eastAsia="Arial" w:hAnsi="Arial"/>
          <w:sz w:val="18"/>
          <w:szCs w:val="18"/>
          <w:color w:val="auto"/>
        </w:rPr>
      </w:pPr>
    </w:p>
    <w:p>
      <w:pPr>
        <w:ind w:left="322" w:right="520" w:hanging="322"/>
        <w:spacing w:after="0" w:line="308" w:lineRule="auto"/>
        <w:tabs>
          <w:tab w:leader="none" w:pos="31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Litigation and Regulations</w:t>
      </w:r>
    </w:p>
    <w:p>
      <w:pPr>
        <w:sectPr>
          <w:pgSz w:w="11900" w:h="16838" w:orient="portrait"/>
          <w:cols w:equalWidth="0" w:num="1">
            <w:col w:w="9542"/>
          </w:cols>
          <w:pgMar w:left="1318" w:top="1440" w:right="10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542"/>
          </w:cols>
          <w:pgMar w:left="1318" w:top="1440" w:right="1039" w:bottom="1162" w:gutter="0" w:footer="0" w:header="0"/>
          <w:type w:val="continuous"/>
        </w:sectPr>
      </w:pPr>
    </w:p>
    <w:bookmarkStart w:id="355" w:name="page356"/>
    <w:bookmarkEnd w:id="3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line="277" w:lineRule="auto"/>
        <w:tabs>
          <w:tab w:leader="none" w:pos="31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From time to time, we are involved in lawsuits and are subject to various claims that could result in significant expenditures and impact our operations.</w:t>
      </w:r>
    </w:p>
    <w:p>
      <w:pPr>
        <w:spacing w:after="0" w:line="116" w:lineRule="exact"/>
        <w:rPr>
          <w:rFonts w:ascii="Arial" w:cs="Arial" w:eastAsia="Arial" w:hAnsi="Arial"/>
          <w:sz w:val="18"/>
          <w:szCs w:val="18"/>
          <w:color w:val="auto"/>
        </w:rPr>
      </w:pPr>
    </w:p>
    <w:p>
      <w:pPr>
        <w:ind w:left="322" w:right="20" w:hanging="322"/>
        <w:spacing w:after="0" w:line="277" w:lineRule="auto"/>
        <w:tabs>
          <w:tab w:leader="none" w:pos="31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We are subject to risks associated with defined benefit plans for our current and former employees, which could have a material adverse effect on our earnings and financial position.</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Changes in income tax regulations for U.S. and multinational companies may increase our tax liability.</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We are subject to regulation, which could negatively impact our business.</w:t>
      </w:r>
    </w:p>
    <w:p>
      <w:pPr>
        <w:spacing w:after="0" w:line="171" w:lineRule="exact"/>
        <w:rPr>
          <w:rFonts w:ascii="Arial" w:cs="Arial" w:eastAsia="Arial" w:hAnsi="Arial"/>
          <w:sz w:val="18"/>
          <w:szCs w:val="18"/>
          <w:color w:val="auto"/>
        </w:rPr>
      </w:pPr>
    </w:p>
    <w:p>
      <w:pPr>
        <w:jc w:val="both"/>
        <w:ind w:left="322" w:right="200" w:hanging="322"/>
        <w:spacing w:after="0" w:line="263" w:lineRule="auto"/>
        <w:tabs>
          <w:tab w:leader="none" w:pos="31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71" w:lineRule="exact"/>
        <w:rPr>
          <w:sz w:val="20"/>
          <w:szCs w:val="20"/>
          <w:color w:val="auto"/>
        </w:rPr>
      </w:pPr>
    </w:p>
    <w:p>
      <w:pPr>
        <w:ind w:left="322" w:right="160" w:hanging="322"/>
        <w:spacing w:after="0" w:line="263"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129" w:lineRule="exact"/>
        <w:rPr>
          <w:rFonts w:ascii="Arial" w:cs="Arial" w:eastAsia="Arial" w:hAnsi="Arial"/>
          <w:sz w:val="18"/>
          <w:szCs w:val="18"/>
          <w:color w:val="auto"/>
        </w:rPr>
      </w:pPr>
    </w:p>
    <w:p>
      <w:pPr>
        <w:ind w:left="322" w:right="14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Following the separation and distribution, our financial profile will change, and we will be a smaller, less diversified company than XPO prior to the separation.</w:t>
      </w:r>
    </w:p>
    <w:p>
      <w:pPr>
        <w:spacing w:after="0" w:line="116" w:lineRule="exact"/>
        <w:rPr>
          <w:rFonts w:ascii="Arial" w:cs="Arial" w:eastAsia="Arial" w:hAnsi="Arial"/>
          <w:sz w:val="18"/>
          <w:szCs w:val="18"/>
          <w:color w:val="auto"/>
        </w:rPr>
      </w:pPr>
    </w:p>
    <w:p>
      <w:pPr>
        <w:ind w:left="322" w:right="16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 may not achieve some or all of the expected benefits of the separation and distribution, and the separation and distribution may materially adversely affect our business.</w:t>
      </w:r>
    </w:p>
    <w:p>
      <w:pPr>
        <w:spacing w:after="0" w:line="116" w:lineRule="exact"/>
        <w:rPr>
          <w:rFonts w:ascii="Arial" w:cs="Arial" w:eastAsia="Arial" w:hAnsi="Arial"/>
          <w:sz w:val="18"/>
          <w:szCs w:val="18"/>
          <w:color w:val="auto"/>
        </w:rPr>
      </w:pPr>
    </w:p>
    <w:p>
      <w:pPr>
        <w:jc w:val="both"/>
        <w:ind w:left="322" w:right="160" w:hanging="322"/>
        <w:spacing w:after="0" w:line="263"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9" w:lineRule="exact"/>
        <w:rPr>
          <w:rFonts w:ascii="Arial" w:cs="Arial" w:eastAsia="Arial" w:hAnsi="Arial"/>
          <w:sz w:val="18"/>
          <w:szCs w:val="18"/>
          <w:color w:val="auto"/>
        </w:rPr>
      </w:pPr>
    </w:p>
    <w:p>
      <w:pPr>
        <w:ind w:left="322" w:right="20" w:hanging="322"/>
        <w:spacing w:after="0" w:line="308" w:lineRule="auto"/>
        <w:tabs>
          <w:tab w:leader="none" w:pos="31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92" w:lineRule="exact"/>
        <w:rPr>
          <w:rFonts w:ascii="Arial" w:cs="Arial" w:eastAsia="Arial" w:hAnsi="Arial"/>
          <w:sz w:val="17"/>
          <w:szCs w:val="17"/>
          <w:color w:val="auto"/>
        </w:rPr>
      </w:pPr>
    </w:p>
    <w:p>
      <w:pPr>
        <w:ind w:left="322" w:right="48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 have incurred debt obligations, and may in the future incur additional debt obligations, that could adversely affect our business and profitability and our ability to meet other obligations.</w:t>
      </w:r>
    </w:p>
    <w:p>
      <w:pPr>
        <w:spacing w:after="0" w:line="116" w:lineRule="exact"/>
        <w:rPr>
          <w:rFonts w:ascii="Arial" w:cs="Arial" w:eastAsia="Arial" w:hAnsi="Arial"/>
          <w:sz w:val="18"/>
          <w:szCs w:val="18"/>
          <w:color w:val="auto"/>
        </w:rPr>
      </w:pPr>
    </w:p>
    <w:p>
      <w:pPr>
        <w:ind w:left="322" w:right="40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 could experience temporary interruptions in business operations and incur additional costs as we build our information technology infrastructure and transition our data to our own systems.</w:t>
      </w:r>
    </w:p>
    <w:p>
      <w:pPr>
        <w:spacing w:after="0" w:line="116" w:lineRule="exact"/>
        <w:rPr>
          <w:rFonts w:ascii="Arial" w:cs="Arial" w:eastAsia="Arial" w:hAnsi="Arial"/>
          <w:sz w:val="18"/>
          <w:szCs w:val="18"/>
          <w:color w:val="auto"/>
        </w:rPr>
      </w:pPr>
    </w:p>
    <w:p>
      <w:pPr>
        <w:ind w:left="322" w:right="20" w:hanging="322"/>
        <w:spacing w:after="0" w:line="263"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29" w:lineRule="exact"/>
        <w:rPr>
          <w:rFonts w:ascii="Arial" w:cs="Arial" w:eastAsia="Arial" w:hAnsi="Arial"/>
          <w:sz w:val="18"/>
          <w:szCs w:val="18"/>
          <w:color w:val="auto"/>
        </w:rPr>
      </w:pPr>
    </w:p>
    <w:p>
      <w:pPr>
        <w:ind w:left="322" w:right="140" w:hanging="322"/>
        <w:spacing w:after="0" w:line="279" w:lineRule="auto"/>
        <w:tabs>
          <w:tab w:leader="none" w:pos="31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17" w:lineRule="exact"/>
        <w:rPr>
          <w:rFonts w:ascii="Arial" w:cs="Arial" w:eastAsia="Arial" w:hAnsi="Arial"/>
          <w:sz w:val="17"/>
          <w:szCs w:val="17"/>
          <w:color w:val="auto"/>
        </w:rPr>
      </w:pPr>
    </w:p>
    <w:p>
      <w:pPr>
        <w:ind w:left="322" w:right="6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rFonts w:ascii="Arial" w:cs="Arial" w:eastAsia="Arial" w:hAnsi="Arial"/>
          <w:sz w:val="18"/>
          <w:szCs w:val="18"/>
          <w:color w:val="auto"/>
        </w:rPr>
      </w:pPr>
    </w:p>
    <w:p>
      <w:pPr>
        <w:ind w:left="322" w:right="880" w:hanging="322"/>
        <w:spacing w:after="0" w:line="277" w:lineRule="auto"/>
        <w:tabs>
          <w:tab w:leader="none" w:pos="31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We may be held liable to XPO if we fail to perform certain services under the transition services agreement, and the performance of such services may negatively impact our business and operations.</w:t>
      </w:r>
    </w:p>
    <w:p>
      <w:pPr>
        <w:sectPr>
          <w:pgSz w:w="11900" w:h="16838" w:orient="portrait"/>
          <w:cols w:equalWidth="0" w:num="1">
            <w:col w:w="9542"/>
          </w:cols>
          <w:pgMar w:left="1318"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542"/>
          </w:cols>
          <w:pgMar w:left="1318" w:top="1440" w:right="1039" w:bottom="1440" w:gutter="0" w:footer="0" w:header="0"/>
          <w:type w:val="continuous"/>
        </w:sectPr>
      </w:pPr>
    </w:p>
    <w:bookmarkStart w:id="356" w:name="page357"/>
    <w:bookmarkEnd w:id="3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80" w:hanging="322"/>
        <w:spacing w:after="0" w:line="277" w:lineRule="auto"/>
        <w:tabs>
          <w:tab w:leader="none" w:pos="6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terms we will receive in our agreements with XPO could be less beneficial than the terms we may have otherwise received from unaffiliated third parties.</w:t>
      </w:r>
    </w:p>
    <w:p>
      <w:pPr>
        <w:spacing w:after="0" w:line="116" w:lineRule="exact"/>
        <w:rPr>
          <w:rFonts w:ascii="Arial" w:cs="Arial" w:eastAsia="Arial" w:hAnsi="Arial"/>
          <w:sz w:val="18"/>
          <w:szCs w:val="18"/>
          <w:color w:val="auto"/>
        </w:rPr>
      </w:pPr>
    </w:p>
    <w:p>
      <w:pPr>
        <w:ind w:left="640" w:right="120" w:hanging="322"/>
        <w:spacing w:after="0" w:line="273" w:lineRule="auto"/>
        <w:tabs>
          <w:tab w:leader="none" w:pos="63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23" w:lineRule="exact"/>
        <w:rPr>
          <w:rFonts w:ascii="Arial" w:cs="Arial" w:eastAsia="Arial" w:hAnsi="Arial"/>
          <w:sz w:val="17"/>
          <w:szCs w:val="17"/>
          <w:color w:val="auto"/>
        </w:rPr>
      </w:pPr>
    </w:p>
    <w:p>
      <w:pPr>
        <w:ind w:left="640" w:hanging="322"/>
        <w:spacing w:after="0"/>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We may not be able to engage in desirable capital-raising or strategic transactions following the separation.</w:t>
      </w:r>
    </w:p>
    <w:p>
      <w:pPr>
        <w:spacing w:after="0" w:line="171" w:lineRule="exact"/>
        <w:rPr>
          <w:rFonts w:ascii="Arial" w:cs="Arial" w:eastAsia="Arial" w:hAnsi="Arial"/>
          <w:sz w:val="18"/>
          <w:szCs w:val="18"/>
          <w:color w:val="auto"/>
        </w:rPr>
      </w:pPr>
    </w:p>
    <w:p>
      <w:pPr>
        <w:ind w:left="640" w:hanging="322"/>
        <w:spacing w:after="0" w:line="259" w:lineRule="auto"/>
        <w:tabs>
          <w:tab w:leader="none" w:pos="6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32" w:lineRule="exact"/>
        <w:rPr>
          <w:rFonts w:ascii="Arial" w:cs="Arial" w:eastAsia="Arial" w:hAnsi="Arial"/>
          <w:sz w:val="18"/>
          <w:szCs w:val="18"/>
          <w:color w:val="auto"/>
        </w:rPr>
      </w:pPr>
    </w:p>
    <w:p>
      <w:pPr>
        <w:ind w:left="640" w:right="160" w:hanging="322"/>
        <w:spacing w:after="0" w:line="277" w:lineRule="auto"/>
        <w:tabs>
          <w:tab w:leader="none" w:pos="6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Until the distribution occurs, the XPO board of directors has sole and absolute discretion to change the terms of the separation and distribution in ways that may be unfavorable to us.</w:t>
      </w:r>
    </w:p>
    <w:p>
      <w:pPr>
        <w:spacing w:after="0" w:line="116" w:lineRule="exact"/>
        <w:rPr>
          <w:rFonts w:ascii="Arial" w:cs="Arial" w:eastAsia="Arial" w:hAnsi="Arial"/>
          <w:sz w:val="18"/>
          <w:szCs w:val="18"/>
          <w:color w:val="auto"/>
        </w:rPr>
      </w:pPr>
    </w:p>
    <w:p>
      <w:pPr>
        <w:ind w:left="640" w:right="200" w:hanging="322"/>
        <w:spacing w:after="0" w:line="263" w:lineRule="auto"/>
        <w:tabs>
          <w:tab w:leader="none" w:pos="6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71" w:lineRule="exact"/>
        <w:rPr>
          <w:sz w:val="20"/>
          <w:szCs w:val="20"/>
          <w:color w:val="auto"/>
        </w:rPr>
      </w:pPr>
    </w:p>
    <w:p>
      <w:pPr>
        <w:ind w:left="640" w:right="6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There may be substantial and rapid changes in our stockholder base, which may cause our stock price to fluctuate significantly.</w:t>
      </w:r>
    </w:p>
    <w:p>
      <w:pPr>
        <w:spacing w:after="0" w:line="194" w:lineRule="exact"/>
        <w:rPr>
          <w:rFonts w:ascii="Arial" w:cs="Arial" w:eastAsia="Arial" w:hAnsi="Arial"/>
          <w:sz w:val="16"/>
          <w:szCs w:val="16"/>
          <w:color w:val="auto"/>
        </w:rPr>
      </w:pPr>
    </w:p>
    <w:p>
      <w:pPr>
        <w:ind w:left="640" w:right="2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significant number of shares of our common stock may be sold following the distribution, which may cause our stock price to decline.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stockholder’s percentage of ownership in GXO may be diluted in the future at any given time.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We cannot guarantee the timing, amount or payment of dividends on our common stock.</w:t>
      </w:r>
    </w:p>
    <w:p>
      <w:pPr>
        <w:spacing w:after="0" w:line="171"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rFonts w:ascii="Arial" w:cs="Arial" w:eastAsia="Arial" w:hAnsi="Arial"/>
          <w:sz w:val="18"/>
          <w:szCs w:val="18"/>
          <w:color w:val="auto"/>
        </w:rPr>
      </w:pPr>
    </w:p>
    <w:p>
      <w:pPr>
        <w:ind w:left="640" w:right="62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GXO’s amended and restated certificate of incorporation will contain an exclusive forum provision that may discourage lawsuits against GXO and GXO’s directors and officers.</w:t>
      </w:r>
    </w:p>
    <w:p>
      <w:pPr>
        <w:spacing w:after="0" w:line="116"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combined post-separation value of one share of XPO common stock and one share of GXO common stock may not equal or exceed the pre-distribution value of one share of XPO common stock.</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Our Chairman controls a large portion of our stock, which could limit other stockholders’ ability to influence the outcome of key decisions and transactions, including changes of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December 2020, XPO announced its intention to separate into two independent, publicly traded companies. The separation will occur through a pro rata distribution to XPO stockholders of 100% of the shares of common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0"/>
          </w:cols>
          <w:pgMar w:left="1000" w:top="1440" w:right="1019" w:bottom="1440" w:gutter="0" w:footer="0" w:header="0"/>
          <w:type w:val="continuous"/>
        </w:sectPr>
      </w:pPr>
    </w:p>
    <w:bookmarkStart w:id="357" w:name="page358"/>
    <w:bookmarkEnd w:id="3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420"/>
        <w:spacing w:after="0" w:line="277" w:lineRule="auto"/>
        <w:rPr>
          <w:sz w:val="20"/>
          <w:szCs w:val="20"/>
          <w:color w:val="auto"/>
        </w:rPr>
      </w:pPr>
      <w:r>
        <w:rPr>
          <w:rFonts w:ascii="Arial" w:cs="Arial" w:eastAsia="Arial" w:hAnsi="Arial"/>
          <w:sz w:val="18"/>
          <w:szCs w:val="18"/>
          <w:color w:val="auto"/>
        </w:rPr>
        <w:t>stock of GXO, the newly formed company that will consist of XPO’s existing logistics business. XPO will remain a publicly traded company after the separation, consisting of its existing transportation business.</w:t>
      </w:r>
    </w:p>
    <w:p>
      <w:pPr>
        <w:spacing w:after="0" w:line="116" w:lineRule="exact"/>
        <w:rPr>
          <w:sz w:val="20"/>
          <w:szCs w:val="20"/>
          <w:color w:val="auto"/>
        </w:rPr>
      </w:pPr>
    </w:p>
    <w:p>
      <w:pPr>
        <w:ind w:left="6" w:right="160" w:firstLine="324"/>
        <w:spacing w:after="0" w:line="274" w:lineRule="auto"/>
        <w:rPr>
          <w:sz w:val="20"/>
          <w:szCs w:val="20"/>
          <w:color w:val="auto"/>
        </w:rPr>
      </w:pPr>
      <w:r>
        <w:rPr>
          <w:rFonts w:ascii="Arial" w:cs="Arial" w:eastAsia="Arial" w:hAnsi="Arial"/>
          <w:sz w:val="17"/>
          <w:szCs w:val="17"/>
          <w:color w:val="auto"/>
        </w:rPr>
        <w:t>On [ ], 2021, the XPO board of directors approved the distribution of all of GXO’s issued and outstanding shares of common stock on the basis of one share of GXO common stock for every share of XPO common stock held as of the close of business on</w:t>
      </w:r>
    </w:p>
    <w:p>
      <w:pPr>
        <w:ind w:left="506" w:hanging="506"/>
        <w:spacing w:after="0"/>
        <w:tabs>
          <w:tab w:leader="none" w:pos="50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2021, the record date for the distribution.</w:t>
      </w:r>
    </w:p>
    <w:p>
      <w:pPr>
        <w:spacing w:after="0" w:line="157"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GXO’s Post-Separation Relationship with XPO</w:t>
      </w:r>
    </w:p>
    <w:p>
      <w:pPr>
        <w:spacing w:after="0" w:line="171" w:lineRule="exact"/>
        <w:rPr>
          <w:sz w:val="20"/>
          <w:szCs w:val="20"/>
          <w:color w:val="auto"/>
        </w:rPr>
      </w:pPr>
    </w:p>
    <w:p>
      <w:pPr>
        <w:ind w:left="6" w:firstLine="324"/>
        <w:spacing w:after="0" w:line="289" w:lineRule="auto"/>
        <w:rPr>
          <w:sz w:val="20"/>
          <w:szCs w:val="20"/>
          <w:color w:val="auto"/>
        </w:rPr>
      </w:pPr>
      <w:r>
        <w:rPr>
          <w:rFonts w:ascii="Arial" w:cs="Arial" w:eastAsia="Arial" w:hAnsi="Arial"/>
          <w:sz w:val="16"/>
          <w:szCs w:val="16"/>
          <w:color w:val="auto"/>
        </w:rPr>
        <w:t>After the distribution, XPO and GXO will each be separate companies with separate management teams and separate boards of directors. Prior to the distribution, XPO and GXO will enter into the separation agreement. We will also enter into various other agreements that will provide a framework for our relationship with XPO after the separation,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us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12"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71" w:lineRule="exact"/>
        <w:rPr>
          <w:sz w:val="20"/>
          <w:szCs w:val="20"/>
          <w:color w:val="auto"/>
        </w:rPr>
      </w:pPr>
    </w:p>
    <w:p>
      <w:pPr>
        <w:ind w:left="6" w:right="380" w:firstLine="324"/>
        <w:spacing w:after="0" w:line="342" w:lineRule="auto"/>
        <w:rPr>
          <w:sz w:val="20"/>
          <w:szCs w:val="20"/>
          <w:color w:val="auto"/>
        </w:rPr>
      </w:pPr>
      <w:r>
        <w:rPr>
          <w:rFonts w:ascii="Arial" w:cs="Arial" w:eastAsia="Arial" w:hAnsi="Arial"/>
          <w:sz w:val="16"/>
          <w:szCs w:val="16"/>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70" w:lineRule="exact"/>
        <w:rPr>
          <w:sz w:val="20"/>
          <w:szCs w:val="20"/>
          <w:color w:val="auto"/>
        </w:rPr>
      </w:pPr>
    </w:p>
    <w:p>
      <w:pPr>
        <w:ind w:left="646" w:right="120" w:hanging="322"/>
        <w:spacing w:after="0" w:line="270" w:lineRule="auto"/>
        <w:tabs>
          <w:tab w:leader="none" w:pos="641"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profiles 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the distribution, and XPO will target achieving such rating over time. To the extent that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6" w:lineRule="exact"/>
        <w:rPr>
          <w:rFonts w:ascii="Arial" w:cs="Arial" w:eastAsia="Arial" w:hAnsi="Arial"/>
          <w:sz w:val="17"/>
          <w:szCs w:val="17"/>
          <w:color w:val="auto"/>
        </w:rPr>
      </w:pPr>
    </w:p>
    <w:p>
      <w:pPr>
        <w:ind w:left="646" w:right="280" w:hanging="322"/>
        <w:spacing w:after="0" w:line="257" w:lineRule="auto"/>
        <w:tabs>
          <w:tab w:leader="none" w:pos="641"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w:t>
      </w:r>
      <w:r>
        <w:rPr>
          <w:rFonts w:ascii="Arial" w:cs="Arial" w:eastAsia="Arial" w:hAnsi="Arial"/>
          <w:sz w:val="18"/>
          <w:szCs w:val="18"/>
          <w:i w:val="1"/>
          <w:iCs w:val="1"/>
          <w:color w:val="auto"/>
        </w:rPr>
        <w:t xml:space="preserve"> </w:t>
      </w:r>
      <w:r>
        <w:rPr>
          <w:rFonts w:ascii="Arial" w:cs="Arial" w:eastAsia="Arial" w:hAnsi="Arial"/>
          <w:sz w:val="18"/>
          <w:szCs w:val="18"/>
          <w:color w:val="auto"/>
        </w:rPr>
        <w:t>and GXO with its own pure-play equity currency that can be used to facilitate capital raising and to pursue accretive M&amp;A opportunities that are more closely aligned with each company’s strategic goals and expected growth opportunities. To the extent that the separate equity currencies are more attractively valued, this would further increase these benefits to XPO and GXO.</w:t>
      </w:r>
    </w:p>
    <w:p>
      <w:pPr>
        <w:spacing w:after="0" w:line="133" w:lineRule="exact"/>
        <w:rPr>
          <w:rFonts w:ascii="Arial" w:cs="Arial" w:eastAsia="Arial" w:hAnsi="Arial"/>
          <w:sz w:val="18"/>
          <w:szCs w:val="18"/>
          <w:color w:val="auto"/>
        </w:rPr>
      </w:pPr>
    </w:p>
    <w:p>
      <w:pPr>
        <w:ind w:left="646" w:right="40" w:hanging="322"/>
        <w:spacing w:after="0" w:line="279" w:lineRule="auto"/>
        <w:tabs>
          <w:tab w:leader="none" w:pos="641"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 xml:space="preserve">Improved Alignment of Management Incentives and Performance. </w:t>
      </w:r>
      <w:r>
        <w:rPr>
          <w:rFonts w:ascii="Arial" w:cs="Arial" w:eastAsia="Arial" w:hAnsi="Arial"/>
          <w:sz w:val="17"/>
          <w:szCs w:val="17"/>
          <w:color w:val="auto"/>
        </w:rPr>
        <w:t>The separation will allow each company to more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recruit, retain and motivate employees through the use of equity-based compensation that more closely reflects and aligns management and employee incentives with specific growth objectives, financial goals and business attributes. To the extent that the separate equity currencies are more attractively valued, this would further benefit XPO and GXO.</w:t>
      </w:r>
    </w:p>
    <w:p>
      <w:pPr>
        <w:spacing w:after="0" w:line="117" w:lineRule="exact"/>
        <w:rPr>
          <w:rFonts w:ascii="Arial" w:cs="Arial" w:eastAsia="Arial" w:hAnsi="Arial"/>
          <w:sz w:val="17"/>
          <w:szCs w:val="17"/>
          <w:color w:val="auto"/>
        </w:rPr>
      </w:pPr>
    </w:p>
    <w:p>
      <w:pPr>
        <w:ind w:left="646" w:right="20" w:hanging="322"/>
        <w:spacing w:after="0" w:line="257" w:lineRule="auto"/>
        <w:tabs>
          <w:tab w:leader="none" w:pos="641"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 xml:space="preserve">Separate Capital Structures and Allocation of Financial Resources. </w:t>
      </w:r>
      <w:r>
        <w:rPr>
          <w:rFonts w:ascii="Arial" w:cs="Arial" w:eastAsia="Arial" w:hAnsi="Arial"/>
          <w:sz w:val="18"/>
          <w:szCs w:val="18"/>
          <w:color w:val="auto"/>
        </w:rPr>
        <w:t>The separation will permit each company to allocate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resources to 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6"/>
          </w:cols>
          <w:pgMar w:left="994" w:top="1440" w:right="1019" w:bottom="1440" w:gutter="0" w:footer="0" w:header="0"/>
          <w:type w:val="continuous"/>
        </w:sectPr>
      </w:pPr>
    </w:p>
    <w:bookmarkStart w:id="358" w:name="page359"/>
    <w:bookmarkEnd w:id="3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564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right="400"/>
        <w:spacing w:after="0" w:line="263" w:lineRule="auto"/>
        <w:rPr>
          <w:sz w:val="20"/>
          <w:szCs w:val="20"/>
          <w:color w:val="auto"/>
        </w:rPr>
      </w:pPr>
      <w:r>
        <w:rPr>
          <w:rFonts w:ascii="Arial" w:cs="Arial" w:eastAsia="Arial" w:hAnsi="Arial"/>
          <w:sz w:val="18"/>
          <w:szCs w:val="18"/>
          <w:color w:val="auto"/>
        </w:rPr>
        <w:t>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30" w:lineRule="exact"/>
        <w:rPr>
          <w:sz w:val="20"/>
          <w:szCs w:val="20"/>
          <w:color w:val="auto"/>
        </w:rPr>
      </w:pPr>
    </w:p>
    <w:p>
      <w:pPr>
        <w:ind w:left="322" w:right="120" w:hanging="322"/>
        <w:spacing w:after="0" w:line="291" w:lineRule="auto"/>
        <w:tabs>
          <w:tab w:leader="none" w:pos="317"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t>Enhanced Management Focus on Core Businesses</w:t>
      </w:r>
      <w:r>
        <w:rPr>
          <w:rFonts w:ascii="Arial" w:cs="Arial" w:eastAsia="Arial" w:hAnsi="Arial"/>
          <w:sz w:val="16"/>
          <w:szCs w:val="16"/>
          <w:color w:val="auto"/>
        </w:rPr>
        <w:t>. The separation will provide each company’s management team with</w:t>
      </w:r>
      <w:r>
        <w:rPr>
          <w:rFonts w:ascii="Arial" w:cs="Arial" w:eastAsia="Arial" w:hAnsi="Arial"/>
          <w:sz w:val="16"/>
          <w:szCs w:val="16"/>
          <w:i w:val="1"/>
          <w:iCs w:val="1"/>
          <w:color w:val="auto"/>
        </w:rPr>
        <w:t xml:space="preserve"> </w:t>
      </w:r>
      <w:r>
        <w:rPr>
          <w:rFonts w:ascii="Arial" w:cs="Arial" w:eastAsia="Arial" w:hAnsi="Arial"/>
          <w:sz w:val="16"/>
          <w:szCs w:val="16"/>
          <w:color w:val="auto"/>
        </w:rPr>
        <w:t>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digital transportation platform and GXO’s productivity tools and warehouse management platform for its logistics operations.</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XPO board of directors also considered a number of potentially negative factors in evaluating the separation, including:</w:t>
      </w:r>
    </w:p>
    <w:p>
      <w:pPr>
        <w:spacing w:after="0" w:line="183" w:lineRule="exact"/>
        <w:rPr>
          <w:sz w:val="20"/>
          <w:szCs w:val="20"/>
          <w:color w:val="auto"/>
        </w:rPr>
      </w:pPr>
    </w:p>
    <w:p>
      <w:pPr>
        <w:ind w:left="322" w:hanging="322"/>
        <w:spacing w:after="0" w:line="255" w:lineRule="auto"/>
        <w:tabs>
          <w:tab w:leader="none" w:pos="317"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variety of 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38" w:lineRule="exact"/>
        <w:rPr>
          <w:rFonts w:ascii="Arial" w:cs="Arial" w:eastAsia="Arial" w:hAnsi="Arial"/>
          <w:sz w:val="18"/>
          <w:szCs w:val="18"/>
          <w:color w:val="auto"/>
        </w:rPr>
      </w:pPr>
    </w:p>
    <w:p>
      <w:pPr>
        <w:ind w:left="322" w:right="40" w:hanging="322"/>
        <w:spacing w:after="0" w:line="257" w:lineRule="auto"/>
        <w:tabs>
          <w:tab w:leader="none" w:pos="317"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Disruptions and Costs Related to the Separation</w:t>
      </w:r>
      <w:r>
        <w:rPr>
          <w:rFonts w:ascii="Arial" w:cs="Arial" w:eastAsia="Arial" w:hAnsi="Arial"/>
          <w:sz w:val="18"/>
          <w:szCs w:val="18"/>
          <w:color w:val="auto"/>
        </w:rPr>
        <w:t>. The actions required to separate the GXO Businesses from XPO could disrupt</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In 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33" w:lineRule="exact"/>
        <w:rPr>
          <w:rFonts w:ascii="Arial" w:cs="Arial" w:eastAsia="Arial" w:hAnsi="Arial"/>
          <w:sz w:val="18"/>
          <w:szCs w:val="18"/>
          <w:color w:val="auto"/>
        </w:rPr>
      </w:pPr>
    </w:p>
    <w:p>
      <w:pPr>
        <w:ind w:left="322" w:right="40" w:hanging="322"/>
        <w:spacing w:after="0" w:line="290" w:lineRule="auto"/>
        <w:tabs>
          <w:tab w:leader="none" w:pos="317"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 xml:space="preserve">Loss of Scale and Increased Administrative Costs. </w:t>
      </w:r>
      <w:r>
        <w:rPr>
          <w:rFonts w:ascii="Arial" w:cs="Arial" w:eastAsia="Arial" w:hAnsi="Arial"/>
          <w:sz w:val="16"/>
          <w:szCs w:val="16"/>
          <w:color w:val="auto"/>
        </w:rPr>
        <w:t>Prior to the separation, GXO is able to take advantage of XPO’s size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in 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1" w:lineRule="exact"/>
        <w:rPr>
          <w:rFonts w:ascii="Arial" w:cs="Arial" w:eastAsia="Arial" w:hAnsi="Arial"/>
          <w:sz w:val="16"/>
          <w:szCs w:val="16"/>
          <w:color w:val="auto"/>
        </w:rPr>
      </w:pPr>
    </w:p>
    <w:p>
      <w:pPr>
        <w:ind w:left="322" w:right="40" w:hanging="322"/>
        <w:spacing w:after="0" w:line="257" w:lineRule="auto"/>
        <w:tabs>
          <w:tab w:leader="none" w:pos="317"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Limitations on Strategic Transactions</w:t>
      </w:r>
      <w:r>
        <w:rPr>
          <w:rFonts w:ascii="Arial" w:cs="Arial" w:eastAsia="Arial" w:hAnsi="Arial"/>
          <w:sz w:val="18"/>
          <w:szCs w:val="18"/>
          <w:color w:val="auto"/>
        </w:rPr>
        <w:t>. Under the terms of the tax matters agreement that we will enter into with XPO,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restricted from taking certain actions that could cause the distribution or certain related transactions (or certain transactions undertaken as part of the internal reorganization) to fail to qualify as tax-free under applicable law. These restrictions may limit, for a period of time, our ability to pursue certain strategic transactions and equity issuances or engage in other transactions that might increase the value of our business.</w:t>
      </w:r>
    </w:p>
    <w:p>
      <w:pPr>
        <w:spacing w:after="0" w:line="79" w:lineRule="exact"/>
        <w:rPr>
          <w:rFonts w:ascii="Arial" w:cs="Arial" w:eastAsia="Arial" w:hAnsi="Arial"/>
          <w:sz w:val="18"/>
          <w:szCs w:val="18"/>
          <w:color w:val="auto"/>
        </w:rPr>
      </w:pPr>
    </w:p>
    <w:p>
      <w:pPr>
        <w:ind w:left="322" w:right="100" w:hanging="322"/>
        <w:spacing w:after="0" w:line="259" w:lineRule="auto"/>
        <w:tabs>
          <w:tab w:leader="none" w:pos="317"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know with certainty whether the combined market value of one share of our common stock and one share of XPO common stock will be less than, equal to or greater than the market value of one share of XPO common stock prior to the distribution.</w:t>
      </w:r>
    </w:p>
    <w:p>
      <w:pPr>
        <w:sectPr>
          <w:pgSz w:w="11900" w:h="16838" w:orient="portrait"/>
          <w:cols w:equalWidth="0" w:num="1">
            <w:col w:w="9562"/>
          </w:cols>
          <w:pgMar w:left="131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8"/>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562"/>
          </w:cols>
          <w:pgMar w:left="1318" w:top="1440" w:right="1019" w:bottom="1440" w:gutter="0" w:footer="0" w:header="0"/>
          <w:type w:val="continuous"/>
        </w:sectPr>
      </w:pPr>
    </w:p>
    <w:bookmarkStart w:id="359" w:name="page360"/>
    <w:bookmarkEnd w:id="3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1789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7136130" cy="417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Capitalization Summary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the post-distribution capitalization of GXO, see the section titled “Capitalization”.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GXO was incorporated in Delaware on February 16, 2021, for the purpose of holding the GXO Businesses in connection with the separation and distribution described herein. Prior to the transfer of the GXO Businesses to us by XPO, which will occur prior to the distribution, GXO will have no operations other than those incidental to the separation and related transactions. The address of our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principal executive offices will be [ ], [ ], [ ]. Our telephone number after the distribution will be [ ]. We maintain an internet site at </w:t>
      </w:r>
      <w:r>
        <w:rPr>
          <w:rFonts w:ascii="Arial" w:cs="Arial" w:eastAsia="Arial" w:hAnsi="Arial"/>
          <w:sz w:val="18"/>
          <w:szCs w:val="18"/>
          <w:i w:val="1"/>
          <w:iCs w:val="1"/>
          <w:color w:val="auto"/>
        </w:rPr>
        <w:t>www.[ ].com</w:t>
      </w:r>
      <w:r>
        <w:rPr>
          <w:rFonts w:ascii="Arial" w:cs="Arial" w:eastAsia="Arial" w:hAnsi="Arial"/>
          <w:sz w:val="18"/>
          <w:szCs w:val="18"/>
          <w:color w:val="auto"/>
        </w:rPr>
        <w:t xml:space="preserve">. </w:t>
      </w:r>
      <w:r>
        <w:rPr>
          <w:rFonts w:ascii="Arial" w:cs="Arial" w:eastAsia="Arial" w:hAnsi="Arial"/>
          <w:sz w:val="18"/>
          <w:szCs w:val="18"/>
          <w:b w:val="1"/>
          <w:bCs w:val="1"/>
          <w:color w:val="auto"/>
        </w:rPr>
        <w:t>Our website and the information contained therein or connected thereto are not incorporated</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color w:val="auto"/>
        </w:rPr>
        <w:t>into this information statement or the registration statement of which this information statement forms a part, or in any other filings with, or any information furnished or submitted to,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This information statement is being furnished solely to provide information to XPO stockholders who will receive shares of GXO common stock in the distribution. It is not, and is not to be construed as, an inducement or encouragement to buy or sell any of XPO’s or GXO’s securities. The information contained in this information statement is believed by GXO to be accurate as of the date set forth on its cover. Changes may occur after that date, and neither XPO nor GXO undertakes any obligation to update the information except as may be required in the normal course of their respective disclosure obligations and practices,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60"/>
          </w:cols>
          <w:pgMar w:left="1000" w:top="1440" w:right="1039" w:bottom="1440" w:gutter="0" w:footer="0" w:header="0"/>
        </w:sectPr>
      </w:pPr>
    </w:p>
    <w:bookmarkStart w:id="360" w:name="page361"/>
    <w:bookmarkEnd w:id="3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9840"/>
          </w:cols>
          <w:pgMar w:left="1020" w:top="1440" w:right="1039" w:bottom="1440" w:gutter="0" w:footer="0" w:header="0"/>
        </w:sectPr>
      </w:pPr>
    </w:p>
    <w:p>
      <w:pPr>
        <w:spacing w:after="0" w:line="227" w:lineRule="exact"/>
        <w:rPr>
          <w:sz w:val="20"/>
          <w:szCs w:val="20"/>
          <w:color w:val="auto"/>
        </w:rPr>
      </w:pPr>
    </w:p>
    <w:p>
      <w:pPr>
        <w:ind w:left="160" w:hanging="161"/>
        <w:spacing w:after="0" w:line="284" w:lineRule="auto"/>
        <w:rPr>
          <w:sz w:val="20"/>
          <w:szCs w:val="20"/>
          <w:color w:val="auto"/>
        </w:rPr>
      </w:pPr>
      <w:r>
        <w:rPr>
          <w:rFonts w:ascii="Arial" w:cs="Arial" w:eastAsia="Arial" w:hAnsi="Arial"/>
          <w:sz w:val="15"/>
          <w:szCs w:val="15"/>
          <w:b w:val="1"/>
          <w:bCs w:val="1"/>
          <w:i w:val="1"/>
          <w:iCs w:val="1"/>
          <w:color w:val="auto"/>
        </w:rPr>
        <w:t>What is GXO and why is XPO separating the GXO Businesses and distributing GXO common stock?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GXO, which is currently a wholly owned subsidiary of XPO, was formed to own and operate XPO’s GXO Businesses. The separation of GXO from XPO and the distribution of GXO common stock is intended, among other things, to simplify XPO’s business structure, enable the management of the two companies to pursue opportunities for long-term growth and profitability unique to each company’s business, and allow each business to more effectively implement its own capital structure, investment identity, and resource allocation strategies. XPO expects that the separation will result in enhanced long-term performance of each business for the reasons discussed in the section titled “The Separation and Distribution— Reasons for the Separation.”</w:t>
      </w:r>
    </w:p>
    <w:p>
      <w:pPr>
        <w:spacing w:after="0" w:line="60" w:lineRule="exact"/>
        <w:rPr>
          <w:sz w:val="20"/>
          <w:szCs w:val="20"/>
          <w:color w:val="auto"/>
        </w:rPr>
      </w:pPr>
    </w:p>
    <w:p>
      <w:pPr>
        <w:sectPr>
          <w:pgSz w:w="11900" w:h="16838" w:orient="portrait"/>
          <w:cols w:equalWidth="0" w:num="2">
            <w:col w:w="2820" w:space="160"/>
            <w:col w:w="6860"/>
          </w:cols>
          <w:pgMar w:left="1020" w:top="1440" w:right="10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ind w:right="40"/>
        <w:spacing w:after="0" w:line="212" w:lineRule="auto"/>
        <w:rPr>
          <w:sz w:val="20"/>
          <w:szCs w:val="20"/>
          <w:color w:val="auto"/>
        </w:rPr>
      </w:pPr>
      <w:r>
        <w:rPr>
          <w:rFonts w:ascii="Arial" w:cs="Arial" w:eastAsia="Arial" w:hAnsi="Arial"/>
          <w:sz w:val="18"/>
          <w:szCs w:val="18"/>
          <w:color w:val="auto"/>
        </w:rPr>
        <w:t>XPO is delivering this document to you because you are a holder of shares of XPO common stock. If you are a holder of shares of XPO common stock as of the close of business on [ ], 2021, the record date for the distribution, you will be entitled to receive one share of GXO common stock for every share of XPO common stock that you hold at the close of business on such date. This document is intended to describe the separation and distribution and help you understand how the separation and distribution will affect your post-separation ownership in XPO and GXO.</w:t>
      </w:r>
    </w:p>
    <w:p>
      <w:pPr>
        <w:spacing w:after="0" w:line="41" w:lineRule="exact"/>
        <w:rPr>
          <w:sz w:val="20"/>
          <w:szCs w:val="20"/>
          <w:color w:val="auto"/>
        </w:rPr>
      </w:pPr>
    </w:p>
    <w:p>
      <w:pPr>
        <w:sectPr>
          <w:pgSz w:w="11900" w:h="16838" w:orient="portrait"/>
          <w:cols w:equalWidth="0" w:num="2">
            <w:col w:w="2620" w:space="360"/>
            <w:col w:w="6860"/>
          </w:cols>
          <w:pgMar w:left="1020" w:top="1440" w:right="103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How will the separation of GXO from</w:t>
      </w:r>
      <w:r>
        <w:rPr>
          <w:sz w:val="20"/>
          <w:szCs w:val="20"/>
          <w:color w:val="auto"/>
        </w:rPr>
        <w:tab/>
      </w:r>
      <w:r>
        <w:rPr>
          <w:rFonts w:ascii="Arial" w:cs="Arial" w:eastAsia="Arial" w:hAnsi="Arial"/>
          <w:sz w:val="16"/>
          <w:szCs w:val="16"/>
          <w:color w:val="auto"/>
        </w:rPr>
        <w:t>As part of the separation, and prior to the distribution, XPO and its subsidiaries expect to</w:t>
      </w:r>
    </w:p>
    <w:p>
      <w:pPr>
        <w:ind w:left="2980" w:right="120" w:hanging="2834"/>
        <w:spacing w:after="0" w:line="237" w:lineRule="auto"/>
        <w:tabs>
          <w:tab w:leader="none" w:pos="2960" w:val="left"/>
        </w:tabs>
        <w:rPr>
          <w:sz w:val="20"/>
          <w:szCs w:val="20"/>
          <w:color w:val="auto"/>
        </w:rPr>
      </w:pPr>
      <w:r>
        <w:rPr>
          <w:rFonts w:ascii="Arial" w:cs="Arial" w:eastAsia="Arial" w:hAnsi="Arial"/>
          <w:sz w:val="18"/>
          <w:szCs w:val="18"/>
          <w:b w:val="1"/>
          <w:bCs w:val="1"/>
          <w:i w:val="1"/>
          <w:iCs w:val="1"/>
          <w:color w:val="auto"/>
        </w:rPr>
        <w:t>XPO work?</w:t>
      </w:r>
      <w:r>
        <w:rPr>
          <w:sz w:val="20"/>
          <w:szCs w:val="20"/>
          <w:color w:val="auto"/>
        </w:rPr>
        <w:tab/>
      </w:r>
      <w:r>
        <w:rPr>
          <w:rFonts w:ascii="Arial" w:cs="Arial" w:eastAsia="Arial" w:hAnsi="Arial"/>
          <w:sz w:val="16"/>
          <w:szCs w:val="16"/>
          <w:color w:val="auto"/>
        </w:rPr>
        <w:t>complete an internal reorganization (which we refer to as the “internal reorganization”) to transfer to GXO the GXO Businesses that GXO will own following the separation. To complete the separation, XPO will distribute all of the outstanding shares of GXO common stock to XPO stockholders on a pro rata basis in a distribution intended to be tax-free to XPO stockholders for U.S. federal income tax purposes. Following the separation, the number of shares of XPO common stock you own will not change as a result of the separation.</w:t>
      </w:r>
    </w:p>
    <w:p>
      <w:pPr>
        <w:sectPr>
          <w:pgSz w:w="11900" w:h="16838" w:orient="portrait"/>
          <w:cols w:equalWidth="0" w:num="1">
            <w:col w:w="9840"/>
          </w:cols>
          <w:pgMar w:left="1020" w:top="1440" w:right="1039" w:bottom="1440" w:gutter="0" w:footer="0" w:header="0"/>
          <w:type w:val="continuous"/>
        </w:sectPr>
      </w:pPr>
    </w:p>
    <w:p>
      <w:pPr>
        <w:spacing w:after="0" w:line="55" w:lineRule="exact"/>
        <w:rPr>
          <w:sz w:val="20"/>
          <w:szCs w:val="20"/>
          <w:color w:val="auto"/>
        </w:rPr>
      </w:pPr>
    </w:p>
    <w:p>
      <w:pPr>
        <w:ind w:left="160" w:right="320" w:hanging="161"/>
        <w:spacing w:after="0" w:line="235" w:lineRule="auto"/>
        <w:rPr>
          <w:sz w:val="20"/>
          <w:szCs w:val="20"/>
          <w:color w:val="auto"/>
        </w:rPr>
      </w:pPr>
      <w:r>
        <w:rPr>
          <w:rFonts w:ascii="Arial" w:cs="Arial" w:eastAsia="Arial" w:hAnsi="Arial"/>
          <w:sz w:val="18"/>
          <w:szCs w:val="18"/>
          <w:b w:val="1"/>
          <w:bCs w:val="1"/>
          <w:i w:val="1"/>
          <w:iCs w:val="1"/>
          <w:color w:val="auto"/>
        </w:rPr>
        <w:t>What is the record date for the distribution?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When will the distribution occur?</w:t>
      </w:r>
    </w:p>
    <w:p>
      <w:pPr>
        <w:spacing w:after="0" w:line="200" w:lineRule="exact"/>
        <w:rPr>
          <w:sz w:val="20"/>
          <w:szCs w:val="20"/>
          <w:color w:val="auto"/>
        </w:rPr>
      </w:pPr>
    </w:p>
    <w:p>
      <w:pPr>
        <w:spacing w:after="0" w:line="251" w:lineRule="exact"/>
        <w:rPr>
          <w:sz w:val="20"/>
          <w:szCs w:val="20"/>
          <w:color w:val="auto"/>
        </w:rPr>
      </w:pPr>
    </w:p>
    <w:p>
      <w:pPr>
        <w:jc w:val="center"/>
        <w:spacing w:after="0" w:line="289" w:lineRule="auto"/>
        <w:rPr>
          <w:sz w:val="20"/>
          <w:szCs w:val="20"/>
          <w:color w:val="auto"/>
        </w:rPr>
      </w:pPr>
      <w:r>
        <w:rPr>
          <w:rFonts w:ascii="Arial" w:cs="Arial" w:eastAsia="Arial" w:hAnsi="Arial"/>
          <w:sz w:val="16"/>
          <w:szCs w:val="16"/>
          <w:b w:val="1"/>
          <w:bCs w:val="1"/>
          <w:i w:val="1"/>
          <w:iCs w:val="1"/>
          <w:color w:val="auto"/>
        </w:rPr>
        <w:t>What do stockholders need to do to participate in the distribution?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will be [ ], 2021.</w:t>
      </w: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that all of the outstanding shares of GXO common stock will be distributed by XPO at [ ], Eastern Time, on [ ], 2021, to holders of record of shares of XPO common stock at the close of business on [ ], 2021, the record date for the distribution.</w:t>
      </w:r>
    </w:p>
    <w:p>
      <w:pPr>
        <w:spacing w:after="0" w:line="55"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Stockholders of XPO as of the record date for the distribution will not be required to take any action to receive GXO common stock in the distribution, but you are urged to read this entire information statement carefully. No stockholder approval of the distribution is required. You are not being asked for a proxy. You do not need to pay any consideration, exchange or surrender your existing shares of XPO common stock or take any other action to receive your shares of GXO common stock. Please do not send in your XPO stock certificates. The distribution will not affect the number of outstanding shares of XPO common stock or any rights of XPO stockholders, although it will affect the market value of each outstanding share of XPO common stock.</w:t>
      </w:r>
    </w:p>
    <w:p>
      <w:pPr>
        <w:spacing w:after="0" w:line="60" w:lineRule="exact"/>
        <w:rPr>
          <w:sz w:val="20"/>
          <w:szCs w:val="20"/>
          <w:color w:val="auto"/>
        </w:rPr>
      </w:pPr>
    </w:p>
    <w:p>
      <w:pPr>
        <w:sectPr>
          <w:pgSz w:w="11900" w:h="16838" w:orient="portrait"/>
          <w:cols w:equalWidth="0" w:num="2">
            <w:col w:w="2580" w:space="400"/>
            <w:col w:w="6860"/>
          </w:cols>
          <w:pgMar w:left="1020" w:top="1440" w:right="1039" w:bottom="1440" w:gutter="0" w:footer="0" w:header="0"/>
          <w:type w:val="continuous"/>
        </w:sect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How will shares of GXO common stock be issued?</w:t>
      </w:r>
    </w:p>
    <w:p>
      <w:pPr>
        <w:spacing w:after="0" w:line="20" w:lineRule="exact"/>
        <w:rPr>
          <w:sz w:val="20"/>
          <w:szCs w:val="20"/>
          <w:color w:val="auto"/>
        </w:rPr>
      </w:pPr>
      <w:r>
        <w:rPr>
          <w:sz w:val="20"/>
          <w:szCs w:val="20"/>
          <w:color w:val="auto"/>
        </w:rPr>
        <w:br w:type="column"/>
      </w:r>
    </w:p>
    <w:p>
      <w:pPr>
        <w:ind w:right="80"/>
        <w:spacing w:after="0" w:line="216" w:lineRule="auto"/>
        <w:rPr>
          <w:sz w:val="20"/>
          <w:szCs w:val="20"/>
          <w:color w:val="auto"/>
        </w:rPr>
      </w:pPr>
      <w:r>
        <w:rPr>
          <w:rFonts w:ascii="Arial" w:cs="Arial" w:eastAsia="Arial" w:hAnsi="Arial"/>
          <w:sz w:val="18"/>
          <w:szCs w:val="18"/>
          <w:color w:val="auto"/>
        </w:rPr>
        <w:t>You will receive shares of GXO common stock through the same channels that you currently use to hold or trade shares of XPO common stock, whether through a brokerage account, 401(k) plan or other channel. Receipt of GXO shares will be documented for you in the same manner that you typically receive stockholder updates, such as monthly broker statements and 401(k) statements.</w:t>
      </w:r>
    </w:p>
    <w:p>
      <w:pPr>
        <w:spacing w:after="0" w:line="200" w:lineRule="exact"/>
        <w:rPr>
          <w:sz w:val="20"/>
          <w:szCs w:val="20"/>
          <w:color w:val="auto"/>
        </w:rPr>
      </w:pPr>
    </w:p>
    <w:p>
      <w:pPr>
        <w:sectPr>
          <w:pgSz w:w="11900" w:h="16838" w:orient="portrait"/>
          <w:cols w:equalWidth="0" w:num="2">
            <w:col w:w="2920" w:space="6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40"/>
          </w:cols>
          <w:pgMar w:left="1020" w:top="1440" w:right="1039" w:bottom="1440" w:gutter="0" w:footer="0" w:header="0"/>
          <w:type w:val="continuous"/>
        </w:sectPr>
      </w:pPr>
    </w:p>
    <w:bookmarkStart w:id="361" w:name="page362"/>
    <w:bookmarkEnd w:id="3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220" w:hanging="161"/>
        <w:spacing w:after="0" w:line="224" w:lineRule="auto"/>
        <w:rPr>
          <w:sz w:val="20"/>
          <w:szCs w:val="20"/>
          <w:color w:val="auto"/>
        </w:rPr>
      </w:pPr>
      <w:r>
        <w:rPr>
          <w:rFonts w:ascii="Arial" w:cs="Arial" w:eastAsia="Arial" w:hAnsi="Arial"/>
          <w:sz w:val="18"/>
          <w:szCs w:val="18"/>
          <w:b w:val="1"/>
          <w:bCs w:val="1"/>
          <w:i w:val="1"/>
          <w:iCs w:val="1"/>
          <w:color w:val="auto"/>
        </w:rPr>
        <w:t>How many shares of GXO common stock will I receive in the distribution?</w:t>
      </w:r>
    </w:p>
    <w:p>
      <w:pPr>
        <w:spacing w:after="0" w:line="200" w:lineRule="exact"/>
        <w:rPr>
          <w:sz w:val="20"/>
          <w:szCs w:val="20"/>
          <w:color w:val="auto"/>
        </w:rPr>
      </w:pPr>
    </w:p>
    <w:p>
      <w:pPr>
        <w:spacing w:after="0" w:line="206" w:lineRule="exact"/>
        <w:rPr>
          <w:sz w:val="20"/>
          <w:szCs w:val="20"/>
          <w:color w:val="auto"/>
        </w:rPr>
      </w:pPr>
    </w:p>
    <w:p>
      <w:pPr>
        <w:jc w:val="center"/>
        <w:spacing w:after="0" w:line="324" w:lineRule="auto"/>
        <w:rPr>
          <w:sz w:val="20"/>
          <w:szCs w:val="20"/>
          <w:color w:val="auto"/>
        </w:rPr>
      </w:pPr>
      <w:r>
        <w:rPr>
          <w:rFonts w:ascii="Arial" w:cs="Arial" w:eastAsia="Arial" w:hAnsi="Arial"/>
          <w:sz w:val="15"/>
          <w:szCs w:val="15"/>
          <w:b w:val="1"/>
          <w:bCs w:val="1"/>
          <w:i w:val="1"/>
          <w:iCs w:val="1"/>
          <w:color w:val="auto"/>
        </w:rPr>
        <w:t>Will GXO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If you own shares of XPO common stock as of the close of business on the record date for the distribution, including shares owned in certificate form, XPO, with the assistance of Computershare Trust Company, N.A., the distribution agent for the distribution (the “distribution agent” or “Computershare”), will electronically distribute shares of GXO common stock to you or to your brokerage firm on your behalf in book-entry form. The distribution agent will mail you a book-entry account statement that reflects your shares of GXO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-1252220</wp:posOffset>
            </wp:positionV>
            <wp:extent cx="7136130" cy="28498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7136130" cy="2849880"/>
                    </a:xfrm>
                    <a:prstGeom prst="rect">
                      <a:avLst/>
                    </a:prstGeom>
                    <a:noFill/>
                  </pic:spPr>
                </pic:pic>
              </a:graphicData>
            </a:graphic>
          </wp:anchor>
        </w:drawing>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XPO will distribute to you one share of GXO common stock for every share of XPO common stock held by you as of close of business on the record date for the distribution. Based on approximately [ ] shares of XPO common stock outstanding as of [ ], 2021, a total of approximately [ ] shares of GXO common stock will be distributed to XPO’s stockholders. For additional information on the distribution, see “The Separation and Distribution.”</w:t>
      </w:r>
    </w:p>
    <w:p>
      <w:pPr>
        <w:spacing w:after="0" w:line="5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No. XPO will distribute one share of our common stock for each share of XPO common stock you own as of the close of business on the record date. As a result, no fractional shares will be distributed.</w:t>
      </w:r>
    </w:p>
    <w:p>
      <w:pPr>
        <w:spacing w:after="0" w:line="200" w:lineRule="exact"/>
        <w:rPr>
          <w:sz w:val="20"/>
          <w:szCs w:val="20"/>
          <w:color w:val="auto"/>
        </w:rPr>
      </w:pPr>
    </w:p>
    <w:p>
      <w:pPr>
        <w:sectPr>
          <w:pgSz w:w="11900" w:h="16838" w:orient="portrait"/>
          <w:cols w:equalWidth="0" w:num="2">
            <w:col w:w="2840" w:space="140"/>
            <w:col w:w="6780"/>
          </w:cols>
          <w:pgMar w:left="102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60"/>
          </w:cols>
          <w:pgMar w:left="1020" w:top="1440" w:right="1119" w:bottom="1440" w:gutter="0" w:footer="0" w:header="0"/>
          <w:type w:val="continuous"/>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hanging="161"/>
        <w:spacing w:after="0" w:line="235" w:lineRule="auto"/>
        <w:rPr>
          <w:sz w:val="20"/>
          <w:szCs w:val="20"/>
          <w:color w:val="auto"/>
        </w:rPr>
      </w:pPr>
      <w:r>
        <w:rPr>
          <w:rFonts w:ascii="Arial" w:cs="Arial" w:eastAsia="Arial" w:hAnsi="Arial"/>
          <w:sz w:val="18"/>
          <w:szCs w:val="18"/>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distribution is subject to final approval by the XPO board of directors, as well as to the satisfaction (or waiver by XPO in its sole and absolute discretion) of a number of conditions, including,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-805815</wp:posOffset>
            </wp:positionV>
            <wp:extent cx="7136130" cy="68103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89" w:lineRule="exact"/>
        <w:rPr>
          <w:sz w:val="20"/>
          <w:szCs w:val="20"/>
          <w:color w:val="auto"/>
        </w:rPr>
      </w:pPr>
    </w:p>
    <w:p>
      <w:pPr>
        <w:ind w:left="340" w:right="240" w:hanging="331"/>
        <w:spacing w:after="0" w:line="232" w:lineRule="auto"/>
        <w:tabs>
          <w:tab w:leader="none" w:pos="33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U.S. Securities and Exchange Commission (the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108" w:lineRule="exact"/>
        <w:rPr>
          <w:rFonts w:ascii="Arial" w:cs="Arial" w:eastAsia="Arial" w:hAnsi="Arial"/>
          <w:sz w:val="17"/>
          <w:szCs w:val="17"/>
          <w:color w:val="auto"/>
        </w:rPr>
      </w:pPr>
    </w:p>
    <w:p>
      <w:pPr>
        <w:ind w:left="320" w:hanging="311"/>
        <w:spacing w:after="0"/>
        <w:tabs>
          <w:tab w:leader="none" w:pos="3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30" w:lineRule="exact"/>
        <w:rPr>
          <w:rFonts w:ascii="Arial" w:cs="Arial" w:eastAsia="Arial" w:hAnsi="Arial"/>
          <w:sz w:val="18"/>
          <w:szCs w:val="18"/>
          <w:color w:val="auto"/>
        </w:rPr>
      </w:pPr>
    </w:p>
    <w:p>
      <w:pPr>
        <w:ind w:left="340" w:right="140" w:hanging="331"/>
        <w:spacing w:after="0" w:line="216" w:lineRule="auto"/>
        <w:tabs>
          <w:tab w:leader="none" w:pos="3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368(a)(1)(D) of the Internal Revenue Code of 1986, as amended (the “Code”);</w:t>
      </w:r>
    </w:p>
    <w:p>
      <w:pPr>
        <w:spacing w:after="0" w:line="108" w:lineRule="exact"/>
        <w:rPr>
          <w:rFonts w:ascii="Arial" w:cs="Arial" w:eastAsia="Arial" w:hAnsi="Arial"/>
          <w:sz w:val="18"/>
          <w:szCs w:val="18"/>
          <w:color w:val="auto"/>
        </w:rPr>
      </w:pPr>
    </w:p>
    <w:p>
      <w:pPr>
        <w:ind w:left="340" w:right="40" w:hanging="331"/>
        <w:spacing w:after="0" w:line="224" w:lineRule="auto"/>
        <w:tabs>
          <w:tab w:leader="none" w:pos="3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transfer of assets and liabilities to GXO having been completed in accordance with the </w:t>
      </w:r>
      <w:r>
        <w:rPr>
          <w:rFonts w:ascii="Arial" w:cs="Arial" w:eastAsia="Arial" w:hAnsi="Arial"/>
          <w:sz w:val="18"/>
          <w:szCs w:val="18"/>
          <w:color w:val="auto"/>
          <w:highlight w:val="white"/>
        </w:rPr>
        <w:t>separation and distribution agreement</w:t>
      </w:r>
      <w:r>
        <w:rPr>
          <w:rFonts w:ascii="Arial" w:cs="Arial" w:eastAsia="Arial" w:hAnsi="Arial"/>
          <w:sz w:val="18"/>
          <w:szCs w:val="18"/>
          <w:color w:val="auto"/>
        </w:rPr>
        <w:t>, which is described below in this information</w:t>
      </w:r>
      <w:r>
        <w:rPr>
          <w:rFonts w:ascii="Arial" w:cs="Arial" w:eastAsia="Arial" w:hAnsi="Arial"/>
          <w:sz w:val="18"/>
          <w:szCs w:val="18"/>
          <w:color w:val="auto"/>
          <w:highlight w:val="white"/>
        </w:rPr>
        <w:t xml:space="preserve"> </w:t>
      </w:r>
      <w:r>
        <w:rPr>
          <w:rFonts w:ascii="Arial" w:cs="Arial" w:eastAsia="Arial" w:hAnsi="Arial"/>
          <w:sz w:val="18"/>
          <w:szCs w:val="18"/>
          <w:color w:val="auto"/>
        </w:rPr>
        <w:t>statement (the “separation agreement”);</w:t>
      </w:r>
    </w:p>
    <w:p>
      <w:pPr>
        <w:spacing w:after="0" w:line="108" w:lineRule="exact"/>
        <w:rPr>
          <w:rFonts w:ascii="Arial" w:cs="Arial" w:eastAsia="Arial" w:hAnsi="Arial"/>
          <w:sz w:val="18"/>
          <w:szCs w:val="18"/>
          <w:color w:val="auto"/>
        </w:rPr>
      </w:pPr>
    </w:p>
    <w:p>
      <w:pPr>
        <w:ind w:left="340" w:right="40" w:hanging="331"/>
        <w:spacing w:after="0" w:line="244" w:lineRule="auto"/>
        <w:tabs>
          <w:tab w:leader="none" w:pos="33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 independent appraisal firm acceptable to the XPO board of directors having delivered one or more opinions to the XPO board of directors confirming the solvency and financial viability of XPO before the completion of the distribution and each of XPO and GXO after completion of the distribution, in each case in a form and substance acceptable to the XPO board of directors in its sole and absolute discretion;</w:t>
      </w:r>
    </w:p>
    <w:p>
      <w:pPr>
        <w:spacing w:after="0" w:line="104" w:lineRule="exact"/>
        <w:rPr>
          <w:rFonts w:ascii="Arial" w:cs="Arial" w:eastAsia="Arial" w:hAnsi="Arial"/>
          <w:sz w:val="16"/>
          <w:szCs w:val="16"/>
          <w:color w:val="auto"/>
        </w:rPr>
      </w:pPr>
    </w:p>
    <w:p>
      <w:pPr>
        <w:ind w:left="340" w:hanging="331"/>
        <w:spacing w:after="0" w:line="219" w:lineRule="auto"/>
        <w:tabs>
          <w:tab w:leader="none" w:pos="3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08" w:lineRule="exact"/>
        <w:rPr>
          <w:rFonts w:ascii="Arial" w:cs="Arial" w:eastAsia="Arial" w:hAnsi="Arial"/>
          <w:sz w:val="18"/>
          <w:szCs w:val="18"/>
          <w:color w:val="auto"/>
        </w:rPr>
      </w:pPr>
    </w:p>
    <w:p>
      <w:pPr>
        <w:ind w:left="340" w:right="320" w:hanging="331"/>
        <w:spacing w:after="0" w:line="235" w:lineRule="auto"/>
        <w:tabs>
          <w:tab w:leader="none" w:pos="3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the transaction agreements relating to the separation and distribution having been duly </w:t>
      </w:r>
      <w:r>
        <w:rPr>
          <w:rFonts w:ascii="Arial" w:cs="Arial" w:eastAsia="Arial" w:hAnsi="Arial"/>
          <w:sz w:val="18"/>
          <w:szCs w:val="18"/>
          <w:color w:val="auto"/>
          <w:highlight w:val="white"/>
        </w:rPr>
        <w:t>executed and delivered by the parties thereto</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340" w:right="380" w:hanging="331"/>
        <w:spacing w:after="0" w:line="237" w:lineRule="auto"/>
        <w:tabs>
          <w:tab w:leader="none" w:pos="33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09" w:lineRule="exact"/>
        <w:rPr>
          <w:rFonts w:ascii="Arial" w:cs="Arial" w:eastAsia="Arial" w:hAnsi="Arial"/>
          <w:sz w:val="17"/>
          <w:szCs w:val="17"/>
          <w:color w:val="auto"/>
        </w:rPr>
      </w:pPr>
    </w:p>
    <w:p>
      <w:pPr>
        <w:ind w:left="340" w:right="260" w:hanging="331"/>
        <w:spacing w:after="0" w:line="235" w:lineRule="auto"/>
        <w:tabs>
          <w:tab w:leader="none" w:pos="33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shares of GXO common stock to be distributed having been approved for listing on the NYSE, subject to official notice of distribution;</w:t>
      </w:r>
    </w:p>
    <w:p>
      <w:pPr>
        <w:spacing w:after="0" w:line="107" w:lineRule="exact"/>
        <w:rPr>
          <w:rFonts w:ascii="Arial" w:cs="Arial" w:eastAsia="Arial" w:hAnsi="Arial"/>
          <w:sz w:val="18"/>
          <w:szCs w:val="18"/>
          <w:color w:val="auto"/>
        </w:rPr>
      </w:pPr>
    </w:p>
    <w:p>
      <w:pPr>
        <w:ind w:left="340" w:right="160" w:hanging="331"/>
        <w:spacing w:after="0" w:line="226" w:lineRule="auto"/>
        <w:tabs>
          <w:tab w:leader="none" w:pos="33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XPO having received certain proceeds from the GXO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110" w:lineRule="exact"/>
        <w:rPr>
          <w:rFonts w:ascii="Arial" w:cs="Arial" w:eastAsia="Arial" w:hAnsi="Arial"/>
          <w:sz w:val="17"/>
          <w:szCs w:val="17"/>
          <w:color w:val="auto"/>
        </w:rPr>
      </w:pPr>
    </w:p>
    <w:p>
      <w:pPr>
        <w:ind w:left="340" w:right="60" w:hanging="331"/>
        <w:spacing w:after="0" w:line="237" w:lineRule="auto"/>
        <w:tabs>
          <w:tab w:leader="none" w:pos="33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200" w:lineRule="exact"/>
        <w:rPr>
          <w:sz w:val="20"/>
          <w:szCs w:val="20"/>
          <w:color w:val="auto"/>
        </w:rPr>
      </w:pPr>
    </w:p>
    <w:p>
      <w:pPr>
        <w:sectPr>
          <w:pgSz w:w="11900" w:h="16838" w:orient="portrait"/>
          <w:cols w:equalWidth="0" w:num="2">
            <w:col w:w="2100" w:space="720"/>
            <w:col w:w="6860"/>
          </w:cols>
          <w:pgMar w:left="11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80"/>
          </w:cols>
          <w:pgMar w:left="1180" w:top="1440" w:right="1039" w:bottom="1440" w:gutter="0" w:footer="0" w:header="0"/>
          <w:type w:val="continuous"/>
        </w:sectPr>
      </w:pPr>
    </w:p>
    <w:bookmarkStart w:id="363" w:name="page364"/>
    <w:bookmarkEnd w:id="3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What is the expected date of completion of the separation?</w:t>
      </w:r>
    </w:p>
    <w:p>
      <w:pPr>
        <w:spacing w:after="0" w:line="200" w:lineRule="exact"/>
        <w:rPr>
          <w:sz w:val="20"/>
          <w:szCs w:val="20"/>
          <w:color w:val="auto"/>
        </w:rPr>
      </w:pPr>
    </w:p>
    <w:p>
      <w:pPr>
        <w:spacing w:after="0" w:line="380" w:lineRule="exact"/>
        <w:rPr>
          <w:sz w:val="20"/>
          <w:szCs w:val="20"/>
          <w:color w:val="auto"/>
        </w:rPr>
      </w:pPr>
    </w:p>
    <w:p>
      <w:pPr>
        <w:ind w:left="160" w:right="200" w:hanging="161"/>
        <w:spacing w:after="0" w:line="219" w:lineRule="auto"/>
        <w:rPr>
          <w:sz w:val="20"/>
          <w:szCs w:val="20"/>
          <w:color w:val="auto"/>
        </w:rPr>
      </w:pPr>
      <w:r>
        <w:rPr>
          <w:rFonts w:ascii="Arial" w:cs="Arial" w:eastAsia="Arial" w:hAnsi="Arial"/>
          <w:sz w:val="18"/>
          <w:szCs w:val="18"/>
          <w:b w:val="1"/>
          <w:bCs w:val="1"/>
          <w:i w:val="1"/>
          <w:iCs w:val="1"/>
          <w:color w:val="auto"/>
        </w:rPr>
        <w:t>Can XPO decide to cancel the distribution of GXO common stock even if all of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XPO and GXO cannot assure you that any or all of these conditions will be met, or that the separation or distribution will be consummated even if all of the conditions are met. XPO can decline at any time to go forward with the separation and distribution. In addition, XPO may waive any of the conditions to the distribution. For a complete discussion of all of the conditions to the distribution, see “The Separation and Distribution—Conditions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-1141095</wp:posOffset>
            </wp:positionV>
            <wp:extent cx="7136130" cy="62020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completion and timing of the separation are dependent upon a number of conditions. We expect that the shares of GXO common stock will be distributed by XPO at [ ], Eastern Time, on [ ], 2021, to the holders of record of shares of XPO common stock at the close of business on [ ], 2021, the record date for the distribution. However, no assurance can be provided as to the timing of the separation or distribution or that all conditions to the distribution will be met.</w:t>
      </w:r>
    </w:p>
    <w:p>
      <w:pPr>
        <w:spacing w:after="0" w:line="5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Yes. Until the distribution has occurred, the XPO board of directors has the right to terminate the distribution, even if all of the conditions are satisfied.</w:t>
      </w:r>
    </w:p>
    <w:p>
      <w:pPr>
        <w:spacing w:after="0" w:line="405" w:lineRule="exact"/>
        <w:rPr>
          <w:sz w:val="20"/>
          <w:szCs w:val="20"/>
          <w:color w:val="auto"/>
        </w:rPr>
      </w:pPr>
    </w:p>
    <w:p>
      <w:pPr>
        <w:sectPr>
          <w:pgSz w:w="11900" w:h="16838" w:orient="portrait"/>
          <w:cols w:equalWidth="0" w:num="2">
            <w:col w:w="2940" w:space="40"/>
            <w:col w:w="6820"/>
          </w:cols>
          <w:pgMar w:left="1020" w:top="1440" w:right="1079" w:bottom="1440" w:gutter="0" w:footer="0" w:header="0"/>
        </w:sect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What if I want to sell my XPO common stock or my GXO common stock?</w:t>
      </w:r>
    </w:p>
    <w:p>
      <w:pPr>
        <w:spacing w:after="0" w:line="344" w:lineRule="exact"/>
        <w:rPr>
          <w:sz w:val="20"/>
          <w:szCs w:val="20"/>
          <w:color w:val="auto"/>
        </w:rPr>
      </w:pPr>
    </w:p>
    <w:p>
      <w:pPr>
        <w:jc w:val="both"/>
        <w:ind w:left="160" w:right="520" w:hanging="161"/>
        <w:spacing w:after="0" w:line="224" w:lineRule="auto"/>
        <w:rPr>
          <w:sz w:val="20"/>
          <w:szCs w:val="20"/>
          <w:color w:val="auto"/>
        </w:rPr>
      </w:pPr>
      <w:r>
        <w:rPr>
          <w:rFonts w:ascii="Arial" w:cs="Arial" w:eastAsia="Arial" w:hAnsi="Arial"/>
          <w:sz w:val="18"/>
          <w:szCs w:val="18"/>
          <w:b w:val="1"/>
          <w:bCs w:val="1"/>
          <w:i w:val="1"/>
          <w:iCs w:val="1"/>
          <w:color w:val="auto"/>
        </w:rPr>
        <w:t>What is “regular-way” and “ex-distribution” trading of XPO common stock?</w:t>
      </w:r>
    </w:p>
    <w:p>
      <w:pPr>
        <w:spacing w:after="0" w:line="20" w:lineRule="exact"/>
        <w:rPr>
          <w:sz w:val="20"/>
          <w:szCs w:val="20"/>
          <w:color w:val="auto"/>
        </w:rPr>
      </w:pPr>
      <w:r>
        <w:rPr>
          <w:sz w:val="20"/>
          <w:szCs w:val="20"/>
          <w:color w:val="auto"/>
        </w:rPr>
        <w:br w:type="column"/>
      </w:r>
    </w:p>
    <w:p>
      <w:pPr>
        <w:ind w:right="200"/>
        <w:spacing w:after="0" w:line="232" w:lineRule="auto"/>
        <w:rPr>
          <w:sz w:val="20"/>
          <w:szCs w:val="20"/>
          <w:color w:val="auto"/>
        </w:rPr>
      </w:pPr>
      <w:r>
        <w:rPr>
          <w:rFonts w:ascii="Arial" w:cs="Arial" w:eastAsia="Arial" w:hAnsi="Arial"/>
          <w:sz w:val="17"/>
          <w:szCs w:val="17"/>
          <w:color w:val="auto"/>
        </w:rPr>
        <w:t>You should consult with your financial advisors, such as your stock broker, bank or tax advisor. If you sell your shares of XPO common stock in the “regular-way” market after the record date and before the distribution date, you also will be selling your right to receive shares of GXO common stock in connection with the distribution</w:t>
      </w:r>
    </w:p>
    <w:p>
      <w:pPr>
        <w:spacing w:after="0" w:line="54"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Beginning on or shortly before the record date for the distribution and continuing up to and through the distribution date, we expect that there will be two markets in XPO common stock: a “regular-way” market and an “ex-distribution” market. XPO common stock that trades in the “regular-way” market will trade with an entitlement to shares of GXO common stock distributed pursuant to the distribution. Shares that trade in the “ex-distribution” market will trade without an entitlement to GXO common stock distributed pursuant to the distribution. If you decide to sell any shares of XPO common stock before the distribution date, you should make sure your stockbroker, bank or other nominee understands whether you want to sell your XPO common stock with or without your entitlement to GXO common stock pursuant to the distribution.</w:t>
      </w:r>
    </w:p>
    <w:p>
      <w:pPr>
        <w:spacing w:after="0" w:line="39" w:lineRule="exact"/>
        <w:rPr>
          <w:sz w:val="20"/>
          <w:szCs w:val="20"/>
          <w:color w:val="auto"/>
        </w:rPr>
      </w:pPr>
    </w:p>
    <w:p>
      <w:pPr>
        <w:sectPr>
          <w:pgSz w:w="11900" w:h="16838" w:orient="portrait"/>
          <w:cols w:equalWidth="0" w:num="2">
            <w:col w:w="2900" w:space="80"/>
            <w:col w:w="6820"/>
          </w:cols>
          <w:pgMar w:left="1020" w:top="1440" w:right="107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will I be able to trade shares of</w:t>
      </w:r>
      <w:r>
        <w:rPr>
          <w:sz w:val="20"/>
          <w:szCs w:val="20"/>
          <w:color w:val="auto"/>
        </w:rPr>
        <w:tab/>
      </w:r>
      <w:r>
        <w:rPr>
          <w:rFonts w:ascii="Arial" w:cs="Arial" w:eastAsia="Arial" w:hAnsi="Arial"/>
          <w:sz w:val="16"/>
          <w:szCs w:val="16"/>
          <w:color w:val="auto"/>
        </w:rPr>
        <w:t>GXO intends to list its common stock on the NYSE under the symbol “GXO.” GXO</w:t>
      </w:r>
    </w:p>
    <w:p>
      <w:pPr>
        <w:ind w:left="2980" w:right="40" w:hanging="2834"/>
        <w:spacing w:after="0" w:line="236" w:lineRule="auto"/>
        <w:tabs>
          <w:tab w:leader="none" w:pos="2960" w:val="left"/>
        </w:tabs>
        <w:rPr>
          <w:sz w:val="20"/>
          <w:szCs w:val="20"/>
          <w:color w:val="auto"/>
        </w:rPr>
      </w:pPr>
      <w:r>
        <w:rPr>
          <w:rFonts w:ascii="Arial" w:cs="Arial" w:eastAsia="Arial" w:hAnsi="Arial"/>
          <w:sz w:val="18"/>
          <w:szCs w:val="18"/>
          <w:b w:val="1"/>
          <w:bCs w:val="1"/>
          <w:i w:val="1"/>
          <w:iCs w:val="1"/>
          <w:color w:val="auto"/>
        </w:rPr>
        <w:t>GXO common stock?</w:t>
      </w:r>
      <w:r>
        <w:rPr>
          <w:sz w:val="20"/>
          <w:szCs w:val="20"/>
          <w:color w:val="auto"/>
        </w:rPr>
        <w:tab/>
      </w:r>
      <w:r>
        <w:rPr>
          <w:rFonts w:ascii="Arial" w:cs="Arial" w:eastAsia="Arial" w:hAnsi="Arial"/>
          <w:sz w:val="16"/>
          <w:szCs w:val="16"/>
          <w:color w:val="auto"/>
        </w:rPr>
        <w:t>anticipates that trading in shares of its common stock will begin on a “when-issued” basis on or shortly before the record date for the distribution and will continue up to and through the distribution date, and that “regular-way” trading in GXO common stock will begin on the first trading day following the completion of the distribution. If trading begins on a “when-issued” basis, you may purchase or sell GXO common stock up to and through the distribution date, but your transaction will not settle until after the distribution date. GXO cannot predict the trading prices for its common stock before, on or after the distribution date.</w:t>
      </w:r>
    </w:p>
    <w:p>
      <w:pPr>
        <w:spacing w:after="0" w:line="54" w:lineRule="exact"/>
        <w:rPr>
          <w:sz w:val="20"/>
          <w:szCs w:val="20"/>
          <w:color w:val="auto"/>
        </w:rPr>
      </w:pPr>
    </w:p>
    <w:p>
      <w:pPr>
        <w:ind w:left="160" w:right="1200" w:hanging="161"/>
        <w:spacing w:after="0" w:line="235" w:lineRule="auto"/>
        <w:rPr>
          <w:sz w:val="20"/>
          <w:szCs w:val="20"/>
          <w:color w:val="auto"/>
        </w:rPr>
      </w:pPr>
      <w:r>
        <w:rPr>
          <w:rFonts w:ascii="Arial" w:cs="Arial" w:eastAsia="Arial" w:hAnsi="Arial"/>
          <w:sz w:val="18"/>
          <w:szCs w:val="18"/>
          <w:b w:val="1"/>
          <w:bCs w:val="1"/>
          <w:i w:val="1"/>
          <w:iCs w:val="1"/>
          <w:color w:val="auto"/>
        </w:rPr>
        <w:t xml:space="preserve">What will happen to the listing of XPO </w:t>
      </w:r>
      <w:r>
        <w:rPr>
          <w:rFonts w:ascii="Arial" w:cs="Arial" w:eastAsia="Arial" w:hAnsi="Arial"/>
          <w:sz w:val="18"/>
          <w:szCs w:val="18"/>
          <w:color w:val="auto"/>
        </w:rPr>
        <w:t>XPO common stock will continue to trade on the NYSE after the distribution.</w:t>
      </w:r>
      <w:r>
        <w:rPr>
          <w:rFonts w:ascii="Arial" w:cs="Arial" w:eastAsia="Arial" w:hAnsi="Arial"/>
          <w:sz w:val="18"/>
          <w:szCs w:val="18"/>
          <w:b w:val="1"/>
          <w:bCs w:val="1"/>
          <w:i w:val="1"/>
          <w:iCs w:val="1"/>
          <w:color w:val="auto"/>
        </w:rPr>
        <w:t xml:space="preserve"> common stock?</w:t>
      </w:r>
    </w:p>
    <w:p>
      <w:pPr>
        <w:spacing w:after="0" w:line="54" w:lineRule="exact"/>
        <w:rPr>
          <w:sz w:val="20"/>
          <w:szCs w:val="20"/>
          <w:color w:val="auto"/>
        </w:rPr>
      </w:pPr>
    </w:p>
    <w:p>
      <w:pPr>
        <w:ind w:left="160" w:right="140" w:hanging="161"/>
        <w:spacing w:after="0" w:line="212" w:lineRule="auto"/>
        <w:rPr>
          <w:sz w:val="20"/>
          <w:szCs w:val="20"/>
          <w:color w:val="auto"/>
        </w:rPr>
      </w:pPr>
      <w:r>
        <w:rPr>
          <w:rFonts w:ascii="Arial" w:cs="Arial" w:eastAsia="Arial" w:hAnsi="Arial"/>
          <w:sz w:val="18"/>
          <w:szCs w:val="18"/>
          <w:b w:val="1"/>
          <w:bCs w:val="1"/>
          <w:i w:val="1"/>
          <w:iCs w:val="1"/>
          <w:color w:val="auto"/>
        </w:rPr>
        <w:t>Will the number of shares of XPO</w:t>
      </w:r>
      <w:r>
        <w:rPr>
          <w:sz w:val="20"/>
          <w:szCs w:val="20"/>
          <w:color w:val="auto"/>
        </w:rPr>
        <w:t xml:space="preserve"> </w:t>
      </w:r>
      <w:r>
        <w:rPr>
          <w:rFonts w:ascii="Arial" w:cs="Arial" w:eastAsia="Arial" w:hAnsi="Arial"/>
          <w:sz w:val="18"/>
          <w:szCs w:val="18"/>
          <w:color w:val="auto"/>
        </w:rPr>
        <w:t xml:space="preserve">No. The number of shares of XPO common stock that you own will not change as a result of </w:t>
      </w:r>
      <w:r>
        <w:rPr>
          <w:rFonts w:ascii="Arial" w:cs="Arial" w:eastAsia="Arial" w:hAnsi="Arial"/>
          <w:sz w:val="18"/>
          <w:szCs w:val="18"/>
          <w:b w:val="1"/>
          <w:bCs w:val="1"/>
          <w:i w:val="1"/>
          <w:iCs w:val="1"/>
          <w:color w:val="auto"/>
        </w:rPr>
        <w:t xml:space="preserve">common stock that I own change as a </w:t>
      </w:r>
      <w:r>
        <w:rPr>
          <w:rFonts w:ascii="Arial" w:cs="Arial" w:eastAsia="Arial" w:hAnsi="Arial"/>
          <w:sz w:val="18"/>
          <w:szCs w:val="18"/>
          <w:color w:val="auto"/>
        </w:rPr>
        <w:t>the distribution.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00"/>
          </w:cols>
          <w:pgMar w:left="1020" w:top="1440" w:right="1079" w:bottom="1440" w:gutter="0" w:footer="0" w:header="0"/>
          <w:type w:val="continuous"/>
        </w:sectPr>
      </w:pPr>
    </w:p>
    <w:bookmarkStart w:id="364" w:name="page365"/>
    <w:bookmarkEnd w:id="3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60" w:hanging="161"/>
        <w:spacing w:after="0" w:line="324" w:lineRule="auto"/>
        <w:rPr>
          <w:sz w:val="20"/>
          <w:szCs w:val="20"/>
          <w:color w:val="auto"/>
        </w:rPr>
      </w:pPr>
      <w:r>
        <w:rPr>
          <w:rFonts w:ascii="Arial" w:cs="Arial" w:eastAsia="Arial" w:hAnsi="Arial"/>
          <w:sz w:val="15"/>
          <w:szCs w:val="15"/>
          <w:b w:val="1"/>
          <w:bCs w:val="1"/>
          <w:i w:val="1"/>
          <w:iCs w:val="1"/>
          <w:color w:val="auto"/>
        </w:rPr>
        <w:t>Will the distribution affect the market price of my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00"/>
        <w:spacing w:after="0" w:line="284" w:lineRule="auto"/>
        <w:rPr>
          <w:sz w:val="20"/>
          <w:szCs w:val="20"/>
          <w:color w:val="auto"/>
        </w:rPr>
      </w:pPr>
      <w:r>
        <w:rPr>
          <w:rFonts w:ascii="Arial" w:cs="Arial" w:eastAsia="Arial" w:hAnsi="Arial"/>
          <w:sz w:val="15"/>
          <w:szCs w:val="15"/>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right="80" w:hanging="161"/>
        <w:spacing w:after="0" w:line="324" w:lineRule="auto"/>
        <w:rPr>
          <w:sz w:val="20"/>
          <w:szCs w:val="20"/>
          <w:color w:val="auto"/>
        </w:rPr>
      </w:pPr>
      <w:r>
        <w:rPr>
          <w:rFonts w:ascii="Arial" w:cs="Arial" w:eastAsia="Arial" w:hAnsi="Arial"/>
          <w:sz w:val="15"/>
          <w:szCs w:val="15"/>
          <w:b w:val="1"/>
          <w:bCs w:val="1"/>
          <w:i w:val="1"/>
          <w:iCs w:val="1"/>
          <w:color w:val="auto"/>
        </w:rPr>
        <w:t>What will GXO’s relationship be with XPO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460" w:hanging="161"/>
        <w:spacing w:after="0" w:line="235" w:lineRule="auto"/>
        <w:rPr>
          <w:sz w:val="20"/>
          <w:szCs w:val="20"/>
          <w:color w:val="auto"/>
        </w:rPr>
      </w:pPr>
      <w:r>
        <w:rPr>
          <w:rFonts w:ascii="Arial" w:cs="Arial" w:eastAsia="Arial" w:hAnsi="Arial"/>
          <w:sz w:val="18"/>
          <w:szCs w:val="18"/>
          <w:b w:val="1"/>
          <w:bCs w:val="1"/>
          <w:i w:val="1"/>
          <w:iCs w:val="1"/>
          <w:color w:val="auto"/>
        </w:rPr>
        <w:t>Who will manage GXO after the separation?</w:t>
      </w:r>
    </w:p>
    <w:p>
      <w:pPr>
        <w:spacing w:after="0" w:line="229"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Are there risks associated with owning GXO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GXO plan to pay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Yes. As a result of the distribution, XPO expects the trading price of shares of XPO common stock immediately following the distribution to be different from the “regular-way” trading price of such shares immediately prior to the distribution because the trading price will no longer reflect the value of the GXO Businesses. There can be no assurance whether the aggregate market value of </w:t>
      </w:r>
      <w:r>
        <w:rPr>
          <w:rFonts w:ascii="Arial" w:cs="Arial" w:eastAsia="Arial" w:hAnsi="Arial"/>
          <w:sz w:val="18"/>
          <w:szCs w:val="18"/>
          <w:color w:val="auto"/>
          <w:highlight w:val="white"/>
        </w:rPr>
        <w:t>XPO</w:t>
      </w:r>
      <w:r>
        <w:rPr>
          <w:rFonts w:ascii="Arial" w:cs="Arial" w:eastAsia="Arial" w:hAnsi="Arial"/>
          <w:sz w:val="18"/>
          <w:szCs w:val="18"/>
          <w:color w:val="auto"/>
        </w:rPr>
        <w:t xml:space="preserve"> common stock and GXO common stock following the separation will be higher or lower than the market value of XPO common stock if the separation did not occur. This means, for example, that the combined trading prices of a share </w:t>
      </w:r>
      <w:r>
        <w:rPr>
          <w:rFonts w:ascii="Arial" w:cs="Arial" w:eastAsia="Arial" w:hAnsi="Arial"/>
          <w:sz w:val="18"/>
          <w:szCs w:val="18"/>
          <w:color w:val="auto"/>
          <w:highlight w:val="white"/>
        </w:rPr>
        <w:t>of X</w:t>
      </w:r>
      <w:r>
        <w:rPr>
          <w:rFonts w:ascii="Arial" w:cs="Arial" w:eastAsia="Arial" w:hAnsi="Arial"/>
          <w:sz w:val="18"/>
          <w:szCs w:val="18"/>
          <w:color w:val="auto"/>
        </w:rPr>
        <w:t>PO common stock and a share of GXO common stock after the distribution may be equal</w:t>
      </w:r>
      <w:r>
        <w:rPr>
          <w:rFonts w:ascii="Arial" w:cs="Arial" w:eastAsia="Arial" w:hAnsi="Arial"/>
          <w:sz w:val="18"/>
          <w:szCs w:val="18"/>
          <w:color w:val="auto"/>
          <w:highlight w:val="white"/>
        </w:rPr>
        <w:t xml:space="preserve"> </w:t>
      </w:r>
      <w:r>
        <w:rPr>
          <w:rFonts w:ascii="Arial" w:cs="Arial" w:eastAsia="Arial" w:hAnsi="Arial"/>
          <w:sz w:val="18"/>
          <w:szCs w:val="18"/>
          <w:color w:val="auto"/>
        </w:rPr>
        <w:t>to, greater than or less than the trading price of a share of XPO common stock before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-1582420</wp:posOffset>
            </wp:positionV>
            <wp:extent cx="7136130" cy="65017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7136130" cy="6501765"/>
                    </a:xfrm>
                    <a:prstGeom prst="rect">
                      <a:avLst/>
                    </a:prstGeom>
                    <a:noFill/>
                  </pic:spPr>
                </pic:pic>
              </a:graphicData>
            </a:graphic>
          </wp:anchor>
        </w:drawing>
      </w:r>
    </w:p>
    <w:p>
      <w:pPr>
        <w:spacing w:after="0" w:line="4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w:t>
      </w:r>
    </w:p>
    <w:p>
      <w:pPr>
        <w:spacing w:after="0" w:line="109"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If the distribution, together with certain related transactions, so qualifies, generally no gain or loss will be recognized by you, and no amount will be included in your income, for U.S. federal income tax purposes upon your receipt of GXO common stock in the distribution.</w:t>
      </w:r>
    </w:p>
    <w:p>
      <w:pPr>
        <w:ind w:right="20"/>
        <w:spacing w:after="0" w:line="214" w:lineRule="auto"/>
        <w:rPr>
          <w:sz w:val="20"/>
          <w:szCs w:val="20"/>
          <w:color w:val="auto"/>
        </w:rPr>
      </w:pPr>
      <w:r>
        <w:rPr>
          <w:rFonts w:ascii="Arial" w:cs="Arial" w:eastAsia="Arial" w:hAnsi="Arial"/>
          <w:sz w:val="18"/>
          <w:szCs w:val="18"/>
          <w:color w:val="auto"/>
        </w:rPr>
        <w:t>You should carefully read the section titled “Material U.S. Federal Income Tax Consequences” and should consult your own tax advisor as to the particular consequences of the distribution to you, including the applicability and effect of any U.S. federal, state and local tax laws, as well as any non-U.S. tax laws.</w:t>
      </w:r>
    </w:p>
    <w:p>
      <w:pPr>
        <w:spacing w:after="0" w:line="56"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After the distribution, XPO and GXO will be separate companies with separate management teams and separate boards of directors. GXO will enter into a separation and distribution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57" w:lineRule="exact"/>
        <w:rPr>
          <w:sz w:val="20"/>
          <w:szCs w:val="20"/>
          <w:color w:val="auto"/>
        </w:rPr>
      </w:pPr>
    </w:p>
    <w:p>
      <w:pPr>
        <w:ind w:right="640"/>
        <w:spacing w:after="0" w:line="224" w:lineRule="auto"/>
        <w:rPr>
          <w:sz w:val="20"/>
          <w:szCs w:val="20"/>
          <w:color w:val="auto"/>
        </w:rPr>
      </w:pPr>
      <w:r>
        <w:rPr>
          <w:rFonts w:ascii="Arial" w:cs="Arial" w:eastAsia="Arial" w:hAnsi="Arial"/>
          <w:sz w:val="18"/>
          <w:szCs w:val="18"/>
          <w:color w:val="auto"/>
        </w:rPr>
        <w:t>GXO will benefit from a management team with an extensive background in the GXO Businesses. For more information regarding GXO’s management and directors, see “Management” and “Directors.”</w:t>
      </w:r>
    </w:p>
    <w:p>
      <w:pPr>
        <w:spacing w:after="0" w:line="5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Yes. Ownership of GXO common stock is subject to both general and specific risks relating to the GXO Businesses, the industry in which it operates, its ongoing contractual relationships with XPO and its status as a separate, publicly traded company. Ownership of GXO common stock is also subject to risks relating to the separation. Certain of these risks are described in the “Risk Factors” section of this information statement. We encourage you to read that section carefully.</w:t>
      </w:r>
    </w:p>
    <w:p>
      <w:pPr>
        <w:spacing w:after="0" w:line="5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highlight w:val="white"/>
        </w:rPr>
        <w:t xml:space="preserve">The declaration and payment of any dividends in the future by GXO will be subject to the sole discretion of the board of directors and will depend upon many factors. </w:t>
      </w:r>
      <w:r>
        <w:rPr>
          <w:rFonts w:ascii="Arial" w:cs="Arial" w:eastAsia="Arial" w:hAnsi="Arial"/>
          <w:sz w:val="16"/>
          <w:szCs w:val="16"/>
          <w:color w:val="auto"/>
        </w:rPr>
        <w:t>See “Dividend Policy.”</w:t>
      </w:r>
    </w:p>
    <w:p>
      <w:pPr>
        <w:spacing w:after="0" w:line="200" w:lineRule="exact"/>
        <w:rPr>
          <w:sz w:val="20"/>
          <w:szCs w:val="20"/>
          <w:color w:val="auto"/>
        </w:rPr>
      </w:pPr>
    </w:p>
    <w:p>
      <w:pPr>
        <w:sectPr>
          <w:pgSz w:w="11900" w:h="16838" w:orient="portrait"/>
          <w:cols w:equalWidth="0" w:num="2">
            <w:col w:w="2840" w:space="140"/>
            <w:col w:w="686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40"/>
          </w:cols>
          <w:pgMar w:left="1020" w:top="1440" w:right="1039" w:bottom="1440" w:gutter="0" w:footer="0" w:header="0"/>
          <w:type w:val="continuous"/>
        </w:sectPr>
      </w:pPr>
    </w:p>
    <w:bookmarkStart w:id="365" w:name="page366"/>
    <w:bookmarkEnd w:id="3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Will GXO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right="100" w:hanging="161"/>
        <w:spacing w:after="0" w:line="219"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GXO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Yes. In June 2021, GXO entered into a Revolving Credit Agreement providing for an $800 million unsecured, unsubordinated five-year revolving credit facility. Additionally, in July 2021, GXO issued $800 million of unsecured, unsubordinated notes in two series. GXO expects to transfer approximately $[____] million of the net proceeds of the notes to XPO,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-927100</wp:posOffset>
            </wp:positionV>
            <wp:extent cx="7136130" cy="49676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56" w:lineRule="auto"/>
        <w:rPr>
          <w:sz w:val="20"/>
          <w:szCs w:val="20"/>
          <w:color w:val="auto"/>
        </w:rPr>
      </w:pPr>
      <w:r>
        <w:rPr>
          <w:rFonts w:ascii="Arial" w:cs="Arial" w:eastAsia="Arial" w:hAnsi="Arial"/>
          <w:sz w:val="16"/>
          <w:szCs w:val="16"/>
          <w:color w:val="auto"/>
        </w:rPr>
        <w:t>which net proceeds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and “Risk Factors—Risks Related to Our Business.”</w:t>
      </w:r>
    </w:p>
    <w:p>
      <w:pPr>
        <w:spacing w:after="0" w:line="56"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distribution agent, transfer agent and registrar for the GXO common stock will be Computershare. For questions relating to the transfer or mechanics of the stock distribution, you should contact Computershare toll free at [ ].</w:t>
      </w:r>
    </w:p>
    <w:p>
      <w:pPr>
        <w:spacing w:after="0" w:line="214" w:lineRule="exact"/>
        <w:rPr>
          <w:sz w:val="20"/>
          <w:szCs w:val="20"/>
          <w:color w:val="auto"/>
        </w:rPr>
      </w:pPr>
    </w:p>
    <w:p>
      <w:pPr>
        <w:sectPr>
          <w:pgSz w:w="11900" w:h="16838" w:orient="portrait"/>
          <w:cols w:equalWidth="0" w:num="2">
            <w:col w:w="2880" w:space="100"/>
            <w:col w:w="6800"/>
          </w:cols>
          <w:pgMar w:left="1020" w:top="1440" w:right="1099" w:bottom="1440" w:gutter="0" w:footer="0" w:header="0"/>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can I find more information</w:t>
      </w:r>
      <w:r>
        <w:rPr>
          <w:sz w:val="20"/>
          <w:szCs w:val="20"/>
          <w:color w:val="auto"/>
        </w:rPr>
        <w:tab/>
      </w:r>
      <w:r>
        <w:rPr>
          <w:rFonts w:ascii="Arial" w:cs="Arial" w:eastAsia="Arial" w:hAnsi="Arial"/>
          <w:sz w:val="16"/>
          <w:szCs w:val="16"/>
          <w:color w:val="auto"/>
        </w:rPr>
        <w:t>Before the distribution, if you have any questions relating to XPO, you should contact:</w:t>
      </w:r>
    </w:p>
    <w:p>
      <w:pPr>
        <w:ind w:left="160"/>
        <w:spacing w:after="0" w:line="187" w:lineRule="auto"/>
        <w:rPr>
          <w:sz w:val="20"/>
          <w:szCs w:val="20"/>
          <w:color w:val="auto"/>
        </w:rPr>
      </w:pPr>
      <w:r>
        <w:rPr>
          <w:rFonts w:ascii="Arial" w:cs="Arial" w:eastAsia="Arial" w:hAnsi="Arial"/>
          <w:sz w:val="18"/>
          <w:szCs w:val="18"/>
          <w:b w:val="1"/>
          <w:bCs w:val="1"/>
          <w:i w:val="1"/>
          <w:iCs w:val="1"/>
          <w:color w:val="auto"/>
        </w:rPr>
        <w:t>about XPO and GXO?</w:t>
      </w:r>
    </w:p>
    <w:p>
      <w:pPr>
        <w:ind w:left="2980"/>
        <w:spacing w:after="0" w:line="204" w:lineRule="auto"/>
        <w:rPr>
          <w:sz w:val="20"/>
          <w:szCs w:val="20"/>
          <w:color w:val="auto"/>
        </w:rPr>
      </w:pPr>
      <w:r>
        <w:rPr>
          <w:rFonts w:ascii="Arial" w:cs="Arial" w:eastAsia="Arial" w:hAnsi="Arial"/>
          <w:sz w:val="18"/>
          <w:szCs w:val="18"/>
          <w:color w:val="auto"/>
        </w:rPr>
        <w:t>XPO Logistics, Inc.</w:t>
      </w:r>
    </w:p>
    <w:p>
      <w:pPr>
        <w:ind w:left="2980"/>
        <w:spacing w:after="0" w:line="203" w:lineRule="auto"/>
        <w:rPr>
          <w:sz w:val="20"/>
          <w:szCs w:val="20"/>
          <w:color w:val="auto"/>
        </w:rPr>
      </w:pPr>
      <w:r>
        <w:rPr>
          <w:rFonts w:ascii="Arial" w:cs="Arial" w:eastAsia="Arial" w:hAnsi="Arial"/>
          <w:sz w:val="18"/>
          <w:szCs w:val="18"/>
          <w:color w:val="auto"/>
        </w:rPr>
        <w:t>Five American Lane</w:t>
      </w:r>
    </w:p>
    <w:p>
      <w:pPr>
        <w:ind w:left="2980"/>
        <w:spacing w:after="0" w:line="204" w:lineRule="auto"/>
        <w:rPr>
          <w:sz w:val="20"/>
          <w:szCs w:val="20"/>
          <w:color w:val="auto"/>
        </w:rPr>
      </w:pPr>
      <w:r>
        <w:rPr>
          <w:rFonts w:ascii="Arial" w:cs="Arial" w:eastAsia="Arial" w:hAnsi="Arial"/>
          <w:sz w:val="18"/>
          <w:szCs w:val="18"/>
          <w:color w:val="auto"/>
        </w:rPr>
        <w:t>Greenwich, CT 06831</w:t>
      </w: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5" w:lineRule="exact"/>
        <w:rPr>
          <w:sz w:val="20"/>
          <w:szCs w:val="20"/>
          <w:color w:val="auto"/>
        </w:rPr>
      </w:pPr>
    </w:p>
    <w:p>
      <w:pPr>
        <w:ind w:left="2980" w:right="320"/>
        <w:spacing w:after="0" w:line="235" w:lineRule="auto"/>
        <w:rPr>
          <w:sz w:val="20"/>
          <w:szCs w:val="20"/>
          <w:color w:val="auto"/>
        </w:rPr>
      </w:pPr>
      <w:r>
        <w:rPr>
          <w:rFonts w:ascii="Arial" w:cs="Arial" w:eastAsia="Arial" w:hAnsi="Arial"/>
          <w:sz w:val="18"/>
          <w:szCs w:val="18"/>
          <w:color w:val="auto"/>
        </w:rPr>
        <w:t>After the distribution, GXO stockholders who have any questions relating to GXO should contact:</w:t>
      </w:r>
    </w:p>
    <w:p>
      <w:pPr>
        <w:spacing w:after="0" w:line="9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GXO Logistics, Inc.</w:t>
      </w:r>
    </w:p>
    <w:p>
      <w:pPr>
        <w:ind w:left="2980"/>
        <w:spacing w:after="0" w:line="203" w:lineRule="auto"/>
        <w:rPr>
          <w:sz w:val="20"/>
          <w:szCs w:val="20"/>
          <w:color w:val="auto"/>
        </w:rPr>
      </w:pPr>
      <w:r>
        <w:rPr>
          <w:rFonts w:ascii="Arial" w:cs="Arial" w:eastAsia="Arial" w:hAnsi="Arial"/>
          <w:sz w:val="18"/>
          <w:szCs w:val="18"/>
          <w:color w:val="auto"/>
        </w:rPr>
        <w:t>Two American Lane</w:t>
      </w:r>
    </w:p>
    <w:p>
      <w:pPr>
        <w:ind w:left="2980"/>
        <w:spacing w:after="0" w:line="203" w:lineRule="auto"/>
        <w:rPr>
          <w:sz w:val="20"/>
          <w:szCs w:val="20"/>
          <w:color w:val="auto"/>
        </w:rPr>
      </w:pPr>
      <w:r>
        <w:rPr>
          <w:rFonts w:ascii="Arial" w:cs="Arial" w:eastAsia="Arial" w:hAnsi="Arial"/>
          <w:sz w:val="18"/>
          <w:szCs w:val="18"/>
          <w:color w:val="auto"/>
        </w:rPr>
        <w:t>Greenwich, CT 06831</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1" w:lineRule="exact"/>
        <w:rPr>
          <w:sz w:val="20"/>
          <w:szCs w:val="20"/>
          <w:color w:val="auto"/>
        </w:rPr>
      </w:pPr>
    </w:p>
    <w:p>
      <w:pPr>
        <w:ind w:left="2980"/>
        <w:spacing w:after="0" w:line="217" w:lineRule="auto"/>
        <w:rPr>
          <w:sz w:val="20"/>
          <w:szCs w:val="20"/>
          <w:color w:val="auto"/>
        </w:rPr>
      </w:pPr>
      <w:r>
        <w:rPr>
          <w:rFonts w:ascii="Arial" w:cs="Arial" w:eastAsia="Arial" w:hAnsi="Arial"/>
          <w:sz w:val="18"/>
          <w:szCs w:val="18"/>
          <w:color w:val="auto"/>
        </w:rPr>
        <w:t>The GXO website (</w:t>
      </w:r>
      <w:r>
        <w:rPr>
          <w:rFonts w:ascii="Arial" w:cs="Arial" w:eastAsia="Arial" w:hAnsi="Arial"/>
          <w:sz w:val="18"/>
          <w:szCs w:val="18"/>
          <w:i w:val="1"/>
          <w:iCs w:val="1"/>
          <w:color w:val="auto"/>
        </w:rPr>
        <w:t>www.[ ].com</w:t>
      </w:r>
      <w:r>
        <w:rPr>
          <w:rFonts w:ascii="Arial" w:cs="Arial" w:eastAsia="Arial" w:hAnsi="Arial"/>
          <w:sz w:val="18"/>
          <w:szCs w:val="18"/>
          <w:color w:val="auto"/>
        </w:rPr>
        <w:t xml:space="preserve">) will be operational on or around [ ], 2021. </w:t>
      </w:r>
      <w:r>
        <w:rPr>
          <w:rFonts w:ascii="Arial" w:cs="Arial" w:eastAsia="Arial" w:hAnsi="Arial"/>
          <w:sz w:val="18"/>
          <w:szCs w:val="18"/>
          <w:b w:val="1"/>
          <w:bCs w:val="1"/>
          <w:color w:val="auto"/>
        </w:rPr>
        <w:t>The GXO</w:t>
      </w:r>
      <w:r>
        <w:rPr>
          <w:rFonts w:ascii="Arial" w:cs="Arial" w:eastAsia="Arial" w:hAnsi="Arial"/>
          <w:sz w:val="18"/>
          <w:szCs w:val="18"/>
          <w:color w:val="auto"/>
        </w:rPr>
        <w:t xml:space="preserve"> </w:t>
      </w:r>
      <w:r>
        <w:rPr>
          <w:rFonts w:ascii="Arial" w:cs="Arial" w:eastAsia="Arial" w:hAnsi="Arial"/>
          <w:sz w:val="18"/>
          <w:szCs w:val="18"/>
          <w:b w:val="1"/>
          <w:bCs w:val="1"/>
          <w:color w:val="auto"/>
        </w:rPr>
        <w:t>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780"/>
          </w:cols>
          <w:pgMar w:left="1020" w:top="1440" w:right="1099" w:bottom="1440" w:gutter="0" w:footer="0" w:header="0"/>
          <w:type w:val="continuous"/>
        </w:sectPr>
      </w:pPr>
    </w:p>
    <w:bookmarkStart w:id="366" w:name="page367"/>
    <w:bookmarkEnd w:id="3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05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COMBINED FINANCIAL DATA</w:t>
      </w:r>
    </w:p>
    <w:p>
      <w:pPr>
        <w:spacing w:after="0" w:line="17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following summary financial data reflects the combined operations of GXO. We derived the summary combined income statement data for the years ended December 31, 2020, 2019 and 2018, and summary combined balance sheet data as of December 31, 2020 and 2019, as set forth below, from our audited Combined Financial Statements, which are included in the “Index to Financial Statements” section of this information statement. We derived our summary combined balance sheet data as of December 31, 2018, also as set forth below, from our unaudited underlying financial records, which were derived from the financial records of XPO. We derived the summary combined income statement data for the three months ended March 31, 2021 and 2020, and summary combined balance sheet data as of March 31, 2021, as set forth below, from our unaudited Condensed Combined Financial Statements, which are included in the “Index to Financial Statements” section of this information statement. To ensure a full understanding of this summary financial data, you should read the summary combined financial data presented below in conjunction with “Management’s Discussion and Analysis of Financial Condition and Results of Operations,” our Combined Financial Statements and accompanying notes and the Condensed Combined Financial Statements and accompanying notes included elsewhere in this information statement. The historical results do not necessarily indicate the results expected for any future period.</w:t>
      </w:r>
    </w:p>
    <w:p>
      <w:pPr>
        <w:spacing w:after="0" w:line="1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summary unaudited pro forma combined financial data as of and for the three months ended March 31, 2021 and 2020 and for year ended December 31, 2020 has been prepared to reflect the separation, including the incurrence of indebtedness of $800 million, and the distribution of approximately $978 million of cash to XPO. The Unaudited Pro Forma Condensed Combined Statement of Operations presented assumes the separation occurred on January 1, 2020, the beginning of our most recently completed fiscal year. The Unaudited Pro Forma Condensed Combined Balance Sheet presented for March 31, 2021 assumes the separation occurred on March 31, 2021, our latest balance sheet date. The assumptions used and pro forma adjustments derived from such assumptions are based on currently available information, and we believe such assumptions are reasonable under the circumstances.</w:t>
      </w:r>
    </w:p>
    <w:p>
      <w:pPr>
        <w:spacing w:after="0" w:line="11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Unaudited Pro Forma Condensed Combined Financial Information is not necessarily indicative of our results of operations or financial condition had the distribution and our anticipated post-separation capital structure been completed on the dates assumed. It may not reflect the results of operations or financial condition that would have resulted had we been operating as an independent, publicly traded company during such periods. In addition, it is not necessarily indicative of our future results of operations or financial condition.</w:t>
      </w:r>
    </w:p>
    <w:p>
      <w:pPr>
        <w:spacing w:after="0" w:line="1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 should read this summary financial data together with “Unaudited Pro Forma Condensed Combined Financial Information,” “Capitalization,” “Management’s Discussion and Analysis of Financial Condition and Results of Operations”, our Combined Financial Statements and accompanying notes and our Condensed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1000" w:top="1440" w:right="999" w:bottom="1440" w:gutter="0" w:footer="0" w:header="0"/>
        </w:sectPr>
      </w:pPr>
    </w:p>
    <w:bookmarkStart w:id="367" w:name="page368"/>
    <w:bookmarkEnd w:id="3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333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5"/>
          </w:tcPr>
          <w:p>
            <w:pPr>
              <w:jc w:val="right"/>
              <w:ind w:right="193"/>
              <w:spacing w:after="0" w:line="122" w:lineRule="exact"/>
              <w:rPr>
                <w:sz w:val="20"/>
                <w:szCs w:val="20"/>
                <w:color w:val="auto"/>
              </w:rPr>
            </w:pPr>
            <w:r>
              <w:rPr>
                <w:rFonts w:ascii="Arial" w:cs="Arial" w:eastAsia="Arial" w:hAnsi="Arial"/>
                <w:sz w:val="13"/>
                <w:szCs w:val="13"/>
                <w:b w:val="1"/>
                <w:bCs w:val="1"/>
                <w:color w:val="auto"/>
                <w:w w:val="99"/>
              </w:rPr>
              <w:t>Three Months Ended</w:t>
            </w:r>
          </w:p>
        </w:tc>
        <w:tc>
          <w:tcPr>
            <w:tcW w:w="80" w:type="dxa"/>
            <w:vAlign w:val="bottom"/>
          </w:tcPr>
          <w:p>
            <w:pPr>
              <w:spacing w:after="0"/>
              <w:rPr>
                <w:sz w:val="10"/>
                <w:szCs w:val="10"/>
                <w:color w:val="auto"/>
              </w:rPr>
            </w:pPr>
          </w:p>
        </w:tc>
        <w:tc>
          <w:tcPr>
            <w:tcW w:w="10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6"/>
          </w:tcPr>
          <w:p>
            <w:pPr>
              <w:ind w:left="100"/>
              <w:spacing w:after="0" w:line="122" w:lineRule="exact"/>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Years Ended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93"/>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tcBorders>
            <w:gridSpan w:val="4"/>
          </w:tcPr>
          <w:p>
            <w:pPr>
              <w:jc w:val="center"/>
              <w:ind w:left="304"/>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85"/>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jc w:val="center"/>
              <w:ind w:left="23"/>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Results:</w:t>
            </w: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40"/>
              <w:spacing w:after="0"/>
              <w:rPr>
                <w:sz w:val="20"/>
                <w:szCs w:val="20"/>
                <w:color w:val="auto"/>
              </w:rPr>
            </w:pPr>
            <w:r>
              <w:rPr>
                <w:rFonts w:ascii="Arial" w:cs="Arial" w:eastAsia="Arial" w:hAnsi="Arial"/>
                <w:sz w:val="15"/>
                <w:szCs w:val="15"/>
                <w:color w:val="auto"/>
              </w:rPr>
              <w:t>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1,442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0"/>
              </w:rPr>
              <w:t>6,203</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1,822</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1,440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6,195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gridSpan w:val="4"/>
          </w:tcPr>
          <w:p>
            <w:pPr>
              <w:jc w:val="right"/>
              <w:ind w:right="60"/>
              <w:spacing w:after="0"/>
              <w:rPr>
                <w:sz w:val="20"/>
                <w:szCs w:val="20"/>
                <w:color w:val="auto"/>
              </w:rPr>
            </w:pPr>
            <w:r>
              <w:rPr>
                <w:rFonts w:ascii="Arial" w:cs="Arial" w:eastAsia="Arial" w:hAnsi="Arial"/>
                <w:sz w:val="15"/>
                <w:szCs w:val="15"/>
                <w:color w:val="auto"/>
              </w:rPr>
              <w:t>6,094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150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rPr>
              <w:t>Income (loss) before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w w:val="93"/>
              </w:rPr>
              <w:t>Net income (loss) attributable to GXO</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4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469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40"/>
              <w:spacing w:after="0"/>
              <w:rPr>
                <w:sz w:val="20"/>
                <w:szCs w:val="20"/>
                <w:color w:val="auto"/>
              </w:rPr>
            </w:pPr>
            <w:r>
              <w:rPr>
                <w:rFonts w:ascii="Arial" w:cs="Arial" w:eastAsia="Arial" w:hAnsi="Arial"/>
                <w:sz w:val="15"/>
                <w:szCs w:val="15"/>
                <w:color w:val="auto"/>
              </w:rPr>
              <w:t>Free Cash Flow</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Pro Forma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rPr>
              <w:t>As of 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24"/>
              <w:spacing w:after="0"/>
              <w:rPr>
                <w:sz w:val="20"/>
                <w:szCs w:val="20"/>
                <w:color w:val="auto"/>
              </w:rPr>
            </w:pPr>
            <w:r>
              <w:rPr>
                <w:rFonts w:ascii="Arial" w:cs="Arial" w:eastAsia="Arial" w:hAnsi="Arial"/>
                <w:sz w:val="13"/>
                <w:szCs w:val="13"/>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Position:</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53"/>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42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414</w:t>
            </w:r>
          </w:p>
        </w:tc>
        <w:tc>
          <w:tcPr>
            <w:tcW w:w="40" w:type="dxa"/>
            <w:vAlign w:val="bottom"/>
          </w:tcPr>
          <w:p>
            <w:pPr>
              <w:spacing w:after="0"/>
              <w:rPr>
                <w:sz w:val="18"/>
                <w:szCs w:val="18"/>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328</w:t>
            </w:r>
          </w:p>
        </w:tc>
        <w:tc>
          <w:tcPr>
            <w:tcW w:w="680" w:type="dxa"/>
            <w:vAlign w:val="bottom"/>
            <w:gridSpan w:val="3"/>
          </w:tcPr>
          <w:p>
            <w:pPr>
              <w:jc w:val="right"/>
              <w:ind w:right="35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gridSpan w:val="4"/>
          </w:tcPr>
          <w:p>
            <w:pPr>
              <w:ind w:left="40"/>
              <w:spacing w:after="0"/>
              <w:rPr>
                <w:sz w:val="20"/>
                <w:szCs w:val="20"/>
                <w:color w:val="auto"/>
              </w:rPr>
            </w:pPr>
            <w:r>
              <w:rPr>
                <w:rFonts w:ascii="Arial" w:cs="Arial" w:eastAsia="Arial" w:hAnsi="Arial"/>
                <w:sz w:val="16"/>
                <w:szCs w:val="16"/>
                <w:color w:val="auto"/>
              </w:rPr>
              <w:t>Long-term debt and finance lease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2"/>
        <w:spacing w:after="0" w:line="245" w:lineRule="auto"/>
        <w:tabs>
          <w:tab w:leader="none" w:pos="652" w:val="left"/>
        </w:tabs>
        <w:numPr>
          <w:ilvl w:val="0"/>
          <w:numId w:val="292"/>
        </w:numPr>
        <w:rPr>
          <w:rFonts w:ascii="Arial" w:cs="Arial" w:eastAsia="Arial" w:hAnsi="Arial"/>
          <w:sz w:val="14"/>
          <w:szCs w:val="14"/>
          <w:color w:val="auto"/>
        </w:rPr>
      </w:pPr>
      <w:r>
        <w:rPr>
          <w:rFonts w:ascii="Arial" w:cs="Arial" w:eastAsia="Arial" w:hAnsi="Arial"/>
          <w:sz w:val="14"/>
          <w:szCs w:val="14"/>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 w:lineRule="exact"/>
        <w:rPr>
          <w:rFonts w:ascii="Arial" w:cs="Arial" w:eastAsia="Arial" w:hAnsi="Arial"/>
          <w:sz w:val="14"/>
          <w:szCs w:val="14"/>
          <w:color w:val="auto"/>
        </w:rPr>
      </w:pPr>
    </w:p>
    <w:p>
      <w:pPr>
        <w:ind w:left="660" w:right="360" w:hanging="322"/>
        <w:spacing w:after="0" w:line="255" w:lineRule="auto"/>
        <w:tabs>
          <w:tab w:leader="none" w:pos="652" w:val="left"/>
        </w:tabs>
        <w:numPr>
          <w:ilvl w:val="0"/>
          <w:numId w:val="292"/>
        </w:numPr>
        <w:rPr>
          <w:rFonts w:ascii="Arial" w:cs="Arial" w:eastAsia="Arial" w:hAnsi="Arial"/>
          <w:sz w:val="14"/>
          <w:szCs w:val="14"/>
          <w:color w:val="auto"/>
        </w:rPr>
      </w:pPr>
      <w:r>
        <w:rPr>
          <w:rFonts w:ascii="Arial" w:cs="Arial" w:eastAsia="Arial" w:hAnsi="Arial"/>
          <w:sz w:val="14"/>
          <w:szCs w:val="14"/>
          <w:color w:val="auto"/>
        </w:rPr>
        <w:t>We adopted Accounting Standards Update 2016-02, Leases (Topic 842) prospectively on January 1, 2019. Our historical total assets as of March 31, 2021, December 31, 2020 and 2019 include operating lease assets of $1,733 million, $1,434 million and $1,458 million, respectively.</w:t>
      </w:r>
    </w:p>
    <w:p>
      <w:pPr>
        <w:spacing w:after="0" w:line="136" w:lineRule="exact"/>
        <w:rPr>
          <w:sz w:val="20"/>
          <w:szCs w:val="20"/>
          <w:color w:val="auto"/>
        </w:rPr>
      </w:pPr>
    </w:p>
    <w:p>
      <w:pPr>
        <w:ind w:left="20" w:right="740" w:firstLine="324"/>
        <w:spacing w:after="0" w:line="277" w:lineRule="auto"/>
        <w:rPr>
          <w:sz w:val="20"/>
          <w:szCs w:val="20"/>
          <w:color w:val="auto"/>
        </w:rPr>
      </w:pPr>
      <w:r>
        <w:rPr>
          <w:rFonts w:ascii="Arial" w:cs="Arial" w:eastAsia="Arial" w:hAnsi="Arial"/>
          <w:sz w:val="18"/>
          <w:szCs w:val="18"/>
          <w:color w:val="auto"/>
        </w:rPr>
        <w:t>The tables below reconcile our non-GAAP measures to the nearest financial measure that is in accordance with accounting principles generally accepted in the United States (“GAAP”)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440" w:right="999" w:bottom="1440" w:gutter="0" w:footer="0" w:header="0"/>
        </w:sectPr>
      </w:pPr>
    </w:p>
    <w:bookmarkStart w:id="368" w:name="page369"/>
    <w:bookmarkEnd w:id="3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90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Pro Forma</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880" w:type="dxa"/>
            <w:vAlign w:val="bottom"/>
          </w:tcPr>
          <w:p>
            <w:pPr>
              <w:jc w:val="center"/>
              <w:ind w:right="44"/>
              <w:spacing w:after="0" w:line="121"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6"/>
              </w:rPr>
              <w:t>Years Ended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4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4"/>
                <w:szCs w:val="14"/>
                <w:color w:val="auto"/>
              </w:rPr>
            </w:pPr>
          </w:p>
        </w:tc>
        <w:tc>
          <w:tcPr>
            <w:tcW w:w="98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ind w:left="40"/>
              <w:spacing w:after="0" w:line="152" w:lineRule="exact"/>
              <w:rPr>
                <w:sz w:val="20"/>
                <w:szCs w:val="20"/>
                <w:color w:val="auto"/>
              </w:rPr>
            </w:pPr>
            <w:r>
              <w:rPr>
                <w:rFonts w:ascii="Arial" w:cs="Arial" w:eastAsia="Arial" w:hAnsi="Arial"/>
                <w:sz w:val="16"/>
                <w:szCs w:val="16"/>
                <w:color w:val="auto"/>
              </w:rPr>
              <w:t>Net income (loss) attributable to</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GXO</w:t>
            </w: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Net income attributable to</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2"/>
        </w:trPr>
        <w:tc>
          <w:tcPr>
            <w:tcW w:w="2360" w:type="dxa"/>
            <w:vAlign w:val="bottom"/>
          </w:tcPr>
          <w:p>
            <w:pPr>
              <w:ind w:left="200"/>
              <w:spacing w:after="0" w:line="213"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Transaction and integration costs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00" w:hanging="322"/>
        <w:spacing w:after="0" w:line="273" w:lineRule="auto"/>
        <w:tabs>
          <w:tab w:leader="none" w:pos="652" w:val="left"/>
        </w:tabs>
        <w:numPr>
          <w:ilvl w:val="0"/>
          <w:numId w:val="293"/>
        </w:numPr>
        <w:rPr>
          <w:rFonts w:ascii="Arial" w:cs="Arial" w:eastAsia="Arial" w:hAnsi="Arial"/>
          <w:sz w:val="14"/>
          <w:szCs w:val="14"/>
          <w:color w:val="auto"/>
        </w:rPr>
      </w:pPr>
      <w:r>
        <w:rPr>
          <w:rFonts w:ascii="Arial" w:cs="Arial" w:eastAsia="Arial" w:hAnsi="Arial"/>
          <w:sz w:val="14"/>
          <w:szCs w:val="14"/>
          <w:color w:val="auto"/>
        </w:rPr>
        <w:t>Includes amortization of acquisition-related intangible assets of $14 million for the three months ended March 31, 2021 and 2020 and $57 million, $60 million and $64 million in 2020,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Free Cash Flow</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2660" w:type="dxa"/>
            <w:vAlign w:val="bottom"/>
            <w:gridSpan w:val="6"/>
          </w:tcPr>
          <w:p>
            <w:pPr>
              <w:jc w:val="right"/>
              <w:ind w:right="90"/>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6"/>
        </w:trPr>
        <w:tc>
          <w:tcPr>
            <w:tcW w:w="3740" w:type="dxa"/>
            <w:vAlign w:val="bottom"/>
          </w:tcPr>
          <w:p>
            <w:pPr>
              <w:ind w:left="40"/>
              <w:spacing w:after="0" w:line="176" w:lineRule="exact"/>
              <w:rPr>
                <w:sz w:val="20"/>
                <w:szCs w:val="20"/>
                <w:color w:val="auto"/>
              </w:rPr>
            </w:pPr>
            <w:r>
              <w:rPr>
                <w:rFonts w:ascii="Arial" w:cs="Arial" w:eastAsia="Arial" w:hAnsi="Arial"/>
                <w:sz w:val="18"/>
                <w:szCs w:val="18"/>
                <w:color w:val="auto"/>
              </w:rPr>
              <w:t>Cash collected on deferred purchase price</w:t>
            </w:r>
          </w:p>
        </w:tc>
        <w:tc>
          <w:tcPr>
            <w:tcW w:w="200" w:type="dxa"/>
            <w:vAlign w:val="bottom"/>
          </w:tcPr>
          <w:p>
            <w:pPr>
              <w:spacing w:after="0"/>
              <w:rPr>
                <w:sz w:val="15"/>
                <w:szCs w:val="15"/>
                <w:color w:val="auto"/>
              </w:rPr>
            </w:pPr>
          </w:p>
        </w:tc>
        <w:tc>
          <w:tcPr>
            <w:tcW w:w="1060" w:type="dxa"/>
            <w:vAlign w:val="bottom"/>
            <w:gridSpan w:val="2"/>
            <w:vMerge w:val="restart"/>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 for purchases of property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w w:val="99"/>
              </w:rPr>
              <w:t>Proceeds from sale of property and equipment</w:t>
            </w:r>
          </w:p>
        </w:tc>
        <w:tc>
          <w:tcPr>
            <w:tcW w:w="200" w:type="dxa"/>
            <w:vAlign w:val="bottom"/>
          </w:tcPr>
          <w:p>
            <w:pPr>
              <w:spacing w:after="0"/>
              <w:rPr>
                <w:sz w:val="19"/>
                <w:szCs w:val="19"/>
                <w:color w:val="auto"/>
              </w:rPr>
            </w:pPr>
          </w:p>
        </w:tc>
        <w:tc>
          <w:tcPr>
            <w:tcW w:w="1060" w:type="dxa"/>
            <w:vAlign w:val="bottom"/>
            <w:gridSpan w:val="2"/>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93"/>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Non-GAAP Measures</w:t>
      </w:r>
    </w:p>
    <w:p>
      <w:pPr>
        <w:spacing w:after="0" w:line="175" w:lineRule="exact"/>
        <w:rPr>
          <w:sz w:val="20"/>
          <w:szCs w:val="20"/>
          <w:color w:val="auto"/>
        </w:rPr>
      </w:pPr>
    </w:p>
    <w:p>
      <w:pPr>
        <w:ind w:left="20" w:firstLine="324"/>
        <w:spacing w:after="0" w:line="259" w:lineRule="auto"/>
        <w:rPr>
          <w:sz w:val="20"/>
          <w:szCs w:val="20"/>
          <w:color w:val="auto"/>
        </w:rPr>
      </w:pPr>
      <w:r>
        <w:rPr>
          <w:rFonts w:ascii="Arial" w:cs="Arial" w:eastAsia="Arial" w:hAnsi="Arial"/>
          <w:sz w:val="18"/>
          <w:szCs w:val="18"/>
          <w:color w:val="auto"/>
        </w:rPr>
        <w:t>GXO’s non-GAAP financial measures for the three months ended March 31, 2021 and 2020 and the years ended December 31, 2020, 2019 and 2018 and the unaudited pro forma financial data for the three months ended March 31, 2021 and 2020 and the year ended December 31, 2020 used in this statement include adjusted earnings before interest, taxes, depreciation and amortization (“Adjusted EBITDA”) and free cash flow on a combined basis.</w:t>
      </w:r>
    </w:p>
    <w:p>
      <w:pPr>
        <w:spacing w:after="0" w:line="133" w:lineRule="exact"/>
        <w:rPr>
          <w:sz w:val="20"/>
          <w:szCs w:val="20"/>
          <w:color w:val="auto"/>
        </w:rPr>
      </w:pPr>
    </w:p>
    <w:p>
      <w:pPr>
        <w:jc w:val="both"/>
        <w:ind w:left="20" w:firstLine="324"/>
        <w:spacing w:after="0" w:line="275" w:lineRule="auto"/>
        <w:rPr>
          <w:sz w:val="20"/>
          <w:szCs w:val="20"/>
          <w:color w:val="auto"/>
        </w:rPr>
      </w:pPr>
      <w:r>
        <w:rPr>
          <w:rFonts w:ascii="Arial" w:cs="Arial" w:eastAsia="Arial" w:hAnsi="Arial"/>
          <w:sz w:val="17"/>
          <w:szCs w:val="17"/>
          <w:color w:val="auto"/>
        </w:rPr>
        <w:t>We believe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22" w:lineRule="exact"/>
        <w:rPr>
          <w:sz w:val="20"/>
          <w:szCs w:val="20"/>
          <w:color w:val="auto"/>
        </w:rPr>
      </w:pPr>
    </w:p>
    <w:p>
      <w:pPr>
        <w:ind w:left="20" w:right="20" w:firstLine="324"/>
        <w:spacing w:after="0" w:line="273" w:lineRule="auto"/>
        <w:rPr>
          <w:sz w:val="20"/>
          <w:szCs w:val="20"/>
          <w:color w:val="auto"/>
        </w:rPr>
      </w:pPr>
      <w:r>
        <w:rPr>
          <w:rFonts w:ascii="Arial" w:cs="Arial" w:eastAsia="Arial" w:hAnsi="Arial"/>
          <w:sz w:val="17"/>
          <w:szCs w:val="17"/>
          <w:color w:val="auto"/>
        </w:rPr>
        <w:t>Adjusted EBITDA is calculated as Net income (loss) excluding interest, taxes, depreciation and amortization, and include adjustments for transaction and integration costs, as well as restructuring costs as set forth in the above table. Transaction and integration costs are generally incremental expenses that result from an actual or planned acquisition, divestiture or spin-off and may include third-party financial, legal and tax expenditures, consulting fees and retention awards. Restructuring costs primarily relate to severance costs associated with business optimization initiatives. Management uses these non-GAAP financial measures in making financial, operating and planning decisions and evaluating GXO’s ongoing performance.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900"/>
          </w:cols>
          <w:pgMar w:left="980" w:top="1440" w:right="1019" w:bottom="1440" w:gutter="0" w:footer="0" w:header="0"/>
          <w:type w:val="continuous"/>
        </w:sectPr>
      </w:pPr>
    </w:p>
    <w:bookmarkStart w:id="369" w:name="page370"/>
    <w:bookmarkEnd w:id="3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0186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assists investors with assessing trends in our underlying business.</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free cash flow is an important measure of our ability to repay maturing debt or fund other uses of capital that we believe will enhance stockholder value. We calculate free cash flow as net cash provided by operating activities plus cash collected on deferred purchase price receivables, less payment for purchases of property and equipment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680"/>
          </w:cols>
          <w:pgMar w:left="1000" w:top="1440" w:right="1219" w:bottom="1440" w:gutter="0" w:footer="0" w:header="0"/>
        </w:sectPr>
      </w:pPr>
    </w:p>
    <w:bookmarkStart w:id="370" w:name="page371"/>
    <w:bookmarkEnd w:id="37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GXO and GXO common stock (“our stock” or “our common stock”). Any of the following risks and uncertainties could materially adversely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primary competitive factors that are most important to our customers are price and quality of service. Many larger customers utilize the services of multiple logistics providers. Customers regularly solicit bids from competitors in order to improve service and to secure favorable pricing and contractual terms such as longer payment terms, fixed-price arrangements, higher or unlimited liability limits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train and retain employees may have a material adverse effect on us.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workforce is comprised primarily of employees who work on an hourly basis. To grow our operations and meet the needs and expectations of our customers, we must attract, train and retain a large number of hourly employees, while at the same time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 For instance, our labor costs increased because of the COVID-19 pandemic, in part due to increased staffing needs, wage increases (including increases we awarded for pandemic frontline service) and increases in government unemployment benefits that have incentivized potential employees to remain out of the workforce in areas where we operate.</w:t>
      </w:r>
    </w:p>
    <w:p>
      <w:pPr>
        <w:spacing w:after="0" w:line="13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Additionally, our operations are subject to various employment 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 related matters. Any changes to employment related laws and regulations, including increased minimum wages, the expansion of union organization rights or changes in the classification of employees and independent contractors, could result in increased labor costs that could adversely affect our business, results of operations, cash flows and financial condition.</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are currently subject to employment related claims in connection with our operations. These claims, lawsuits and proceedings are in various stages of adjudication or investigation and involve a wide variety of claims and potential outcomes. Because labor represents a significant portion of our operating expenses,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depend on our ability to attract and retain qualified talent, including temporary, part-time and full-time team members; managers; and executive officers. If we are unable to attract and retain such individuals,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unable to maintain our current competitive position within the industry, meet our customers’ expectations or successfully expand and grow our business.</w:t>
      </w:r>
    </w:p>
    <w:p>
      <w:pPr>
        <w:spacing w:after="0" w:line="1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permanent employees, our ability to meet customer demands and expectations, especially during periods of peak volume, is substantially dependent on our ability to recruit and retain qualified temporary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Moreover, our inability to recruit a qualified temporary workforce may result in our inability to meet our customers’ performance targets.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the performance of an acquired business, including our January 2021 acquisition of the majority of Kuehne + Nagel’s logistics operations in the U.K.,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that could adversely affect our financial condition and results; we have experienced challenges of this nature relating to the infrastructure and systems of certain past companies that we acquired. Also, we may not realize all of the synergies we anticipate from past and potential future acquisitions. Among the synergies that we currently expect to realize are cross-selling opportunities to our existing customers, network synergies and other operational synergies. Any of these events could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rapid growth, including organic growth and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growth effectively, or obtain necessary working capital, could have a material adverse effect on our business,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w:t>
      </w:r>
    </w:p>
    <w:p>
      <w:pPr>
        <w:spacing w:after="0" w:line="13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economic uncertainties relating to eurozone monetary policies may cause the value of the euro to fluctuate against other currencies. Currency volatility contributes to variations in our sales of products and services in impacted jurisdictions. For example, in the event that one or more European countries were to replace the euro with another currency, our sales into such countries, or in Europe generally, would likely be adversely affected until stable exchange rates are established. Accordingly, fluctuations in currency exchange rates could adversely affect our business and financial condition in Europe and the business of the combined company.</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Establishing new customer relationships or adding operational sites for existing customers requires a significant amount of time, operational focus and capital. Although we typically partner with our new customers to ensure that onboarding is smooth and allocate costs appropriately, our inability to integrate new customers or operational sites into our technology systems or recruit additional employees to manage new customer relationships, or higher than anticipated costs to onboard new customers may negatively affect our financial condition or operations.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required to implement warehouse solutions for our customers. These costs are often paid back by the customer over a specified period of time associated with the expected length of the customer relationship. To the extent that a customer defaults on its obligations under its agreement with us, we could be forced to take a significant loss on the unrecovered portion of this upfront capital cost.</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1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due to labor shortages, volume peaks, our inability to procure temporary labor, technological malfunctions or other events that may or may not be within our control, may expose us to penalties or incremental costs or lead to the termination of customer contracts, all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our customers typically realize a significant portion of their sales in the fourth quarter of each year during the holiday season. Although not all of our customers experience the same seasonal variation, and some customers may have seasonal peaks that occur in periods other than the fourth quarter, the seasonality of our customers’ businesses places higher demands on our services,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94"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has and may continue to impact our customers, employees and other business partners. The COVID-19 pandemic has created significant volatility, uncertainty and economic disruption, which has and may continue to adversely affect our business operations and may materially and adversely affect our results of operations, cash flows and financial position.</w:t>
      </w:r>
    </w:p>
    <w:p>
      <w:pPr>
        <w:spacing w:after="0" w:line="13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effects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Furthermore, the extent and pace of a recovery remains uncertain and may differ significantly among the countries in which we operate. We anticipate that our results of operations will continue to be impacted by this pandemic in 2021, and the pandemic could have a material impact on our results of operations and heighten many of our known risks described herein.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logistics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logistics order entry and fulfillment and other business processes.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141"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17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in close proximity to a customer’s manufacturing plant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 causing our business to suffer.</w:t>
      </w:r>
    </w:p>
    <w:p>
      <w:pPr>
        <w:spacing w:after="0" w:line="13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0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Although our work force in the United States is not unionized, labor unions have, from time to time, attempted to organize our employees. Successful unionization by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116"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make significant use of temporary staff.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are involved in lawsuits and are subject to various claims that could result in significant expenditures and impact our operations.</w:t>
      </w:r>
    </w:p>
    <w:p>
      <w:pPr>
        <w:spacing w:after="0" w:line="2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or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12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maintain defined benefit pension plans and a postretirement medical plan. Our defined benefit pension plans include funded and unfunded plans in the U.S. and the U.K. A decline in interest rates 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significantly increase our contribution requirements. As a result, we are unable to predict the effect on our financial statements associated with our defined benefit pension plans and our postretirement medical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These and other tax laws and related regulation changes, to the extent adopted, may increase tax uncertainty, result in higher compliance cost and adversely affect our provision for income taxes, results of operations and/or cash flow.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regulatory landscape in which we operate is constantly evolving and subject to significant change, including as a result of evolving political and social attitudes. Future laws, regulations and regulatory reforms, including without limitation future laws and regulations related to increased minimum wages, the expansion of union organization rights or changes in the classification of employees and independent contractors,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41"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4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use of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depressing our ability to meet our customers’ expectations and demands, all of which would negatively affect our business and our results of operations.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enactment of proposed or future legislation by Congress could change union organization rights, resulting in increased efforts by workers to unionize. If such legislation is enacted at the federal, state or local level, such efforts could distract our management team, result in business interruptions, work stoppages and the reduction of service levels due to work rules that could have an adverse effect on our customer relationships and our revenues, earnings, financial position and outlook, and could adversely affect our business by increasing our labor costs. Recent regulatory proposals and statements by the Biden administration suggest that certain regulatory bodies, including the National Labor Relations Board, Occupational Safety and Health Administration (“OSHA”) and the Equal Employment Opportunity Commission, may promulgate regulations that could limit our operational flexibility. If such regulations are adopted, they could increase our cost of operations or hinder our ability to meet our customers’ expectations and demands, either of which would negatively affect our business and our results of operations.</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weaker demand for our services, negatively affecting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77" w:name="page378"/>
    <w:bookmarkEnd w:id="3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7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historical information about GXO in this information statement refers to the GXO Businesses as operated by and integrated with XPO. Our historical financial information included in this information statement is derived from XPO’s accounting records and is presented on a standalone basis as if the GXO Businesses have been conducted independently from XPO. Additionally, the pro forma financial information included in this information statement is derived from our historical financial information and (i) gives effect to the separation and (ii) reflects GXO’s anticipated post-separation capital structure, including the assignment of certain assets and assumption of certain liabilities not included in the historical financial statements. Accordingly, the historical and pro forma financial information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138" w:lineRule="exact"/>
        <w:rPr>
          <w:sz w:val="20"/>
          <w:szCs w:val="20"/>
          <w:color w:val="auto"/>
        </w:rPr>
      </w:pPr>
    </w:p>
    <w:p>
      <w:pPr>
        <w:ind w:left="660" w:right="160" w:hanging="328"/>
        <w:spacing w:after="0" w:line="257" w:lineRule="auto"/>
        <w:tabs>
          <w:tab w:leader="none" w:pos="65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Generally, our working capital requirements and capital for our general corporate purposes, including capital expenditures and acquisitions, have historically been satisfied as part of the corporate-wide cash management policies of XPO. Following the completion of the distribution, our results of operations and cash flows are likely to be more volatile, and we may need to obtain additional financing from banks, through public offerings or private placements of debt or equity securities, strategic relationships or other arrangements, which may or may not be available and may be more costly.</w:t>
      </w:r>
    </w:p>
    <w:p>
      <w:pPr>
        <w:spacing w:after="0" w:line="133"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Prior to the distribution, our business has been operated by XPO as part of its broader corporate organization, rather than as an independent company. XPO or one of its affiliates performed various corporate functions for us, such as legal, treasury, accounting, auditing, human resources, investor relations, and finance. Our historical and pro forma financial results reflect allocations of corporate expenses from XPO for such functions, which may be less than the expenses we would have incurred had we operated as a separate, publicly traded company.</w:t>
      </w:r>
    </w:p>
    <w:p>
      <w:pPr>
        <w:spacing w:after="0" w:line="103" w:lineRule="exact"/>
        <w:rPr>
          <w:rFonts w:ascii="Arial" w:cs="Arial" w:eastAsia="Arial" w:hAnsi="Arial"/>
          <w:sz w:val="16"/>
          <w:szCs w:val="16"/>
          <w:color w:val="auto"/>
        </w:rPr>
      </w:pPr>
    </w:p>
    <w:p>
      <w:pPr>
        <w:jc w:val="both"/>
        <w:ind w:left="660" w:right="600" w:hanging="328"/>
        <w:spacing w:after="0" w:line="286" w:lineRule="auto"/>
        <w:tabs>
          <w:tab w:leader="none" w:pos="6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Currently, our business is integrated with the other businesses of XPO. Historically, we have shared economies of scope and scale in costs, employees, vendor relationships and customer relationships. While we have sought to minimize the impact on GXO when separating these arrangements, there is no guarantee these arrangements will continue to capture these benefits in the future.</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As a current part of XPO, we take advantage of XPO’s overall size and scope to obtain more advantageous procurement terms. After the distribution, as a standalone company, we may be unable to obtain similar arrangements to the same extent that XPO did, or on terms as favorable as those XPO obtained, prior to completion of the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After the completion of the distribution, the cost of capital for our business may be higher than XPO’s cost of capital prior to the distribution.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Our historical financial information does not reflect the debt that we will incur as part of the distribution.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As an independent public company, we will separately become subject to, among other things, the reporting requirements of the Securities Exchange Act of 1934, the Sarbanes-Oxley Act, the Dodd-Frank Wall Street Reform and Consumer Protection Act, and the regulations of the NYSE and will be required to prepare our standalone financial statements according to the rules and regulations required by the SEC. These reporting and other obligations will place significant demands on our management and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steps, and those expenses may be significant. If we are unable to implement our financial and management controls, reporting systems,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and procedures in a timely and effective fashion, our ability to comply with our financial reporting requirements and other rules that apply to reporting companies under the Securities Exchange Act of 1934 could be impaired.</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Other significant changes may occur in our cost structure, management, financing and business operations as a result of operating as a company separate from XPO. For additional information about the past financial performance of our business and the basis of presentation of the historical combined financial statements and the unaudited pro forma condensed combined financial statements of our business, see “Unaudited Pro Forma Condensed Combined Financial Information,” “Management’s Discussion and Analysis of Financial Condition and Results of Operations” and the historical financial statements and accompanying notes included elsewhere in this information statement.</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our financial profile will change, and we will be a smaller, less diversified company than XPO prior to the separation.</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separation will result in each of XPO and GXO being smaller, less diversified companies with more limited businesses concentrated in their respective industries.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our ability to fund capital expenditures and investments, pay dividends and service debt may be diminished. Following the separation, we may also lose capital allocation efficiency and flexibility, as we will no longer be able to use cash flow from XPO to fund our investments into one of our other businesses.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the separation and distribution, and the separation and distribution may materially adversely affect our business.</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and distribution, or such benefits may be delayed or not occur at all. The distribution is expected to provide a number of benefits, including those described elsewhere in this information statement.</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achieve these and other anticipated benefits for a variety of reasons, including, among others: (i) the separation will demand significant management resources and require significant amounts of management’s time and effort, which may divert management’s attention from operating and growing our business; (ii) following the separation, we may be more susceptible to market fluctuations and other adverse events than if we were still a part of XPO because our business will be less diversified than XPO’s business prior to the completion of the separation; (iii) after the separation, as a standalone company, we may be unable to obtain certain goods, services and technologies at prices or on terms as favorable as those XPO obtained prior to completion of the separation; (iv) the separation may require us to pay costs that could be substantial and material to our financial resources, including insurance, accounting, tax, legal and other professional services costs, recruiting and relocation costs associated with hiring key senior management and personnel new to GXO, tax costs and costs to separate information systems; (v) under the terms of the tax matters agreement that we will enter into with XPO, we will be restricted from taking certain actions that could cause the distribution or certain related transactions (or certain transactions undertaken as part of the internal reorganization) to fail to qualify as tax-free, and these restrictions may limit us for a period of time from pursuing certain strategic transactions and equity issuances or engaging in other transactions that might increase the value of our business; and (vi) after the separation, we cannot predict the trading prices of GXO common stock or know whether the combined value of one share of our common stock and one share of XPO common stock will be less than, equal to or greater than the market value of one share of XPO common stock prior to the distribution. If we fail to achieve some or all of the benefits expected to result from the separation, or if such benefits are delayed, it could have a material adverse effect on our competitive position,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4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XPO’s separation into two independent, publicly traded companies is complex in nature, and unanticipated developments or changes, including changes in the law, the macroeconomic environment, competitive conditions of XPO’s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XPO board of directors, in its sole and absolute discretion, may decide not to proceed with the distribution at any time prior to the distribution date.</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process of completing the proposed separation has been and is expected to continue to be time-consuming and involves significant costs and expenses. The separation costs may be significantly higher than what we currently anticipate and may not yield a discernible benefit if the separation is not completed or is not well executed, or the expected benefits of the separation are not realized. Executing the proposed separation will also require significant amounts of management’s time and effort, which may divert management’s attention from operating and growing our business. Other challenges associated with effectively executing the separation include attracting, retaining and motivating employees during the pendency of the separation and following its completion; addressing disruptions to our supply chain, manufacturing, sales and distribution, and other operations resulting from separating XPO into two independent companies; and separating XPO’s information systems.</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These conditions may adversely affect our anticipated timeline to complete the separation and the expected benefits of the separation, including by increasing the time and expense involved in the separation.</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debt obligations, and may in the future incur additional debt obligations, that could adversely affect our business and profitability and our ability to meet other obligations.</w:t>
      </w:r>
    </w:p>
    <w:p>
      <w:pPr>
        <w:spacing w:after="0" w:line="11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approximately $[_____] million of the net proceeds of the notes to XPO, which net proceeds XPO intends to use to repay existing</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We may also incur additional indebtedness in the future.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significant amount of debt could potentially have important consequences to us and our debt and equity investors, including:</w:t>
      </w:r>
    </w:p>
    <w:p>
      <w:pPr>
        <w:spacing w:after="0" w:line="171" w:lineRule="exact"/>
        <w:rPr>
          <w:sz w:val="20"/>
          <w:szCs w:val="20"/>
          <w:color w:val="auto"/>
        </w:rPr>
      </w:pPr>
    </w:p>
    <w:p>
      <w:pPr>
        <w:ind w:left="660" w:hanging="328"/>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make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our debt, which could increase future debt costs and limit the future availability of debt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ind w:left="660" w:hanging="328"/>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placing us at a competitive disadvantage relative to our competitors that may not be as highly leveraged with debt; and</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 pay cash dividends or repurchase common shares.</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3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could experience temporary interruptions in business operations and incur additional costs as we build our information technology infrastructure and transition our data to our own systems.</w:t>
      </w:r>
    </w:p>
    <w:p>
      <w:pPr>
        <w:spacing w:after="0" w:line="116"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We are in the process of creating our own, or engaging third parties to provide, information technology infrastructure and systems to support our critical business functions, including accounting and reporting, in order to replace many of the systems XPO currently provides to us. We may incur temporary interruptions in business operations if we cannot transition effectively from XPO’s existing operating systems, databases and programming 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combined financial statements.</w:t>
      </w:r>
    </w:p>
    <w:p>
      <w:pPr>
        <w:spacing w:after="0" w:line="12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financial results previously were included within the combined results of XPO, and we believe that our reporting and control systems were appropriate for those of subsidiaries of a public company. However, we were not directly subject to the reporting and other requirements of the Securities Exchange Act of 1934. As a result of the distribution, we will be directly subject to reporting and other obligations under the Securities Exchange Act of 1934, including the requirements of Section 404 of the Sarbanes-Oxley Act, which will require annual management assessments of the effectiveness of our internal control over financial reporting and a report by our independent registered public accounting firm addressing these assessments. These reporting and other obligations will place significant demands on our management and administrative and operational resources, including accounting resources. We may not have sufficient time following the separation to meet these obligations by the applicable deadlines.</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to comply with these requirements, we anticipate that we will need to migrate our systems, including information technology systems, implement additional financial and management controls, reporting systems and procedures and hire additional accounting, tax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Securities Exchange Act of 1934 could be impaired. In the event we are unable to implement a sufficient tax reporting system and related processes, we may be unable to comply with tax law and face penalties associated with our lack of compliance. Any failure to achieve and maintain effective internal controls could result in adverse regulatory consequences and/or loss of investor confidence, which could limit GXO’s ability to access the global capital markets and could have a material adverse effect on our business, financial condition, results of operations, cash flows or the market price of GXO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Pursuant to the separation agreement and certain other agreements between XPO and GXO, each party will agree to indemnify the other for certain liabilities, in each case for uncapped amounts, as discussed further in the section titled “Certain Relationships and Related Party Transactions—Separation Agreement” of this information statement. Indemnities that we may be required to provide XPO are not subject to any cap,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12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Moreover, even if we ultimately succeed in recovering from XPO any amounts for which we are held liable, we may be temporarily required to bear these losses ourselves. Each of these risks could negatively affect our business, results of operations and financial condition.</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connection with the separation and prior to the distribution, GXO and XPO will enter into the separation agreement and will also enter into various other agreements, including a transition services agreement, a tax matters agreement, an employee matters agreement and an intellectual property license agreement. The separation agreement, the tax matters agreement, the employee matters agreement and the intellectual property license agreement, together with the documents and agreements by which the internal reorganization will be effected, will determine the allocation of assets and liabilities between the companies following the separation for those respective areas and will include any necessary indemnifications related to liabilities and obligations. The transition services agreement will provide for the performance of certain services by each company for the benefit of the other for a period of time after the separation. GXO will rely on XPO to satisfy its performance and payment obligations under these agreements. If XPO is unable or unwilling to satisfy its obligations under these agreements, including its indemnification obligations, we could incur operational difficulties and/or losses. If we do not have in place our own systems and services, or if we do not have agreements with other providers of these services once certain transaction agreements expire, we may not be able to operate our business effectively, and our profitability may decline. We are in the process of creating our own, or engaging third parties to provide, systems and services to replace many of the systems and services that XPO currently provides to us. However, we may not be successful in implementing these systems and services in a timely manner or at all, we may incur additional costs in connection with, or following, the implementation of these systems and services, and we may not be successful in transitioning data from XPO’s systems to ours.</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held liable to XPO if we fail to perform certain services under the transition services agreement, and the performance of such services may negatively impact our business and operations.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separation, GXO and XPO will enter into a transition services agreement that will provide for the performance of certain services by each company for the benefit of the other for a period of time after the separation. If we do not satisfactorily perform our obligations under the agreement, we may be held liable for any resulting losses suffered by XPO, subject to certain limits. In addition, during the transition services periods, our management and employees may be required to divert their attention away from our business in order to provide services to XPO,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we will receive in our agreements with XPO could be less beneficial than the terms we may have otherwise received from unaffiliated third parties.</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agreements we will enter into with XPO in connection with the separation, including the separation agreement, a transition services agreement, a tax matters agreement, an employee matters agreement and an intellectual property license agreement, were prepared in the context of the separation while we were still a wholly owned subsidiary of XPO. Accordingly, during the period in which the terms of those agreements were prepared, we did not have an independent board of directors or a management team that was independent of XPO. As a result, the terms of those agreements may not reflect terms that would have resulted from arm’s-length negotiations between unaffiliated third parties. See “Certain Relationships and Related Party Transactions.”</w:t>
      </w:r>
    </w:p>
    <w:p>
      <w:pPr>
        <w:spacing w:after="0" w:line="10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0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XPO and GXO, including those relating to the past and future conduct of XPO and GXO. If any of these facts, assumptions, representations, statements or undertakings is, or becomes, inaccurate or incomplete, or if XPO or GXO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Notwithstanding receipt of the opinion of counsel, the U.S. Internal Revenue Service (the “IRS”) could determine that the distribution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we, as well as XPO and XPO’s stockholders, could be subject to significant U.S. federal income tax liability.</w:t>
      </w:r>
    </w:p>
    <w:p>
      <w:pPr>
        <w:spacing w:after="0" w:line="1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 distribution,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(unless XPO and we jointly make an election under Section 336(e) of the Code with respect to the distribution, in which case, in general, (a) the XPO group would recognize taxable gain as if we had sold all of our assets in a taxable sale in exchange for an amount equal to the fair market value of GXO common stock and the assumption of all our liabilities and (b) we would obtain a related step-up in the tax basis of our assets), and XPO stockholders who receive such GXO shares in the distribution would be subject to tax as if they had received a taxable distribution equal to the fair market value of such shares. For more information, see “Material U.S. Federal Income Tax Consequences.”</w:t>
      </w:r>
    </w:p>
    <w:p>
      <w:pPr>
        <w:spacing w:after="0" w:line="11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addition, as part of the separation, and prior to the distribution, XPO and its subsidiaries expect to complete the internal reorganization, and XPO, GXO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83" w:name="page384"/>
    <w:bookmarkEnd w:id="383"/>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reorganization, XPO intends to obtain opinions of external tax advisors, in each case, regarding the tax treatment of such transactions. Such opinions will be based upon and rely on, among other 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any such tax opinions cannot be obtained or the relevant taxing authorities prevail with any challenge in respect of any relevant transaction, XPO, GXO and their subsidiaries could be subject to significant tax liabilities.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tax matters agreement to be entered into between XPO and GXO in connection with the separation, we generally would be required to indemnify XPO for any taxes resulting from the separation (and any related costs and other damages) to the extent such amounts resulted from (i) an acquisition of all or a portion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agreement and certain other agreements and documents. Further, under the tax matters agreement, we generally would be required to indemnify XPO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 by, or acquisition of equity securities of, XPO or GXO. Any such indemnity obligations could be material. For a more detailed discussion, see “Certain Relationships and Related Party Transactions—Tax Matters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 following the separation.</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For example, a spin-off may result in taxable gain to the parent corporation under Section 355(e) of the Code if it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separation and distribution, and in addition to our indemnity obligation described above, the tax matters agreement will restrict us, for the two-year period following the distribution, except in specific circumstances, from, among other things: (i) ceasing to actively conduct certain of our businesses; (ii) entering into certain transactions or series of transactions pursuant to which all or a portion of the shares of GXO stock would be acquired, whether by merger or otherwise; (iii) liquidating or merging or consolidating with any other person; (iv) issuing equity securities beyond certain thresholds; (v) repurchasing shares of GXO stock other than in certain open-market transactions; or (vi) taking or failing to take any other action that would jeopardize the expected U.S. federal income tax treatment of the distribution and certain related transactions.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distribution, together with certain related transactions, to qualify for tax-free treatment (see the discussion under the section titled “Certain Relationships and Related Party Transactions—Tax Matters Agreement” ), and our indemnity obligations for such liabilities under the tax matters agreement, may discourage, delay, or prevent certain third parties from acquiring us. For more information, see the sections titled “Certain Relationships and Related Party Transactions—Tax Matters Agreement” and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4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separation agreement will provide that certain contracts, permits and other assets and rights are to be transferred from XPO or its subsidiaries to GXO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XPO are joint beneficiaries of contracts, and we and XPO may need the consents of third parties in order to split or separate the existing contracts or the relevant portion of the existing contracts to us or XPO.</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parties may use consent requirements or other rights to seek to terminate contracts or obtain more favorable contractual terms from us, which, for example, could take the form of adverse price changes,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XPO, and we may be required to seek alternative arrangements to obtain services and assets which may be more costly and/or of lower quality. The termination or modification of these contracts or permits or the failure to timely complete the transfer or separation of these contracts or permits could negatively impact our business, financial condition, results of operations and cash flows.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XPO board of directors has sole and absolute discretion to change the terms of the separation and distribution in ways that may be unfavorable to us.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Until the distribution occurs, GXO will be a wholly-owned subsidiary of XPO. Accordingly, the XPO board of directors will have the sole and absolute discretion to determine and change the terms of the separation, including the establishment of the record date for the distribution and the distribution date. These changes could be unfavorable to us. In addition, the XPO board of directors, in its sole and absolute discretion, may decide not to proceed with the distribution at any time prior to the distribution date.</w:t>
      </w:r>
    </w:p>
    <w:p>
      <w:pPr>
        <w:spacing w:after="0" w:line="13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No vote of XPO stockholders is required in connection with the distribution. Accordingly, if you do not want to receive our common stock in the distribution, your only recourse will be to divest yourself of your XPO common stock prior to the record date for the distribution.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public market for our common stock does not currently exist. We anticipate that on or prior to the record date for the distribution, trading of shares of our common stock will begin on a “when-issued” basis and will continue through the distribution date. However, we cannot guarantee that an active trading market will develop or be sustained for our common stock after the distribution, nor can we predict the prices at which shares of our common stock may trade after the distribution. Similarly, we cannot predict the effect of the distribution on the trading prices of our common stock or whether the combined market value of one share of our common stock and one share of XPO common stock will be less than, equal to or greater than the market value of one share of XPO common stock prior to the distribution.</w:t>
      </w:r>
    </w:p>
    <w:p>
      <w:pPr>
        <w:spacing w:after="0" w:line="13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Until the market has fully evaluated XPO’s businesses without GXO, the price at which each share of XPO common stock trades may fluctuate more significantly than might otherwise be typical, even with other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conditions, including general volatility, held constant. Similarly, until the market has fully evaluated our business as a standalone entity, the prices at which shares of our common stock trade may fluctuate more significantly than might otherwise be typical, even with other market conditions, including general volatility, held constant. The increased volatility of our stock price following the distribution may have a material adverse effect on our business, financial condition and results of operations. The market price of our common stock may fluctuate significantly due to a number of factors, some of which may be beyond our control, including:</w:t>
      </w:r>
    </w:p>
    <w:p>
      <w:pPr>
        <w:spacing w:after="0" w:line="134" w:lineRule="exact"/>
        <w:rPr>
          <w:sz w:val="20"/>
          <w:szCs w:val="20"/>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our ability to meet those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substantial and rapid changes in our stockholder base, which may cause our stock price to fluctuate significantly.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investors holding shares of XPO common stock may hold that stock because of a decision to invest in a company with XPO’s profile. Following the distribution, the shares of GXO common stock held by those investors will represent an investment in a company with a different profile. This may not be aligned with a holder’s investment strategy and may cause the holder to sell the shares rapidly. As a result, the price of GXO common stock may decline or experience volatility as GXO’s stockholder base changes.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number of shares of our common stock may be sold following the distribution, which may cause our stock price to decline.</w:t>
      </w:r>
    </w:p>
    <w:p>
      <w:pPr>
        <w:spacing w:after="0" w:line="18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Any sales of substantial amounts of our common stock in the public market or the perception that such sales might occur, in connection with the distribution or otherwise, may cause the market price of our common stock to decline. Upon completion of the distribution, we expect that we will have an</w:t>
      </w:r>
    </w:p>
    <w:p>
      <w:pPr>
        <w:ind w:right="80"/>
        <w:spacing w:after="0" w:line="255" w:lineRule="auto"/>
        <w:rPr>
          <w:sz w:val="20"/>
          <w:szCs w:val="20"/>
          <w:color w:val="auto"/>
        </w:rPr>
      </w:pPr>
      <w:r>
        <w:rPr>
          <w:rFonts w:ascii="Arial" w:cs="Arial" w:eastAsia="Arial" w:hAnsi="Arial"/>
          <w:sz w:val="18"/>
          <w:szCs w:val="18"/>
          <w:color w:val="auto"/>
        </w:rPr>
        <w:t>aggregate of approximately [ ] shares of our common stock issued and outstanding. Shares distributed to XPO stockholders in the separation will generally be freely tradeable without restriction or further registration under the U.S. Securities Act of 1933, as amended (the “Securities Act”), except for shares owned by one of our “affiliates,” as that term is defined in Rule 405 under the Securities Act.</w:t>
      </w:r>
    </w:p>
    <w:p>
      <w:pPr>
        <w:spacing w:after="0" w:line="13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are unable to predict whether large amounts of our common stock will be sold in the open market following the distribution. We are also unable to predict whether a sufficient number of buyers of our common stock to meet the demand to sell shares of our common stock at attractive prices would exist at that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future, your percentage ownership in GXO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distribution as a result of conversion of their XPO stock-based awards. We anticipate that the compensation committee of our board of directors will grant additional stock-based awards to our employees after the distribution. Such awards will have a dilutive effect on the number of GXO shares outstanding, and therefore on our earnings per share, which could adversely affect the market price of our common stock. From time to time, we will issue additional stock-based awards to our employees under our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440" w:right="379" w:bottom="1440" w:gutter="0" w:footer="0" w:header="0"/>
        </w:sectPr>
      </w:pPr>
    </w:p>
    <w:bookmarkStart w:id="386" w:name="page387"/>
    <w:bookmarkEnd w:id="38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the timing, amount or payment of dividends on our common stock.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 For more information, see “Dividend Policy.”</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are expected to include, among others:</w:t>
      </w:r>
    </w:p>
    <w:p>
      <w:pPr>
        <w:spacing w:after="0" w:line="133" w:lineRule="exact"/>
        <w:rPr>
          <w:sz w:val="20"/>
          <w:szCs w:val="20"/>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addition, we expect to be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2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 See “Description of Capital Stock.”</w:t>
      </w:r>
    </w:p>
    <w:p>
      <w:pPr>
        <w:spacing w:after="0" w:line="10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an acquisition or further issuance of our stock could trigger the application of Section 355(e) of the Code, causing the distribution to be taxable to XPO. For a discussion of Section 355(e) of the Code, see “Material U.S. Federal Income Tax Consequences.” Under the tax matters agreement, we would be required to indemnify XPO for the resulting tax, and this indemnity obligation might discourage, delay or prevent a change of control that our stockholders may consider favorable.</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will contain an exclusive forum provision that may discourage lawsuits against GXO and GXO’s directors and officers.</w:t>
      </w:r>
    </w:p>
    <w:p>
      <w:pPr>
        <w:spacing w:after="0" w:line="11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unless the board of directors otherwise determines, the state courts within the State of Delaware (or, if no state court located within the State of Delaware has jurisdiction, the federal district court for the District of Delaware) will be the sole and exclusive forum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0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1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one share of XPO common stock and one share of GXO common stock may not equal or exceed the pre-distribution value of one share of XPO common stock.</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a result of the separation, we expect the trading price of shares of XPO common stock immediately following the separation to be different from the “regular-way” trading price of XPO common shares immediately prior to the separation because the trading price will no longer reflect the value of the GXO Businesses. There can be no assurance that the aggregate market value of a share of XPO common stock and one share of GXO common stock following the separation will be higher than, lower than or the same as the market value of a share of XPO common stock if the separation did not occur.</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Chairman controls a large portion of our stock, which could limit other stockholders’ ability to influence the outcome of key decisions and transactions, including changes of control.</w:t>
      </w:r>
    </w:p>
    <w:p>
      <w:pPr>
        <w:spacing w:after="0" w:line="116"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Our Chairman, Brad Jacobs, will beneficially own approximately [ ]% of our outstanding common stock as of [ ], 2021.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information statement and other materials XPO and GXO have filed or will file with the SEC (and oral communications that XPO or GXO may make)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(including risks, uncertainties and assumptions) that might cause or contribute to a material difference include, but are not limited to:</w:t>
      </w:r>
    </w:p>
    <w:p>
      <w:pPr>
        <w:spacing w:after="0" w:line="114" w:lineRule="exact"/>
        <w:rPr>
          <w:sz w:val="20"/>
          <w:szCs w:val="20"/>
          <w:color w:val="auto"/>
        </w:rPr>
      </w:pPr>
    </w:p>
    <w:p>
      <w:pPr>
        <w:ind w:left="660" w:hanging="328"/>
        <w:spacing w:after="0"/>
        <w:tabs>
          <w:tab w:leader="none" w:pos="66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severity, magnitude, duration and aftereffects of the COVID-19 pandemic and government responses to the COVID-19 pandemic;</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public health crises (including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economic conditions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our ability to align our investments in capital assets, including equipment, service centers and warehouses, to our customers’ demands;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anticipated synergies, cost savings and profit improvement opportunities with respect to acquired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our ability to develop and implement suitable information technology systems and prevent failures in or breaches of such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our ability to raise debt and equity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labor matters, including our ability to manage our subcontractors, and risks associated with labor disputes at our customers and efforts by labor organizations to organize our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risks associated with defined benefit plans for our current and former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fluctuations in fixed and floating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issues related to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governmental regulation, including trade compliance laws, as well as changes in international trade policies and tax regimes;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governmental or political actions, including the United Kingdom’s exit from the European Union;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natural disasters, terrorist attacks or similar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389" w:name="page390"/>
    <w:bookmarkEnd w:id="389"/>
    <w:p>
      <w:pPr>
        <w:spacing w:after="0" w:line="144" w:lineRule="exact"/>
        <w:rPr>
          <w:sz w:val="20"/>
          <w:szCs w:val="20"/>
          <w:color w:val="auto"/>
        </w:rPr>
      </w:pPr>
    </w:p>
    <w:p>
      <w:pPr>
        <w:ind w:left="660" w:right="380" w:hanging="328"/>
        <w:spacing w:after="0" w:line="277"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political, economic, and regulatory risks relating to GXO’s global operations, including compliance with U.S. and foreign trade and tax laws, sanctions, embargoes and other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material disruption of GXO’s operations;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inability to achieve the level of revenue growth, cash generation, cost savings, improvement in profitability and margins, fiscal discipline, or strengthening of competitiveness and operations anticipated or targeted;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impact of potential cyber-attacks and information technology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inability to implement technology initiatives successfully;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uncertainties regarding the planned separation, including the risk that conditions to the separation will not be satisfied and that it will not be completed pursuant to the targeted timing, asset perimeters, and other anticipated terms, if at all, and that the separation will not produce the desired benefits;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should be treated as taxable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expected financing transactions undertaken in connection with the separation and risks associated with additional indebtedness;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our estimates; and</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impact of the separation on our businesses, our operations, our relationships with customers, suppliers, employees and other business counterparties, and the risk that the businesses will not be separated successfully or that such separation may be more difficult, time-consuming or costly than expected, which could result in additional demands on our resources, systems, procedures and controls, disruption of our ongoing business, and diversion of management’s attention from other business concerns.</w:t>
      </w:r>
    </w:p>
    <w:p>
      <w:pPr>
        <w:spacing w:after="0" w:line="13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XPO and GXO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1440" w:right="399" w:bottom="1440" w:gutter="0" w:footer="0" w:header="0"/>
        </w:sectPr>
      </w:pPr>
    </w:p>
    <w:bookmarkStart w:id="390" w:name="page391"/>
    <w:bookmarkEnd w:id="39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On December 2, 2020, XPO announced its intention to separate into two independent, publicly traded companies. The separation will occur through a pro rata distribution to the XPO stockholders of 100% of the shares of common stock of GXO, which was formed to hold the GXO Businesses.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distribution:</w:t>
      </w:r>
    </w:p>
    <w:p>
      <w:pPr>
        <w:spacing w:after="0" w:line="171" w:lineRule="exact"/>
        <w:rPr>
          <w:sz w:val="20"/>
          <w:szCs w:val="20"/>
          <w:color w:val="auto"/>
        </w:rPr>
      </w:pPr>
    </w:p>
    <w:p>
      <w:pPr>
        <w:ind w:left="660" w:right="220" w:hanging="328"/>
        <w:spacing w:after="0" w:line="277" w:lineRule="auto"/>
        <w:tabs>
          <w:tab w:leader="none" w:pos="65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we expect that XPO will complete the internal reorganization as a result of which GXO will become the parent company of the XPO operations comprising, and the entities that will conduct, the GXO Businesses;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GXO issued $800 million of unsecured, unsubordinated notes and entered into an $800 million Revolving Credit Agreement, as described under “Description of Material Indebtedness;”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we expect that using all or a portion of the proceeds from one or more financing transactions on or prior to the completion of the distribution, GXO will transfer approximately $978 million of cash to XPO, which XPO will use to repay existing indebtedness.</w:t>
      </w:r>
    </w:p>
    <w:p>
      <w:pPr>
        <w:spacing w:after="0" w:line="11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On [</w:t>
      </w:r>
      <w:r>
        <w:rPr>
          <w:sz w:val="20"/>
          <w:szCs w:val="20"/>
          <w:color w:val="auto"/>
        </w:rPr>
        <w:tab/>
      </w:r>
      <w:r>
        <w:rPr>
          <w:rFonts w:ascii="Arial" w:cs="Arial" w:eastAsia="Arial" w:hAnsi="Arial"/>
          <w:sz w:val="16"/>
          <w:szCs w:val="16"/>
          <w:color w:val="auto"/>
        </w:rPr>
        <w:t>], 2021, the XPO board of directors approved the distribution of all of GXO’s issued and outstanding shares of common stock on the basis</w:t>
      </w:r>
    </w:p>
    <w:p>
      <w:pPr>
        <w:spacing w:after="0" w:line="23"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of one share of GXO common stock for every share of XPO common stock held as of the close of business on [ ], 2021, the record date for the distribution.</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At [ ], Eastern Time, on [ ], 2021, the distribution date, each XPO stockholder will receive one share of GXO common stock for every share of XPO common stock held at the close of business on the record date for the distribution, as described below. Upon completion of the separation, each GXO stockholder as of the record date will continue to own shares of XPO and will receive a proportionate share of the outstanding common stock of GXO to be distributed. You will not be required to make any payment, surrender or exchange your XPO common stock or take any other action to receive your shares of GXO common stock in the distribution. The distribution of GXO common stock as described in this information statement is subject to the final approval of the XPO board of directors and the satisfaction or waiver of certain conditions. For a more detailed description of these conditions, see “The Separation and Distribution—Conditions to the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116" w:lineRule="exact"/>
        <w:rPr>
          <w:sz w:val="20"/>
          <w:szCs w:val="20"/>
          <w:color w:val="auto"/>
        </w:rPr>
      </w:pPr>
    </w:p>
    <w:p>
      <w:pPr>
        <w:ind w:left="660" w:right="60" w:hanging="328"/>
        <w:spacing w:after="0" w:line="271" w:lineRule="auto"/>
        <w:tabs>
          <w:tab w:leader="none" w:pos="655" w:val="left"/>
        </w:tabs>
        <w:numPr>
          <w:ilvl w:val="0"/>
          <w:numId w:val="302"/>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 financial profiles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distribution, and XPO will target achieving such rating over time. To the extent this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4" w:lineRule="exact"/>
        <w:rPr>
          <w:rFonts w:ascii="Arial" w:cs="Arial" w:eastAsia="Arial" w:hAnsi="Arial"/>
          <w:sz w:val="17"/>
          <w:szCs w:val="17"/>
          <w:color w:val="auto"/>
        </w:rPr>
      </w:pPr>
    </w:p>
    <w:p>
      <w:pPr>
        <w:ind w:left="660" w:right="120" w:hanging="328"/>
        <w:spacing w:after="0" w:line="259" w:lineRule="auto"/>
        <w:tabs>
          <w:tab w:leader="none" w:pos="655"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 and GXO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pure-play equity currency that can be used to facilitate capital raising and to pursue accretive M&amp;A opportunities that are more closely aligned with each company’s strategic goals and expected growth opportunities. To the extent the separate equity currencies are more attractively valued, this would further increase these benefits to XPO and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40" w:right="359" w:bottom="1440" w:gutter="0" w:footer="0" w:header="0"/>
        </w:sectPr>
      </w:pPr>
    </w:p>
    <w:bookmarkStart w:id="391" w:name="page392"/>
    <w:bookmarkEnd w:id="391"/>
    <w:p>
      <w:pPr>
        <w:spacing w:after="0" w:line="144" w:lineRule="exact"/>
        <w:rPr>
          <w:sz w:val="20"/>
          <w:szCs w:val="20"/>
          <w:color w:val="auto"/>
        </w:rPr>
      </w:pPr>
    </w:p>
    <w:p>
      <w:pPr>
        <w:ind w:left="328" w:right="120" w:hanging="328"/>
        <w:spacing w:after="0" w:line="259" w:lineRule="auto"/>
        <w:tabs>
          <w:tab w:leader="none" w:pos="323"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 xml:space="preserve">Improved Alignment of Management Incentives and Performance. </w:t>
      </w:r>
      <w:r>
        <w:rPr>
          <w:rFonts w:ascii="Arial" w:cs="Arial" w:eastAsia="Arial" w:hAnsi="Arial"/>
          <w:sz w:val="18"/>
          <w:szCs w:val="18"/>
          <w:color w:val="auto"/>
        </w:rPr>
        <w:t>The separation will allow each company to more effectively recruit, retain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motivate employees through the use of equity-based compensation that more closely reflects and aligns management and employee incentives with specific growth objectives, financial goals and business attributes. To the extent the separate equity currencies are more attractively valued, this would further benefit XPO and GXO.</w:t>
      </w:r>
    </w:p>
    <w:p>
      <w:pPr>
        <w:spacing w:after="0" w:line="132" w:lineRule="exact"/>
        <w:rPr>
          <w:rFonts w:ascii="Arial" w:cs="Arial" w:eastAsia="Arial" w:hAnsi="Arial"/>
          <w:sz w:val="18"/>
          <w:szCs w:val="18"/>
          <w:color w:val="auto"/>
        </w:rPr>
      </w:pPr>
    </w:p>
    <w:p>
      <w:pPr>
        <w:ind w:left="328" w:right="80" w:hanging="328"/>
        <w:spacing w:after="0" w:line="273" w:lineRule="auto"/>
        <w:tabs>
          <w:tab w:leader="none" w:pos="323"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Separate Capital Structures and Allocation of Financial Resources. </w:t>
      </w:r>
      <w:r>
        <w:rPr>
          <w:rFonts w:ascii="Arial" w:cs="Arial" w:eastAsia="Arial" w:hAnsi="Arial"/>
          <w:sz w:val="17"/>
          <w:szCs w:val="17"/>
          <w:color w:val="auto"/>
        </w:rPr>
        <w:t>The separation will permit each company to allocate its financial resources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 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23" w:lineRule="exact"/>
        <w:rPr>
          <w:rFonts w:ascii="Arial" w:cs="Arial" w:eastAsia="Arial" w:hAnsi="Arial"/>
          <w:sz w:val="17"/>
          <w:szCs w:val="17"/>
          <w:color w:val="auto"/>
        </w:rPr>
      </w:pPr>
    </w:p>
    <w:p>
      <w:pPr>
        <w:ind w:left="328" w:right="20" w:hanging="328"/>
        <w:spacing w:after="0" w:line="258" w:lineRule="auto"/>
        <w:tabs>
          <w:tab w:leader="none" w:pos="323"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Enhanced Management Focus on Core Businesses</w:t>
      </w:r>
      <w:r>
        <w:rPr>
          <w:rFonts w:ascii="Arial" w:cs="Arial" w:eastAsia="Arial" w:hAnsi="Arial"/>
          <w:sz w:val="17"/>
          <w:szCs w:val="17"/>
          <w:color w:val="auto"/>
        </w:rPr>
        <w:t>. The separation will provide each company’s management team with undiluted focus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the XPO Connect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digital transportation platform and GXO’s productivity tools for its logistics operations.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XPO board of directors also considered a number of potentially negative factors in evaluating the separation, including:</w:t>
      </w:r>
    </w:p>
    <w:p>
      <w:pPr>
        <w:spacing w:after="0" w:line="171" w:lineRule="exact"/>
        <w:rPr>
          <w:sz w:val="20"/>
          <w:szCs w:val="20"/>
          <w:color w:val="auto"/>
        </w:rPr>
      </w:pPr>
    </w:p>
    <w:p>
      <w:pPr>
        <w:ind w:left="328" w:right="60" w:hanging="328"/>
        <w:spacing w:after="0" w:line="257" w:lineRule="auto"/>
        <w:tabs>
          <w:tab w:leader="none" w:pos="323"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 for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including, among others: the separation will demand significant management resources and require significant amounts of management’s time and effort, which may divert management’s attention from operating our business; and following the separation, we may be more susceptible to market fluctuations and other adverse events than if we were still a part of XPO because our business will be less diversified than XPO’s business prior to the completion of the separation.</w:t>
      </w:r>
    </w:p>
    <w:p>
      <w:pPr>
        <w:spacing w:after="0" w:line="133" w:lineRule="exact"/>
        <w:rPr>
          <w:rFonts w:ascii="Arial" w:cs="Arial" w:eastAsia="Arial" w:hAnsi="Arial"/>
          <w:sz w:val="18"/>
          <w:szCs w:val="18"/>
          <w:color w:val="auto"/>
        </w:rPr>
      </w:pPr>
    </w:p>
    <w:p>
      <w:pPr>
        <w:ind w:left="328" w:right="40" w:hanging="328"/>
        <w:spacing w:after="0" w:line="279" w:lineRule="auto"/>
        <w:tabs>
          <w:tab w:leader="none" w:pos="323" w:val="left"/>
        </w:tabs>
        <w:numPr>
          <w:ilvl w:val="0"/>
          <w:numId w:val="304"/>
        </w:numPr>
        <w:rPr>
          <w:rFonts w:ascii="Arial" w:cs="Arial" w:eastAsia="Arial" w:hAnsi="Arial"/>
          <w:sz w:val="17"/>
          <w:szCs w:val="17"/>
          <w:color w:val="auto"/>
        </w:rPr>
      </w:pPr>
      <w:r>
        <w:rPr>
          <w:rFonts w:ascii="Arial" w:cs="Arial" w:eastAsia="Arial" w:hAnsi="Arial"/>
          <w:sz w:val="17"/>
          <w:szCs w:val="17"/>
          <w:i w:val="1"/>
          <w:iCs w:val="1"/>
          <w:color w:val="auto"/>
        </w:rPr>
        <w:t>Disruptions and Costs Related to the Separation</w:t>
      </w:r>
      <w:r>
        <w:rPr>
          <w:rFonts w:ascii="Arial" w:cs="Arial" w:eastAsia="Arial" w:hAnsi="Arial"/>
          <w:sz w:val="17"/>
          <w:szCs w:val="17"/>
          <w:color w:val="auto"/>
        </w:rPr>
        <w:t>. The actions required to separate the GXO Businesses from XPO could disrupt our operations.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17" w:lineRule="exact"/>
        <w:rPr>
          <w:rFonts w:ascii="Arial" w:cs="Arial" w:eastAsia="Arial" w:hAnsi="Arial"/>
          <w:sz w:val="17"/>
          <w:szCs w:val="17"/>
          <w:color w:val="auto"/>
        </w:rPr>
      </w:pPr>
    </w:p>
    <w:p>
      <w:pPr>
        <w:ind w:left="328" w:hanging="328"/>
        <w:spacing w:after="0" w:line="291" w:lineRule="auto"/>
        <w:tabs>
          <w:tab w:leader="none" w:pos="323" w:val="left"/>
        </w:tabs>
        <w:numPr>
          <w:ilvl w:val="0"/>
          <w:numId w:val="304"/>
        </w:numPr>
        <w:rPr>
          <w:rFonts w:ascii="Arial" w:cs="Arial" w:eastAsia="Arial" w:hAnsi="Arial"/>
          <w:sz w:val="16"/>
          <w:szCs w:val="16"/>
          <w:color w:val="auto"/>
        </w:rPr>
      </w:pPr>
      <w:r>
        <w:rPr>
          <w:rFonts w:ascii="Arial" w:cs="Arial" w:eastAsia="Arial" w:hAnsi="Arial"/>
          <w:sz w:val="16"/>
          <w:szCs w:val="16"/>
          <w:i w:val="1"/>
          <w:iCs w:val="1"/>
          <w:color w:val="auto"/>
        </w:rPr>
        <w:t>Loss of Scale and Increased Administrative Costs</w:t>
      </w:r>
      <w:r>
        <w:rPr>
          <w:rFonts w:ascii="Arial" w:cs="Arial" w:eastAsia="Arial" w:hAnsi="Arial"/>
          <w:sz w:val="16"/>
          <w:szCs w:val="16"/>
          <w:color w:val="auto"/>
        </w:rPr>
        <w:t>. As a current part of XPO, GXO takes advantage of XPO’s size and purchasing power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procuring certain goods and services.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2" w:lineRule="exact"/>
        <w:rPr>
          <w:rFonts w:ascii="Arial" w:cs="Arial" w:eastAsia="Arial" w:hAnsi="Arial"/>
          <w:sz w:val="16"/>
          <w:szCs w:val="16"/>
          <w:color w:val="auto"/>
        </w:rPr>
      </w:pPr>
    </w:p>
    <w:p>
      <w:pPr>
        <w:ind w:left="328" w:right="160" w:hanging="328"/>
        <w:spacing w:after="0" w:line="286" w:lineRule="auto"/>
        <w:tabs>
          <w:tab w:leader="none" w:pos="323" w:val="left"/>
        </w:tabs>
        <w:numPr>
          <w:ilvl w:val="0"/>
          <w:numId w:val="304"/>
        </w:numPr>
        <w:rPr>
          <w:rFonts w:ascii="Arial" w:cs="Arial" w:eastAsia="Arial" w:hAnsi="Arial"/>
          <w:sz w:val="17"/>
          <w:szCs w:val="17"/>
          <w:color w:val="auto"/>
        </w:rPr>
      </w:pPr>
      <w:r>
        <w:rPr>
          <w:rFonts w:ascii="Arial" w:cs="Arial" w:eastAsia="Arial" w:hAnsi="Arial"/>
          <w:sz w:val="17"/>
          <w:szCs w:val="17"/>
          <w:i w:val="1"/>
          <w:iCs w:val="1"/>
          <w:color w:val="auto"/>
        </w:rPr>
        <w:t>Limitations on Strategic Transactions</w:t>
      </w:r>
      <w:r>
        <w:rPr>
          <w:rFonts w:ascii="Arial" w:cs="Arial" w:eastAsia="Arial" w:hAnsi="Arial"/>
          <w:sz w:val="17"/>
          <w:szCs w:val="17"/>
          <w:color w:val="auto"/>
        </w:rPr>
        <w:t>. Under the terms of the tax matters agreement that we will enter into with XPO, we will be restricted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taking certain actions that could cause the distribution or certain related transactions (or certain transactions undertaken as part of the internal reorganization) to fail to qualify as tax-free under applicable law. These restrictions may limit for a period of time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8"/>
          </w:cols>
          <w:pgMar w:left="652" w:top="1440" w:right="359" w:bottom="1440" w:gutter="0" w:footer="0" w:header="0"/>
        </w:sectPr>
      </w:pPr>
    </w:p>
    <w:bookmarkStart w:id="392" w:name="page393"/>
    <w:bookmarkEnd w:id="392"/>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pursue certain strategic transactions and equity issuances or engage in other transactions that might increase the value of our business.</w:t>
      </w:r>
    </w:p>
    <w:p>
      <w:pPr>
        <w:spacing w:after="0" w:line="183" w:lineRule="exact"/>
        <w:rPr>
          <w:sz w:val="20"/>
          <w:szCs w:val="20"/>
          <w:color w:val="auto"/>
        </w:rPr>
      </w:pPr>
    </w:p>
    <w:p>
      <w:pPr>
        <w:ind w:left="660" w:hanging="328"/>
        <w:spacing w:after="0" w:line="263" w:lineRule="auto"/>
        <w:tabs>
          <w:tab w:leader="none" w:pos="655"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 common stock or know</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certainty whether the combined market value of one share of our common stock and one share of XPO common stock will be less than, equal to or greater than the market value of one share of XPO common stock prior to the distribution.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foregoing negative factors. See the section titled “Risk Factors” included elsewhere in this information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GXO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GXO was formed as a Delaware corporation on February 16, 2021 for the purpose of holding the GXO Businesses. As part of the plan to separate the GXO Businesses from the remainder of its businesses, in connection with the internal reorganization, XPO plans to transfer the equity interests of certain entities that are expected to operate the GXO Businesses and the assets and liabilities of the GXO Businesses to GXO prior to the distribution. For additional information, see “The Separation and Distribution—Internal Reorganization.”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75" w:lineRule="exact"/>
        <w:rPr>
          <w:sz w:val="20"/>
          <w:szCs w:val="20"/>
          <w:color w:val="auto"/>
        </w:rPr>
      </w:pPr>
    </w:p>
    <w:p>
      <w:pPr>
        <w:jc w:val="center"/>
        <w:ind w:right="-19"/>
        <w:spacing w:after="0"/>
        <w:tabs>
          <w:tab w:leader="none" w:pos="420" w:val="left"/>
          <w:tab w:leader="none" w:pos="440" w:val="left"/>
        </w:tabs>
        <w:rPr>
          <w:sz w:val="20"/>
          <w:szCs w:val="20"/>
          <w:color w:val="auto"/>
        </w:rPr>
      </w:pPr>
      <w:r>
        <w:rPr>
          <w:rFonts w:ascii="Arial" w:cs="Arial" w:eastAsia="Arial" w:hAnsi="Arial"/>
          <w:sz w:val="18"/>
          <w:szCs w:val="18"/>
          <w:color w:val="auto"/>
        </w:rPr>
        <w:t>With the assistance of Computershare, XPO expects to distribute GXO common stock at [</w:t>
      </w:r>
      <w:r>
        <w:rPr>
          <w:sz w:val="20"/>
          <w:szCs w:val="20"/>
          <w:color w:val="auto"/>
        </w:rPr>
        <w:tab/>
      </w:r>
      <w:r>
        <w:rPr>
          <w:rFonts w:ascii="Arial" w:cs="Arial" w:eastAsia="Arial" w:hAnsi="Arial"/>
          <w:sz w:val="18"/>
          <w:szCs w:val="18"/>
          <w:color w:val="auto"/>
        </w:rPr>
        <w:t>], Eastern Time, on [</w:t>
      </w:r>
      <w:r>
        <w:rPr>
          <w:sz w:val="20"/>
          <w:szCs w:val="20"/>
          <w:color w:val="auto"/>
        </w:rPr>
        <w:tab/>
      </w:r>
      <w:r>
        <w:rPr>
          <w:rFonts w:ascii="Arial" w:cs="Arial" w:eastAsia="Arial" w:hAnsi="Arial"/>
          <w:sz w:val="16"/>
          <w:szCs w:val="16"/>
          <w:color w:val="auto"/>
        </w:rPr>
        <w:t>], 2021, the distribution</w:t>
      </w:r>
    </w:p>
    <w:p>
      <w:pPr>
        <w:spacing w:after="0" w:line="23" w:lineRule="exact"/>
        <w:rPr>
          <w:sz w:val="20"/>
          <w:szCs w:val="20"/>
          <w:color w:val="auto"/>
        </w:rPr>
      </w:pPr>
    </w:p>
    <w:p>
      <w:pPr>
        <w:jc w:val="center"/>
        <w:spacing w:after="0"/>
        <w:tabs>
          <w:tab w:leader="none" w:pos="440" w:val="left"/>
        </w:tabs>
        <w:rPr>
          <w:sz w:val="20"/>
          <w:szCs w:val="20"/>
          <w:color w:val="auto"/>
        </w:rPr>
      </w:pPr>
      <w:r>
        <w:rPr>
          <w:rFonts w:ascii="Arial" w:cs="Arial" w:eastAsia="Arial" w:hAnsi="Arial"/>
          <w:sz w:val="18"/>
          <w:szCs w:val="18"/>
          <w:color w:val="auto"/>
        </w:rPr>
        <w:t>date, to all holders of outstanding XPO common stock as of the close of business on [</w:t>
      </w:r>
      <w:r>
        <w:rPr>
          <w:sz w:val="20"/>
          <w:szCs w:val="20"/>
          <w:color w:val="auto"/>
        </w:rPr>
        <w:tab/>
      </w:r>
      <w:r>
        <w:rPr>
          <w:rFonts w:ascii="Arial" w:cs="Arial" w:eastAsia="Arial" w:hAnsi="Arial"/>
          <w:sz w:val="16"/>
          <w:szCs w:val="16"/>
          <w:color w:val="auto"/>
        </w:rPr>
        <w:t>], 2021, the record date for the distribution. Computershare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serve as the settlement and distribution agent in connection with the distribution and the transfer agent and registrar for GXO common stock.</w:t>
      </w:r>
    </w:p>
    <w:p>
      <w:pPr>
        <w:spacing w:after="0" w:line="15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If you own XPO common stock as of the close of business on the record date for the distribution, GXO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GXO common stock. If you hold your XPO shares through a bank or brokerage firm, your bank or brokerage firm will credit your account for the GXO shares. Direct registration form refers to a method of recording share ownership when no physical share certificates are issued to stockholders, as is the case in this distribution. If you sell XPO common stock in the “regular-way” market up to and including the distribution date, you will be selling your right to receive shares of GXO common stock in the distribution.</w:t>
      </w:r>
    </w:p>
    <w:p>
      <w:pPr>
        <w:spacing w:after="0" w:line="14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XPO common stock and you are the registered holder of the shares represented by those certificates, the distribution agent will mail to you an account statement that indicates the number of shares of GXO common stock that have been registered in book-entry form in your name.</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Most XPO stockholders hold their common stock through a bank or brokerage firm. In such cases, the bank or brokerage firm is said to hold the shares in “street name” and ownership would be recorded on the bank or brokerage firm’s books. If you hold your XPO common stock through a bank or brokerage firm, your bank or brokerage firm will credit your account for the GXO common stock that you are entitled to receive in the distribution. If you have any questions concerning the mechanics of having shares held in “street name,” please contact your bank or brokerage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75"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Shares of GXO common stock distributed to 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or directors. Securities held by our affiliates will be subject to resale restrictions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393" w:name="page394"/>
    <w:bookmarkEnd w:id="393"/>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Securities Act. Our affiliates will be permitted to sell shares of our common stock only pursuant to an effective registration statement or an exemption from the registration requirements of the Securities Act, such as the exemption afforded by Rule 144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GXO Common Stock You Will Receive</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For every share of XPO common stock that you own at the close of business on [ ], 2021, the record date for the distribution, you will receive one share of GXO common stock on the distribution date. XPO will not distribute any fractional shares of GXO common stock to its stockholders.</w:t>
      </w:r>
    </w:p>
    <w:p>
      <w:pPr>
        <w:spacing w:after="0" w:line="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you hold physical certificates for shares of XPO common stock and are the registered holder, you will receive a check from the distribution agent in an amount equal to your pro rata share of the net cash proceeds of the sales. We estimate that it will take approximately two weeks from the distribution date for the distribution agent to complete the distribution of the net cash proceeds. If you hold your shares of XPO common stock through a bank or brokerage firm, your bank or brokerage firm will receive, on your behalf, your pro rata share of the net cash proceeds of the sales and will electronically credit your account for your share of such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connection with the separation and distribution, XPO equity-based awards that are outstanding immediately prior to the separation and distribution and held by individuals who will serve as employees or non-employee directors of GXO following the separation and distribution will be treated as follows:</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Each award of XPO RSUs (including any event-based RSUs) held by an individual who will be an employee or non-employee director of GXO following the separation and distribution will be converted into an award of RSUs with respect to GXO common stock. The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2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award of XPO stock options held by an individual who will be an employee of GXO following the separation and distribution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converted into an award of stock options with respect to GXO common stock. The exercise price of, and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75"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As part of the separation, and prior to the distribution, XPO and its subsidiaries expect to complete an internal reorganization in order to transfer to GXO the GXO Businesses that it will hold following the separation. Among other things and subject to limited exceptions, the internal reorganization is expected to result in GXO owning, directly or indirectly, the operations comprising, and the entities that conduct, the GXO Businesses.</w:t>
      </w:r>
    </w:p>
    <w:p>
      <w:pPr>
        <w:spacing w:after="0" w:line="9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internal reorganization is expected to include various restructuring transactions pursuant to which (i) the operations, assets and liabilities of XPO and its subsidiaries used to conduct the GXO Businesses will be separated from the operations, assets and liabilities of XPO and its subsidiaries used to conduct XPO’s other businesses and (ii) such GXO Businesses’ operations, assets and liabilities will be contributed, transferred or otherwise allocated to GXO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GXO Businesses in such jurisdictions.</w:t>
      </w:r>
    </w:p>
    <w:p>
      <w:pPr>
        <w:spacing w:after="0" w:line="1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part of this internal reorganization, XPO will contribute to GXO certain liabilities and certain assets, including equity interests in entities that are expected to conduct the GXO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GXO will be the parent company of the entities that are expected to conduct the GXO Businesses and XPO will remain the parent company of the entities that currently conduct all of XPO’s operations except the GXO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the distribution, GXO will be an independent, publicly traded company. The actual number of shares to be distributed will be determined at the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close of business on [ ], 2021, the record date for the distribution, and will reflect any exercise of XPO options between the date the XPO board of directors declares the distribution and the record date for the distribution. The distribution will not affect the number of outstanding shares of XPO common stock or any rights of XPO stockholders. XPO will not distribute any fractional shares of GXO common stock.</w:t>
      </w:r>
    </w:p>
    <w:p>
      <w:pPr>
        <w:spacing w:after="0" w:line="13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will enter into a separation agreement and other related agreements with XPO to effect the separation and to provide a framework for our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GXO’s separation from XPO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GXO Common Stock</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is currently no public trading market for GXO common stock. GXO intends to list its common stock on the NYSE under the symbol “GXO.” GXO has not and will not set the initial price of its common stock. The initial price will be established by the public markets.</w:t>
      </w:r>
    </w:p>
    <w:p>
      <w:pPr>
        <w:spacing w:after="0" w:line="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cannot predict the price at which GXO common stock will trade after the distribution. In fact, the combined trading prices, after the distribution, of the shares of GXO common stock that each XPO stockholder will receive in the distribution, together with the XPO common stock held at the record date for the distribution, may not equal the “regular-way” trading price of the XPO common stock immediately prior to the distribution. The price at which GXO common stock trades may fluctuate significantly, particularly until an orderly public market develops. Trading prices for GXO common stock will be determined in the public markets and may be influenced by many factors. See “Risk Factors—Risks Related to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7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approximately $[_____] million of the net proceeds of the notes to XPO, which net proceeds XPO intends to use to repay existing</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indebtedness. As a result of such transactions, GXO anticipates having approximately $800 million of outstanding indebtedness upon completion of the distribution (excluding finance leases and intercompany liabilities and any borrowings under the Revolving Credit Facility). For more information, see “Description of Material Indebtedness.”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the Distribution Date</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Beginning on or shortly before the record date for the distribution and continuing up to and including through the distribution date, XPO expects that there will be two markets in XPO common stock: a “regular-way” market and an “ex-distribution” market. XPO common stock that trades on the “regular-way” market will trade with an entitlement to GXO common stock distributed in the distribution. XPO common stock that trades on the “ex-distribution” market will trade without an entitlement to GXO common stock distributed in the distribution. Therefore, if you sell shares of XPO common stock in the “regular-way” market up to and including through the distribution date, you will be selling your right to receive shares of GXO common stock in the distribution. If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0" w:right="359" w:bottom="1440" w:gutter="0" w:footer="0" w:header="0"/>
        </w:sectPr>
      </w:pPr>
    </w:p>
    <w:bookmarkStart w:id="395" w:name="page396"/>
    <w:bookmarkEnd w:id="395"/>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own XPO common stock at the close of business on the record date and sell those shares on the “ex-distribution” market up to and including through the distribution date, you will receive the shares of GXO common stock that you are entitled to receive pursuant to your ownership of shares of XPO common stock as of the record date.</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Furthermore, beginning on or shortly before the record date for the distribution and continuing up to and including the distribution date, GXO expects that there will be a “when-issued” market in its common stock. “When-issued” trading refers to a sale or purchase made conditionally because the security has been authorized but not yet issued. The “when-issued” trading market will be a market for GXO common stock that will be distributed to holders of XPO common stock on the distribution date. If you owned XPO common stock at the close of business on the record date for the distribution, you would be entitled to GXO common stock distributed pursuant to the distribution. You may trade this entitlement to shares of GXO common stock, without trading the XPO common stock you own, on the “when-issued” market. On the first trading day following the distribution date, “when-issued” trading with respect to GXO common stock will end, and “regular-way” trading with respect to GXO common stock will begin.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distribution will be effective at [ ], Eastern Time, on [ ], 2021, which is the distribution date, subject to final approval by the XPO board of directors, as well as to the satisfaction (or waiver by XPO in its sole and absolute discretion), of a number of conditions set forth in the separation agreement, including, among others:</w:t>
      </w:r>
    </w:p>
    <w:p>
      <w:pPr>
        <w:spacing w:after="0" w:line="130" w:lineRule="exact"/>
        <w:rPr>
          <w:sz w:val="20"/>
          <w:szCs w:val="20"/>
          <w:color w:val="auto"/>
        </w:rPr>
      </w:pPr>
    </w:p>
    <w:p>
      <w:pPr>
        <w:ind w:left="660" w:right="540" w:hanging="328"/>
        <w:spacing w:after="0" w:line="342" w:lineRule="auto"/>
        <w:tabs>
          <w:tab w:leader="none" w:pos="6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71"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w:t>
      </w:r>
    </w:p>
    <w:p>
      <w:pPr>
        <w:ind w:left="660"/>
        <w:spacing w:after="0"/>
        <w:rPr>
          <w:rFonts w:ascii="Arial" w:cs="Arial" w:eastAsia="Arial" w:hAnsi="Arial"/>
          <w:sz w:val="16"/>
          <w:szCs w:val="16"/>
          <w:color w:val="auto"/>
        </w:rPr>
      </w:pPr>
      <w:r>
        <w:rPr>
          <w:rFonts w:ascii="Arial" w:cs="Arial" w:eastAsia="Arial" w:hAnsi="Arial"/>
          <w:sz w:val="18"/>
          <w:szCs w:val="18"/>
          <w:color w:val="auto"/>
        </w:rPr>
        <w:t>(D) of the Code;</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transfer of assets and liabilities to GXO having been completed in accordance with the separation agreement;</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 independent appraisal firm acceptable to the XPO board of directors having delivered one or more opinions to the XPO board of directors confirming the solvency and financial viability of XPO before the completion of the distribution, in each case in a form and substance acceptable to the XPO board of directors in its sole and absolute discretion;</w:t>
      </w:r>
    </w:p>
    <w:p>
      <w:pPr>
        <w:spacing w:after="0" w:line="129"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and distribution having been duly executed and delivered by the parties thereto;</w:t>
      </w:r>
    </w:p>
    <w:p>
      <w:pPr>
        <w:spacing w:after="0" w:line="182"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shares of GXO common stock to be distributed having been approved for listing on the NYSE, subject to official notice of distribution;</w:t>
      </w:r>
    </w:p>
    <w:p>
      <w:pPr>
        <w:spacing w:after="0" w:line="182"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XPO having received certain proceeds from the financing arrangements described under “Description of Material Indebtedness” and being satisfied in its sole and absolute discretion that, as of the effective time of the distribution, it will have no further liability under such arrangements, and XPO having completed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required refinancing of its existing indebtedness on terms satisfactory to the XPO board of directors in its sole and absolute discretion; and</w:t>
      </w:r>
    </w:p>
    <w:p>
      <w:pPr>
        <w:spacing w:after="0" w:line="183" w:lineRule="exact"/>
        <w:rPr>
          <w:sz w:val="20"/>
          <w:szCs w:val="20"/>
          <w:color w:val="auto"/>
        </w:rPr>
      </w:pPr>
    </w:p>
    <w:p>
      <w:pPr>
        <w:ind w:left="660" w:right="240" w:hanging="328"/>
        <w:spacing w:after="0" w:line="277" w:lineRule="auto"/>
        <w:tabs>
          <w:tab w:leader="none" w:pos="6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XPO will have the sole and absolute discretion to determine (and change) the terms of, and whether to proceed with, the distribution and, to the extent it determines to so proceed, to determine the record date for the distribution, the distribution date and the distribution ratio. XPO will also have sole and absolute discretion to waive any of the conditions to the distribution. XPO does not intend to notify its stockholders of any modifications to the terms of the separation or distribution that, in the judgment of its board of directors, are not material. For example, the XPO board of directors might consider material such matters as significant changes to the distribution ratio and the assets to be contributed or the liabilities to be assumed in the separation. To the extent that the XPO board of directors determines that any modifications by XPO materially change the material terms of the distribution, XPO will notify XPO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397" w:name="page398"/>
    <w:bookmarkEnd w:id="397"/>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1440" w:right="479" w:bottom="1440" w:gutter="0" w:footer="0" w:header="0"/>
        </w:sectPr>
      </w:pPr>
    </w:p>
    <w:bookmarkStart w:id="398" w:name="page399"/>
    <w:bookmarkEnd w:id="39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following table sets forth our capitalization as of March 31, 2021, on an unaudited historical basis and on a pro forma basis to give effect to the pro forma adjustments included in our Unaudited Pro Forma Condensed Combined Financial Information. The information below is not necessarily indicative of what our capitalization would have been had the separation, distribution and related financing transactions been completed as of March 31, 2021. In addition, it is not indicative of our future capitalization. This table should be read in conjunction with “Unaudited Pro Forma Condensed Combined Financial Information,” “Management’s Discussion and Analysis of Financial Condition and Results of Operations,” our Combined Financial Statements and notes and our Condensed Combined Financial Statements and notes included in the “Index to Financial Statements” section of this information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6"/>
                <w:szCs w:val="16"/>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w w:val="94"/>
              </w:rPr>
              <w:t>Pro Forma</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37"/>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indebtedness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57"/>
        </w:trPr>
        <w:tc>
          <w:tcPr>
            <w:tcW w:w="8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r>
    </w:tbl>
    <w:p>
      <w:pPr>
        <w:spacing w:after="0" w:line="24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following unaudited pro forma condensed combined financial information of GXO consists of the Unaudited Pro Forma Combined Statement of Operations for the three months ended March 31, 2021 and 2020 and the year ended December 31, 2020 and the Unaudited Pro Forma Combined Balance Sheet as of March 31, 2021, which have been derived from our historical combined financial statements included elsewhere in this information statement.</w:t>
      </w:r>
    </w:p>
    <w:p>
      <w:pPr>
        <w:spacing w:after="0" w:line="9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Unaudited Pro Forma Combined Statement of Operations gives effect to the Pro Forma Transactions (as defined below) as if they occurred on January 1, 2020, the beginning of the most recently completed fiscal year. The Unaudited Pro Forma Combined Balance Sheet gives effect to the Pro Forma Transactions as if they occurred as of March 31, 2021, our latest balance sheet date.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 forma adjustments include transaction accounting adjustments that reflect the accounting for transactions in accordance with U.S. GAAP, and autonomous entity adjustments that reflect certain incremental expense or other changes necessary, if any, to reflect the financial condition and results of operations as if GXO was a separate stand-alone entity. The following unaudited pro forma condensed combined financial information illustrates the effects of the following transactions (collectively, the “Pro Forma Transactions”):</w:t>
      </w:r>
    </w:p>
    <w:p>
      <w:pPr>
        <w:spacing w:after="0" w:line="133" w:lineRule="exact"/>
        <w:rPr>
          <w:sz w:val="20"/>
          <w:szCs w:val="20"/>
          <w:color w:val="auto"/>
        </w:rPr>
      </w:pPr>
    </w:p>
    <w:p>
      <w:pPr>
        <w:ind w:left="660" w:right="140" w:hanging="328"/>
        <w:spacing w:after="0" w:line="277"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separation of the assets (including the equity interests of certain subsidiaries) and liabilities related to the GXO Businesses from XPO and the transfer of those assets (including the equity interests of certain subsidiaries) and liabilities to GXO;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removal of XPO-related assets and liabilities included in GXO’s historical financial statements but retained by XPO;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distribution of 100% of our issued and outstanding common stock by XPO in connection with the separation;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effect of our anticipated post-separation capital structure, including the incurrence of indebtedness of $800 million, and the distribution of approximately $978 million of cash to XPO; and</w:t>
      </w:r>
    </w:p>
    <w:p>
      <w:pPr>
        <w:spacing w:after="0" w:line="116"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agreement, the transition services agreement, the tax matters agreement, the employee matters agreement and the intellectual property license agreement between us and XPO and the provisions contained therein.</w:t>
      </w:r>
    </w:p>
    <w:p>
      <w:pPr>
        <w:spacing w:after="0" w:line="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 final determination regarding our capital structure has not yet been made, and the separation and distribution agreement, tax matters agreement, transition services agreement, employee matters agreement and intellectual property license agreement and certain other transaction agreements have not been finalized. As such, the pro forma statements may be revised in future amendments to reflect the impact on our capital structure and the final form of those agreements, to the extent any such revisions would be deemed material.</w:t>
      </w:r>
    </w:p>
    <w:p>
      <w:pPr>
        <w:spacing w:after="0" w:line="13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operating expenses reported in our historical Combined Statements of Operations include allocations of certain XPO costs. These costs include allocation of XPO corporate costs that benefit us, including corporate governance, executive management, finance, legal, information technology, human resources, other general and administrative costs, shared services and depreciation on shared XPO assets.</w:t>
      </w:r>
    </w:p>
    <w:p>
      <w:pPr>
        <w:spacing w:after="0" w:line="11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To operate as an independent public company, we expect our recurring costs to replace these services to be lower than expenses historically allocated to us from XPO as presented in our historical Combined Statements of Operations. The significant assumptions involved in determining our estimates of the recurring costs of being an independent, publicly traded company include:</w:t>
      </w:r>
    </w:p>
    <w:p>
      <w:pPr>
        <w:spacing w:after="0" w:line="130" w:lineRule="exact"/>
        <w:rPr>
          <w:sz w:val="20"/>
          <w:szCs w:val="20"/>
          <w:color w:val="auto"/>
        </w:rPr>
      </w:pPr>
    </w:p>
    <w:p>
      <w:pPr>
        <w:ind w:left="660" w:right="600" w:hanging="328"/>
        <w:spacing w:after="0" w:line="277" w:lineRule="auto"/>
        <w:tabs>
          <w:tab w:leader="none" w:pos="6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Costs to perform financial reporting, tax, regulatory compliance, corporate governance, treasury, legal, internal audit and investor relations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Compensation, including equity-based awards, and benefits with respect to new and existing positions and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ind w:left="660" w:hanging="328"/>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Incremental third-party costs with respect to insurance, audit services, tax services, employee benefits and legal services.</w:t>
      </w:r>
    </w:p>
    <w:p>
      <w:pPr>
        <w:spacing w:after="0" w:line="171"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We estimate that the net impact of these costs as compared to our historical Combined Statement of Operations would have been a reduction of approximately $4 million in Depreciation and amortization expense for the three months ended March 31, 2021, and would have been a reduction of between approximately $10 million and $20 million in Sales, general and administrative expense and approximately $20 million in Depreciation and amortization expense for the year ended December 31, 2020. Certain factors could impact these stand-alone public company costs, including the finalization of our staffing and infrastructure needs. A pro forma adjustment has not been made to the accompanying Unaudited Pro Forma Combined Statement of Operations to reflect the anticipated adjustment in the level of these expenses as they are projected amounts based on estimates.</w:t>
      </w:r>
    </w:p>
    <w:p>
      <w:pPr>
        <w:spacing w:after="0" w:line="11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pro forma adjustments are based on available information and assumptions our management believes are reasonable; however, such adjustments are subject to change as transaction-related agreements are finalized and the costs of operating as a standalone company are determined. In addition, such adjustments are estimates and may not prove to be accurate. The Unaudited Pro Forma Condensed Combined Financial Information is based on information and assumptions which are described in the accompanying notes.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our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440" w:right="399" w:bottom="1440" w:gutter="0" w:footer="0" w:header="0"/>
        </w:sectPr>
      </w:pPr>
    </w:p>
    <w:bookmarkStart w:id="401" w:name="page402"/>
    <w:bookmarkEnd w:id="401"/>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21"/>
              <w:spacing w:after="0"/>
              <w:rPr>
                <w:sz w:val="20"/>
                <w:szCs w:val="20"/>
                <w:color w:val="auto"/>
              </w:rPr>
            </w:pPr>
            <w:r>
              <w:rPr>
                <w:rFonts w:ascii="Arial" w:cs="Arial" w:eastAsia="Arial" w:hAnsi="Arial"/>
                <w:sz w:val="13"/>
                <w:szCs w:val="13"/>
                <w:b w:val="1"/>
                <w:bCs w:val="1"/>
                <w:color w:val="auto"/>
                <w:w w:val="86"/>
              </w:rPr>
              <w:t>Transaction</w:t>
            </w:r>
          </w:p>
        </w:tc>
        <w:tc>
          <w:tcPr>
            <w:tcW w:w="142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Autonomous Entity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Pr>
          <w:p>
            <w:pPr>
              <w:spacing w:after="0"/>
              <w:rPr>
                <w:sz w:val="10"/>
                <w:szCs w:val="10"/>
                <w:color w:val="auto"/>
              </w:rPr>
            </w:pPr>
          </w:p>
        </w:tc>
        <w:tc>
          <w:tcPr>
            <w:tcW w:w="10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6"/>
              </w:rPr>
              <w:t>Accounting</w:t>
            </w:r>
          </w:p>
        </w:tc>
        <w:tc>
          <w:tcPr>
            <w:tcW w:w="1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88"/>
              </w:rPr>
              <w:t>Adjustments</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 (d)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4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Short-term borrowings and current finance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debt and finance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420" w:type="dxa"/>
            <w:vAlign w:val="bottom"/>
          </w:tcPr>
          <w:p>
            <w:pPr>
              <w:ind w:left="120"/>
              <w:spacing w:after="0"/>
              <w:rPr>
                <w:sz w:val="20"/>
                <w:szCs w:val="20"/>
                <w:color w:val="auto"/>
              </w:rPr>
            </w:pPr>
            <w:r>
              <w:rPr>
                <w:rFonts w:ascii="Arial" w:cs="Arial" w:eastAsia="Arial" w:hAnsi="Arial"/>
                <w:sz w:val="16"/>
                <w:szCs w:val="16"/>
                <w:color w:val="auto"/>
              </w:rPr>
              <w:t>(c) (e) (f)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 (h)</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Common stock, par value $0.01]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 (i)</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XPO investment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(2,903)</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7"/>
        </w:trPr>
        <w:tc>
          <w:tcPr>
            <w:tcW w:w="4080" w:type="dxa"/>
            <w:vAlign w:val="bottom"/>
          </w:tcPr>
          <w:p>
            <w:pPr>
              <w:ind w:left="240"/>
              <w:spacing w:after="0"/>
              <w:rPr>
                <w:sz w:val="20"/>
                <w:szCs w:val="20"/>
                <w:color w:val="auto"/>
              </w:rPr>
            </w:pPr>
            <w:r>
              <w:rPr>
                <w:rFonts w:ascii="Arial" w:cs="Arial" w:eastAsia="Arial" w:hAnsi="Arial"/>
                <w:sz w:val="16"/>
                <w:szCs w:val="16"/>
                <w:b w:val="1"/>
                <w:bCs w:val="1"/>
                <w:color w:val="auto"/>
              </w:rPr>
              <w:t>Total equity before noncontrolling interests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Transaction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1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20" w:type="dxa"/>
            <w:vAlign w:val="bottom"/>
          </w:tcPr>
          <w:p>
            <w:pPr>
              <w:spacing w:after="0"/>
              <w:rPr>
                <w:sz w:val="10"/>
                <w:szCs w:val="10"/>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Historical</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24"/>
              <w:spacing w:after="0" w:line="122" w:lineRule="exact"/>
              <w:rPr>
                <w:sz w:val="20"/>
                <w:szCs w:val="20"/>
                <w:color w:val="auto"/>
              </w:rPr>
            </w:pPr>
            <w:r>
              <w:rPr>
                <w:rFonts w:ascii="Arial" w:cs="Arial" w:eastAsia="Arial" w:hAnsi="Arial"/>
                <w:sz w:val="13"/>
                <w:szCs w:val="13"/>
                <w:b w:val="1"/>
                <w:bCs w:val="1"/>
                <w:color w:val="auto"/>
                <w:w w:val="86"/>
              </w:rPr>
              <w:t>Accounting</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 (c)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tcPr>
          <w:p>
            <w:pPr>
              <w:ind w:left="100"/>
              <w:spacing w:after="0"/>
              <w:rPr>
                <w:sz w:val="20"/>
                <w:szCs w:val="20"/>
                <w:color w:val="auto"/>
              </w:rPr>
            </w:pPr>
            <w:r>
              <w:rPr>
                <w:rFonts w:ascii="Arial" w:cs="Arial" w:eastAsia="Arial" w:hAnsi="Arial"/>
                <w:sz w:val="16"/>
                <w:szCs w:val="16"/>
                <w:color w:val="auto"/>
              </w:rPr>
              <w:t>(b) (c)</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ind w:left="100"/>
              <w:spacing w:after="0"/>
              <w:rPr>
                <w:sz w:val="20"/>
                <w:szCs w:val="20"/>
                <w:color w:val="auto"/>
              </w:rPr>
            </w:pPr>
            <w:r>
              <w:rPr>
                <w:rFonts w:ascii="Arial" w:cs="Arial" w:eastAsia="Arial" w:hAnsi="Arial"/>
                <w:sz w:val="16"/>
                <w:szCs w:val="16"/>
                <w:color w:val="auto"/>
              </w:rPr>
              <w:t>(b) (g)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3"/>
              <w:spacing w:after="0"/>
              <w:rPr>
                <w:sz w:val="20"/>
                <w:szCs w:val="20"/>
                <w:color w:val="auto"/>
              </w:rPr>
            </w:pPr>
            <w:r>
              <w:rPr>
                <w:rFonts w:ascii="Arial" w:cs="Arial" w:eastAsia="Arial" w:hAnsi="Arial"/>
                <w:sz w:val="13"/>
                <w:szCs w:val="13"/>
                <w:b w:val="1"/>
                <w:bCs w:val="1"/>
                <w:color w:val="auto"/>
                <w:w w:val="86"/>
              </w:rPr>
              <w:t>Transaction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4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ind w:left="120"/>
              <w:spacing w:after="0"/>
              <w:rPr>
                <w:sz w:val="20"/>
                <w:szCs w:val="20"/>
                <w:color w:val="auto"/>
              </w:rPr>
            </w:pPr>
            <w:r>
              <w:rPr>
                <w:rFonts w:ascii="Arial" w:cs="Arial" w:eastAsia="Arial" w:hAnsi="Arial"/>
                <w:sz w:val="16"/>
                <w:szCs w:val="16"/>
                <w:color w:val="auto"/>
              </w:rPr>
              <w:t>(b) (c)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120"/>
              <w:spacing w:after="0"/>
              <w:rPr>
                <w:sz w:val="20"/>
                <w:szCs w:val="20"/>
                <w:color w:val="auto"/>
              </w:rPr>
            </w:pPr>
            <w:r>
              <w:rPr>
                <w:rFonts w:ascii="Arial" w:cs="Arial" w:eastAsia="Arial" w:hAnsi="Arial"/>
                <w:sz w:val="16"/>
                <w:szCs w:val="16"/>
                <w:color w:val="auto"/>
              </w:rPr>
              <w:t>(c)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763"/>
              <w:spacing w:after="0"/>
              <w:rPr>
                <w:sz w:val="20"/>
                <w:szCs w:val="20"/>
                <w:color w:val="auto"/>
              </w:rPr>
            </w:pPr>
            <w:r>
              <w:rPr>
                <w:rFonts w:ascii="Arial" w:cs="Arial" w:eastAsia="Arial" w:hAnsi="Arial"/>
                <w:sz w:val="16"/>
                <w:szCs w:val="16"/>
                <w:color w:val="auto"/>
              </w:rPr>
              <w:t>(1)</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763"/>
              <w:spacing w:after="0"/>
              <w:rPr>
                <w:sz w:val="20"/>
                <w:szCs w:val="20"/>
                <w:color w:val="auto"/>
              </w:rPr>
            </w:pPr>
            <w:r>
              <w:rPr>
                <w:rFonts w:ascii="Arial" w:cs="Arial" w:eastAsia="Arial" w:hAnsi="Arial"/>
                <w:sz w:val="16"/>
                <w:szCs w:val="16"/>
                <w:color w:val="auto"/>
              </w:rPr>
              <w:t>(7)</w:t>
            </w:r>
          </w:p>
        </w:tc>
        <w:tc>
          <w:tcPr>
            <w:tcW w:w="980" w:type="dxa"/>
            <w:vAlign w:val="bottom"/>
          </w:tcPr>
          <w:p>
            <w:pPr>
              <w:ind w:left="120"/>
              <w:spacing w:after="0"/>
              <w:rPr>
                <w:sz w:val="20"/>
                <w:szCs w:val="20"/>
                <w:color w:val="auto"/>
              </w:rPr>
            </w:pPr>
            <w:r>
              <w:rPr>
                <w:rFonts w:ascii="Arial" w:cs="Arial" w:eastAsia="Arial" w:hAnsi="Arial"/>
                <w:sz w:val="16"/>
                <w:szCs w:val="16"/>
                <w:color w:val="auto"/>
              </w:rPr>
              <w:t>(b) (g)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4</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 attributable to GXO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Transaction</w:t>
            </w:r>
          </w:p>
        </w:tc>
        <w:tc>
          <w:tcPr>
            <w:tcW w:w="90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Autonomous Entity</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Pr>
          <w:p>
            <w:pPr>
              <w:spacing w:after="0"/>
              <w:rPr>
                <w:sz w:val="10"/>
                <w:szCs w:val="10"/>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3"/>
                <w:szCs w:val="13"/>
                <w:b w:val="1"/>
                <w:bCs w:val="1"/>
                <w:color w:val="auto"/>
              </w:rPr>
              <w:t>Pro Forma</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6"/>
              </w:rPr>
              <w:t>Adjustments</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ind w:left="120"/>
              <w:spacing w:after="0"/>
              <w:rPr>
                <w:sz w:val="20"/>
                <w:szCs w:val="20"/>
                <w:color w:val="auto"/>
              </w:rPr>
            </w:pPr>
            <w:r>
              <w:rPr>
                <w:rFonts w:ascii="Arial" w:cs="Arial" w:eastAsia="Arial" w:hAnsi="Arial"/>
                <w:sz w:val="16"/>
                <w:szCs w:val="16"/>
                <w:color w:val="auto"/>
              </w:rPr>
              <w:t>(b) (c)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62"/>
              <w:spacing w:after="0"/>
              <w:rPr>
                <w:sz w:val="20"/>
                <w:szCs w:val="20"/>
                <w:color w:val="auto"/>
              </w:rPr>
            </w:pPr>
            <w:r>
              <w:rPr>
                <w:rFonts w:ascii="Arial" w:cs="Arial" w:eastAsia="Arial" w:hAnsi="Arial"/>
                <w:sz w:val="16"/>
                <w:szCs w:val="16"/>
                <w:color w:val="auto"/>
                <w:w w:val="89"/>
              </w:rPr>
              <w:t>6</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 (o)</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ind w:left="120"/>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ind w:left="120"/>
              <w:spacing w:after="0"/>
              <w:rPr>
                <w:sz w:val="20"/>
                <w:szCs w:val="20"/>
                <w:color w:val="auto"/>
              </w:rPr>
            </w:pPr>
            <w:r>
              <w:rPr>
                <w:rFonts w:ascii="Arial" w:cs="Arial" w:eastAsia="Arial" w:hAnsi="Arial"/>
                <w:sz w:val="16"/>
                <w:szCs w:val="16"/>
                <w:color w:val="auto"/>
              </w:rPr>
              <w:t>(b) (g)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(2)</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attributable to GXO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GXO:</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(0.16) (k)</w:t>
            </w: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(0.16) (l)</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0" w:lineRule="exact"/>
        <w:rPr>
          <w:sz w:val="20"/>
          <w:szCs w:val="20"/>
          <w:color w:val="auto"/>
        </w:rPr>
      </w:pPr>
    </w:p>
    <w:p>
      <w:pPr>
        <w:ind w:right="2700" w:firstLine="2734"/>
        <w:spacing w:after="0" w:line="440" w:lineRule="auto"/>
        <w:rPr>
          <w:sz w:val="20"/>
          <w:szCs w:val="20"/>
          <w:color w:val="auto"/>
        </w:rPr>
      </w:pPr>
      <w:r>
        <w:rPr>
          <w:rFonts w:ascii="Arial" w:cs="Arial" w:eastAsia="Arial" w:hAnsi="Arial"/>
          <w:sz w:val="18"/>
          <w:szCs w:val="18"/>
          <w:b w:val="1"/>
          <w:bCs w:val="1"/>
          <w:color w:val="auto"/>
        </w:rPr>
        <w:t>Notes to Unaudited Pro Forma Condensed Combined Financial Statements Transaction Accounting Adjustments:</w:t>
      </w:r>
    </w:p>
    <w:p>
      <w:pPr>
        <w:spacing w:after="0" w:line="1" w:lineRule="exact"/>
        <w:rPr>
          <w:sz w:val="20"/>
          <w:szCs w:val="20"/>
          <w:color w:val="auto"/>
        </w:rPr>
      </w:pPr>
    </w:p>
    <w:p>
      <w:pPr>
        <w:ind w:left="660" w:right="140" w:hanging="328"/>
        <w:spacing w:after="0" w:line="287" w:lineRule="auto"/>
        <w:tabs>
          <w:tab w:leader="none" w:pos="657"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Reflects an adjustment to provide GXO with $228 million of pro forma cash at March 31, 2021. This amount includes $128 million intended to fund the purchase of the remaining 3% of XPO Logistics Europe, which is described in Note 9—Subsequent events to the Condensed Combined Interim Financial Statements, and $100 million of available cash. The cash amount presented reflects the distribution of approximately</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$978 million of cash to XPO, including settlements of existing loans.</w:t>
      </w:r>
    </w:p>
    <w:p>
      <w:pPr>
        <w:spacing w:after="0" w:line="156" w:lineRule="exact"/>
        <w:rPr>
          <w:rFonts w:ascii="Arial" w:cs="Arial" w:eastAsia="Arial" w:hAnsi="Arial"/>
          <w:sz w:val="16"/>
          <w:szCs w:val="16"/>
          <w:color w:val="auto"/>
        </w:rPr>
      </w:pPr>
    </w:p>
    <w:p>
      <w:pPr>
        <w:ind w:left="660" w:right="120" w:hanging="328"/>
        <w:spacing w:after="0" w:line="308" w:lineRule="auto"/>
        <w:tabs>
          <w:tab w:leader="none" w:pos="65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Adjustments reflect the impact of removing the historical results of certain legal entities attributed to GXO that will not be transferred from XPO to GXO in connection with the Distribution. Refer to the below table for further details on specific adjustments: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(in millions)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Refer to Note 2 —Basis of Presentation of our unaudited condensed combined financial statements for further discussion of the Company’s attribution of assets and liabilities.</w:t>
      </w:r>
    </w:p>
    <w:p>
      <w:pPr>
        <w:spacing w:after="0" w:line="116" w:lineRule="exact"/>
        <w:rPr>
          <w:sz w:val="20"/>
          <w:szCs w:val="20"/>
          <w:color w:val="auto"/>
        </w:rPr>
      </w:pPr>
    </w:p>
    <w:p>
      <w:pPr>
        <w:ind w:left="660" w:hanging="328"/>
        <w:spacing w:after="0" w:line="277" w:lineRule="auto"/>
        <w:tabs>
          <w:tab w:leader="none" w:pos="65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Reflects the transfer of assets and liabilities related to the GXO Businesses from XPO and the related impact to the statements of operations. Refer to the below table for further details on specific adjustments: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190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liabilities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42" w:lineRule="exact"/>
        <w:rPr>
          <w:sz w:val="20"/>
          <w:szCs w:val="20"/>
          <w:color w:val="auto"/>
        </w:rPr>
      </w:pPr>
    </w:p>
    <w:p>
      <w:pPr>
        <w:ind w:left="660" w:right="60" w:hanging="328"/>
        <w:spacing w:after="0" w:line="342" w:lineRule="auto"/>
        <w:tabs>
          <w:tab w:leader="none" w:pos="65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Reflects the amendment of the existing securitization program to exclude XPO trade receivables. In connection with this amendment, $85 million of trade receivables previously purchased from XPO are expected to be returned to XPO with an offsetting adjustment of the XPO investment.</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Reflects the settlement of $457 million of outstanding loans with XPO. In connection with the spin-off, $135 million of loans with our European subsidiaries will be cash settled and $322 million of loans with our North American subsidiary will be eliminated.</w:t>
      </w:r>
    </w:p>
    <w:p>
      <w:pPr>
        <w:spacing w:after="0" w:line="116"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Reflects the incurrence of $800 million of indebtedness, net of debt issuance costs of $8 million. The indebtedness is assumed to consist of $800 million term notes with a weighted average interest rate of 2%. A 0.125% change to the annual interest rate would change interest expense by $1 million for the year ended December 31, 2020.</w:t>
      </w:r>
    </w:p>
    <w:p>
      <w:pPr>
        <w:spacing w:after="0" w:line="129" w:lineRule="exact"/>
        <w:rPr>
          <w:rFonts w:ascii="Arial" w:cs="Arial" w:eastAsia="Arial" w:hAnsi="Arial"/>
          <w:sz w:val="18"/>
          <w:szCs w:val="18"/>
          <w:color w:val="auto"/>
        </w:rPr>
      </w:pPr>
    </w:p>
    <w:p>
      <w:pPr>
        <w:ind w:left="660" w:right="100" w:hanging="328"/>
        <w:spacing w:after="0" w:line="275" w:lineRule="auto"/>
        <w:tabs>
          <w:tab w:leader="none" w:pos="654" w:val="left"/>
        </w:tabs>
        <w:numPr>
          <w:ilvl w:val="0"/>
          <w:numId w:val="313"/>
        </w:numPr>
        <w:rPr>
          <w:rFonts w:ascii="Arial" w:cs="Arial" w:eastAsia="Arial" w:hAnsi="Arial"/>
          <w:sz w:val="17"/>
          <w:szCs w:val="17"/>
          <w:color w:val="auto"/>
        </w:rPr>
      </w:pPr>
      <w:r>
        <w:rPr>
          <w:rFonts w:ascii="Arial" w:cs="Arial" w:eastAsia="Arial" w:hAnsi="Arial"/>
          <w:sz w:val="17"/>
          <w:szCs w:val="17"/>
          <w:color w:val="auto"/>
        </w:rPr>
        <w:t>Reflects the assumption of 100% of the plan assets and obligations related to the United Kingdom pension plan. The net plan liability and related deferred tax assets of $13 million and $3 million, respectively, will be transferred from XPO to GXO, with the obligations associated with such plans resulting in GXO recognizing accumulated other comprehensive loss of $107 million, net of tax and reducing noncontrolling interest by $4 million. Reflects an adjustment to include income associated with the plan of $10 million, $8 million and $34 million for the three months ended March 31, 2021 and 2020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440" w:right="379" w:bottom="1440" w:gutter="0" w:footer="0" w:header="0"/>
        </w:sectPr>
      </w:pPr>
    </w:p>
    <w:bookmarkStart w:id="406" w:name="page407"/>
    <w:bookmarkEnd w:id="406"/>
    <w:p>
      <w:pPr>
        <w:spacing w:after="0" w:line="144" w:lineRule="exact"/>
        <w:rPr>
          <w:sz w:val="20"/>
          <w:szCs w:val="20"/>
          <w:color w:val="auto"/>
        </w:rPr>
      </w:pPr>
    </w:p>
    <w:p>
      <w:pPr>
        <w:ind w:left="660" w:right="100" w:hanging="328"/>
        <w:spacing w:after="0" w:line="259" w:lineRule="auto"/>
        <w:tabs>
          <w:tab w:leader="none" w:pos="65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For March 31, 2021 and 2020, the tax impact was calculated using a forecasted full-year effective tax rate of approximately 24.2% and 41.9%, respectively. For December 31, 2020, the tax impact was calculated using the jurisdictional tax rate associated with each adjustment. The final income tax impact may be materially different as more detailed information will become available after the consummation of the spin-off and related transactions.</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Represents the reclassification of XPO’s net investment in GXO, including the additional net assets expected to be contributed by XPO and other pro forma adjustments, into Additional paid-in capital and Common stock, par value $0.01, to reflect the number of shares of GXO common stock expected to be outstanding at the distribution date.</w:t>
      </w:r>
    </w:p>
    <w:p>
      <w:pPr>
        <w:spacing w:after="0" w:line="129" w:lineRule="exact"/>
        <w:rPr>
          <w:rFonts w:ascii="Arial" w:cs="Arial" w:eastAsia="Arial" w:hAnsi="Arial"/>
          <w:sz w:val="18"/>
          <w:szCs w:val="18"/>
          <w:color w:val="auto"/>
        </w:rPr>
      </w:pPr>
    </w:p>
    <w:p>
      <w:pPr>
        <w:jc w:val="both"/>
        <w:ind w:left="660" w:right="220" w:hanging="328"/>
        <w:spacing w:after="0" w:line="263" w:lineRule="auto"/>
        <w:tabs>
          <w:tab w:leader="none" w:pos="65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Reflects the adjustment to interest expense included in the unaudited pro forma Condensed Combined Statement of Operations of $2 million for both the three months ended March 31, 2021 and 2020 and $8 million for the year ended December 31, 2020, respectively, for the settlement of intercompany loans and issuance of the notes.</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Reflects the number of shares of GXO common stock which are expected to be outstanding upon completion of the distribution. We have assumed the number of outstanding shares of common stock based on the number of XPO common shares outstanding at March 31, 2021 and an assumed pro-rata distribution ratio of one share of GXO common stock for each share of XPO common stock. The actual number of shares of GXO common stock outstanding upon completion of the Distribution may be different from this estimated amount.</w:t>
      </w:r>
    </w:p>
    <w:p>
      <w:pPr>
        <w:spacing w:after="0" w:line="117" w:lineRule="exact"/>
        <w:rPr>
          <w:rFonts w:ascii="Arial" w:cs="Arial" w:eastAsia="Arial" w:hAnsi="Arial"/>
          <w:sz w:val="17"/>
          <w:szCs w:val="17"/>
          <w:color w:val="auto"/>
        </w:rPr>
      </w:pPr>
    </w:p>
    <w:p>
      <w:pPr>
        <w:ind w:left="660" w:hanging="328"/>
        <w:spacing w:after="0" w:line="259" w:lineRule="auto"/>
        <w:tabs>
          <w:tab w:leader="none" w:pos="65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Reflects the estimated number of shares of GXO common stock that are expected to be outstanding upon completion of the distribution and reflects the potential issuance of shares of our common stock under our equity plans, based on the distribution ratio of one share of GXO common stock for every share of XPO common stock. The actual number of shares of GXO common stock outstanding upon completion of the Distribution may be different from this estimated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Autonomous Entity Adjustments:</w:t>
      </w:r>
    </w:p>
    <w:p>
      <w:pPr>
        <w:spacing w:after="0" w:line="175" w:lineRule="exact"/>
        <w:rPr>
          <w:sz w:val="20"/>
          <w:szCs w:val="20"/>
          <w:color w:val="auto"/>
        </w:rPr>
      </w:pPr>
    </w:p>
    <w:p>
      <w:pPr>
        <w:ind w:left="660" w:right="140" w:hanging="328"/>
        <w:spacing w:after="0" w:line="286" w:lineRule="auto"/>
        <w:tabs>
          <w:tab w:leader="none" w:pos="65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Reflects the impact of new lease agreements with XPO for corporate offices. These adjustments recognize operating lease assets and liabilities of $16 million based on the estimated present value of the lease payments over the lease term. There is no impact to the condensed combined statements of operations as lease expense is consistent with the lease expense previously allocated to GXO.</w:t>
      </w:r>
    </w:p>
    <w:p>
      <w:pPr>
        <w:spacing w:after="0" w:line="111" w:lineRule="exact"/>
        <w:rPr>
          <w:rFonts w:ascii="Arial" w:cs="Arial" w:eastAsia="Arial" w:hAnsi="Arial"/>
          <w:sz w:val="17"/>
          <w:szCs w:val="17"/>
          <w:color w:val="auto"/>
        </w:rPr>
      </w:pPr>
    </w:p>
    <w:p>
      <w:pPr>
        <w:ind w:left="660" w:right="120" w:hanging="328"/>
        <w:spacing w:after="0" w:line="263" w:lineRule="auto"/>
        <w:tabs>
          <w:tab w:leader="none" w:pos="65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Reflects the net impact of new compensation agreements for current executives of GXO. These adjustments relate primarily to increases in salary and bonus and stock-based compensation of $1 million for both the three months ended March 31, 2021 and 2020 and $3 million for the year ended December 31, 2020.</w:t>
      </w:r>
    </w:p>
    <w:p>
      <w:pPr>
        <w:spacing w:after="0" w:line="129" w:lineRule="exact"/>
        <w:rPr>
          <w:rFonts w:ascii="Arial" w:cs="Arial" w:eastAsia="Arial" w:hAnsi="Arial"/>
          <w:sz w:val="18"/>
          <w:szCs w:val="18"/>
          <w:color w:val="auto"/>
        </w:rPr>
      </w:pPr>
    </w:p>
    <w:p>
      <w:pPr>
        <w:ind w:left="660" w:right="420" w:hanging="328"/>
        <w:spacing w:after="0" w:line="286" w:lineRule="auto"/>
        <w:tabs>
          <w:tab w:leader="none" w:pos="654" w:val="left"/>
        </w:tabs>
        <w:numPr>
          <w:ilvl w:val="0"/>
          <w:numId w:val="315"/>
        </w:numPr>
        <w:rPr>
          <w:rFonts w:ascii="Arial" w:cs="Arial" w:eastAsia="Arial" w:hAnsi="Arial"/>
          <w:sz w:val="17"/>
          <w:szCs w:val="17"/>
          <w:color w:val="auto"/>
        </w:rPr>
      </w:pPr>
      <w:r>
        <w:rPr>
          <w:rFonts w:ascii="Arial" w:cs="Arial" w:eastAsia="Arial" w:hAnsi="Arial"/>
          <w:sz w:val="17"/>
          <w:szCs w:val="17"/>
          <w:color w:val="auto"/>
        </w:rPr>
        <w:t>Reflects the impact of the transition services agreement, which results in incremental corporate and administrative costs not included in the Company’s historical combined financial statements. An adjustment of $3 million to increase Sales, general and administrative expense were recorded in the Unaudited Pro Forma Combined Statement of Operations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costs: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estimate that GXO will incur additional one-time expenses of between $45 million and $65 million associated with becoming a stand-alone public company. The accompanying unaudited pro forma combined financial statements are not adjusted for these estimated expenses. These expenses include, among other things, costs related to legal, accounting and other professional fees, along with transitional costs such as those to convert to a standalone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i w:val="1"/>
          <w:iCs w:val="1"/>
          <w:color w:val="auto"/>
        </w:rPr>
        <w:t>This section discusses GXO’s business assuming the completion of all of the transactions described in this information statement, including the separation. All monetary amounts discussed in this section are in millions of U.S. dollars, unless otherwise indicated.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2020, we generated $6.2 billion of revenue. 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3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to customer service has led to many of our key customer relationships extending for years and growing in scope.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Drivers of value creation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60" w:right="320" w:hanging="328"/>
        <w:spacing w:after="0" w:line="311" w:lineRule="auto"/>
        <w:tabs>
          <w:tab w:leader="none" w:pos="655" w:val="left"/>
        </w:tabs>
        <w:numPr>
          <w:ilvl w:val="0"/>
          <w:numId w:val="316"/>
        </w:numPr>
        <w:rPr>
          <w:rFonts w:ascii="Arial" w:cs="Arial" w:eastAsia="Arial" w:hAnsi="Arial"/>
          <w:sz w:val="16"/>
          <w:szCs w:val="16"/>
          <w:color w:val="auto"/>
        </w:rPr>
      </w:pPr>
      <w:r>
        <w:rPr>
          <w:rFonts w:ascii="Arial" w:cs="Arial" w:eastAsia="Arial" w:hAnsi="Arial"/>
          <w:sz w:val="16"/>
          <w:szCs w:val="16"/>
          <w:i w:val="1"/>
          <w:iCs w:val="1"/>
          <w:color w:val="auto"/>
        </w:rPr>
        <w:t xml:space="preserve">Critical Scale in a Fast-Growing Industry with Strong Tailwinds: </w:t>
      </w:r>
      <w:r>
        <w:rPr>
          <w:rFonts w:ascii="Arial" w:cs="Arial" w:eastAsia="Arial" w:hAnsi="Arial"/>
          <w:sz w:val="16"/>
          <w:szCs w:val="16"/>
          <w:color w:val="auto"/>
        </w:rPr>
        <w:t>Our significant scale makes us well-positioned to benefit from the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94"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We are strongly differentiated by our technology as an innovative provider of sophisticated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enhance visibility, speed, accuracy and cost effectiveness for our customers, and by our ability to customize our technology-enabled services to each customer’s requirements;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 durable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Resilient Business Model with Multiple Drivers of Profitable Growth: </w:t>
      </w:r>
      <w:r>
        <w:rPr>
          <w:rFonts w:ascii="Arial" w:cs="Arial" w:eastAsia="Arial" w:hAnsi="Arial"/>
          <w:sz w:val="18"/>
          <w:szCs w:val="18"/>
          <w:color w:val="auto"/>
        </w:rPr>
        <w:t>We have numerous avenues for profitable growth, including a long runway</w:t>
      </w:r>
      <w:r>
        <w:rPr>
          <w:rFonts w:ascii="Arial" w:cs="Arial" w:eastAsia="Arial" w:hAnsi="Arial"/>
          <w:sz w:val="18"/>
          <w:szCs w:val="18"/>
          <w:i w:val="1"/>
          <w:iCs w:val="1"/>
          <w:color w:val="auto"/>
        </w:rPr>
        <w:t xml:space="preserve"> </w:t>
      </w:r>
      <w:r>
        <w:rPr>
          <w:rFonts w:ascii="Arial" w:cs="Arial" w:eastAsia="Arial" w:hAnsi="Arial"/>
          <w:sz w:val="18"/>
          <w:szCs w:val="18"/>
          <w:color w:val="auto"/>
        </w:rPr>
        <w:t>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32"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316"/>
        </w:numPr>
        <w:rPr>
          <w:rFonts w:ascii="Arial" w:cs="Arial" w:eastAsia="Arial" w:hAnsi="Arial"/>
          <w:sz w:val="17"/>
          <w:szCs w:val="17"/>
          <w:color w:val="auto"/>
        </w:rPr>
      </w:pPr>
      <w:r>
        <w:rPr>
          <w:rFonts w:ascii="Arial" w:cs="Arial" w:eastAsia="Arial" w:hAnsi="Arial"/>
          <w:sz w:val="17"/>
          <w:szCs w:val="17"/>
          <w:i w:val="1"/>
          <w:iCs w:val="1"/>
          <w:color w:val="auto"/>
        </w:rPr>
        <w:t xml:space="preserve">Experienced and Cohesive Leadership: </w:t>
      </w:r>
      <w:r>
        <w:rPr>
          <w:rFonts w:ascii="Arial" w:cs="Arial" w:eastAsia="Arial" w:hAnsi="Arial"/>
          <w:sz w:val="17"/>
          <w:szCs w:val="17"/>
          <w:color w:val="auto"/>
        </w:rPr>
        <w:t>Our company is led by highly experienced executives who are recognized as leading practitioners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fields, and who will work together to create sustainable value through operational excellence and a purposeful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1440" w:right="419" w:bottom="1440" w:gutter="0" w:footer="0" w:header="0"/>
        </w:sectPr>
      </w:pPr>
    </w:p>
    <w:bookmarkStart w:id="408" w:name="page409"/>
    <w:bookmarkEnd w:id="40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Scale in a Fast-Growing Industry with Strong Tailwinds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at the forefront of a rapidly expanding industry that represents a total potential addressable market of $430 billion across North America and Europe, including the $130 billion of logistics spend that is currently outsourced and the opportunity for another $300 billion of spend that is currently insourced. We expect that the industry will continue to grow faster than GDP, with increased demand for outsourced logistics propelled by strong secular tailwinds, such as the consumer shift to e-commerce, customer demand for warehouse automation and the ongoing trend toward outsourcing logistics management. Our technology and scale provide us with competitive advantages and strategically position us to capitalize on these substantial growth opportunities.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locations span the globe, with our operating sites located primarily in North America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2708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GXO’s 885 operating sites are focused primarily in North America and Europe</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March 31, 2021, we operated 210 million square feet (20 million square meters) of logistics warehouse space worldwide at 885 locations and operated with approximately 93,000 team members (comprised of approximately 66,000 full-time and part-time employees and 27,000 temporary workers).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4"/>
                <w:szCs w:val="14"/>
                <w:b w:val="1"/>
                <w:bCs w:val="1"/>
                <w:color w:val="auto"/>
                <w:w w:val="98"/>
              </w:rPr>
              <w:t>Pro Forma Combined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27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significant scale gives us a competitive advantage in the growing logistics industry. The most dramatic growth in demand for logistics services in recent years has come from e-commerce and related sectors, including omnichannel retail and direct-to-consumer channels established by manufacturers. Prior to 2020, e-commerce was</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40"/>
          </w:cols>
          <w:pgMar w:left="320" w:top="1440" w:right="439" w:bottom="1440" w:gutter="0" w:footer="0" w:header="0"/>
          <w:type w:val="continuous"/>
        </w:sectPr>
      </w:pPr>
    </w:p>
    <w:bookmarkStart w:id="409" w:name="page410"/>
    <w:bookmarkEnd w:id="409"/>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already growing globally at a double-digit rate; COVID-19 has accelerated that growth by encouraging more consumers to purchase a wide variety of goods online: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e-commerce,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117475</wp:posOffset>
            </wp:positionV>
            <wp:extent cx="4500245" cy="27863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450024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rapid pace of growth and the necessary reliance on technology make it difficult for many companies to provide consistently high levels of service while handling e-commerce logistics in-house. This is a secular growth driver for our business on two fronts: more companies are turning to outsourcing to manage high volumes of e-commerce fulfillment and returns, and their supply chains are becoming increasingly complex, requiring sophisticated warehouse automation that is difficult to achieve on their own.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GXO’s positioning as a technology leader and one of the largest providers of outsourced e-fulfillment globally — including the largest e-fulfillment platform in Europe — are significant competitive advantages for us. In addition, we have expertise with numerous verticals and SKU types in the e-commerce space, with an ability to produce replicable outcomes at scale. These are major reasons why our e-fulfillment services are equally attractive to longstanding e-commerce companies and new entrants.</w:t>
      </w:r>
    </w:p>
    <w:p>
      <w:pPr>
        <w:spacing w:after="0" w:line="13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engineer customized, end-to-end solutions for our customers: storage, inventory management, staffing, peak management, demand forecasting, fulfillment, aftermarket support, high-value-add services, such as order personalization, and reverse logistics — the merchandise returns that have become a fast-growing byproduct of e-fulfillment. We are a major provider of integrated reverse logistics services, including the inspection, repackaging, refurbishment and resale or disposal of returned merchandise, as well as refunding and warranty management. Reverse logistics expertise is highly valued by companies with consumer end-markets, as shoppers increasingly “test-drive” the merchandise they buy online.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Robust Technological Differentiation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Logistics processes of all kinds are ripe for transformation through advanced automation and digital management. We anticipated this nearly a decade ago, and prioritized the development of proprietary technologies that make logistics smarter, faster and more responsive to changes in demand. Our customers see the depth of our commitment to innovation, and they value our ability to meet their current objectives and future needs. Many of our larger customers consider us a strategic partner — they view our technology and expertise as critical to their success. Our reputation as an innovator also supports our capacity to develop new capabilities by attracting world-class technology talent 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410" w:name="page411"/>
    <w:bookmarkEnd w:id="410"/>
    <w:p>
      <w:pPr>
        <w:spacing w:after="0" w:line="144"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The most significant impacts of our technology to date are in three areas: our “Smart” suite of intelligent productivity tools, advanced warehouse automation and predictive analytics, all of which are integrated into our operations. See “Technology and Intellectual Property” for more information.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Another type of innovation that further differentiates GXO from our competitors is our “Direct” shared-space distribution network for B2C and B2B customers in North America. This network increases utilization of our existing warehouses and other resources, and it offers our customers the option of a flexible “fulfillment as a service” (“FaaS”) model. Our facilities serve as strategically located stockholding sites and cross-docks that can be utilized by multiple customers at the same time. The network gives retailers, e-tailers and manufacturers access to our scale, expertise and technology without the high fixed costs of traditional distribution center models.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“Direct” network enables our customers to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responds directly to consumer expectations for shorter fulfillment times, and consequently, it enhances consumer loyalty for our customers. The customers who use this network have the use of our technology for ease of doing business at both ends of distribution, as well as our predictive analytics to help plan inventory flows.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Customer Relationships in Attractive Verticals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 large opportunity to grow our share in verticals with durable fundamentals and high-growth outsourcing opportunities, where we have strong partnerships with preeminent customers, longstanding track records and deep expertise. Our revenue is diversified across numerous verticals and customers with different demand patterns and seasonality, including over 30% of Fortune 100 companies and 24% of the Fortune Global 100. In 2020, our revenue profile reflected a healthy mix of verticals and customers, with low concentration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93345</wp:posOffset>
            </wp:positionV>
            <wp:extent cx="2657475" cy="32575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26574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customers include numerous long-term relationships with blue-chip market leaders and world-class brands, operating primarily in e-commerce and retail, food and beverage, consumer packaged goods, technology, aerospace, consumer technology, industrial and manufacturing, chemicals, agribusiness, life sciences and healthcare. These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verticals where we have decades of expertise and understand the unique supply chain requirements, such as complex stock-keeping, time-assured distribution and surge management.</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strongly positioned with large customers because we can provide the technology and customization required for their complex supply chains. GXO’s ability to produce reliable outcomes at scale resonates with these customers, as does our expansive capacity and leading ability to manage tight labor markets.</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By partnering with our customers for the long term, we further our differentiation as a highly valued supply chain partner. The average relationship tenure for our top 20 customers in 2020, based on revenue, was approximately 15 years. GXO’s growth is also propelled by long-cycle projects and long-term contractual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91440</wp:posOffset>
            </wp:positionV>
            <wp:extent cx="5314950" cy="32575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53149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Resilient Business Model with Multiple Drivers of Profitable Growth</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has numerous drivers of profitable growth, including the ability to expand our margins through continuous deployment of our technology in areas such as labor productivity, warehouse management, inventory management, demand forecasting and advanced automation, as well as our asset-light business model, which has historically been resilient across cycles.</w:t>
      </w:r>
    </w:p>
    <w:p>
      <w:pPr>
        <w:spacing w:after="0" w:line="13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business relationships are characterized by long-term contractual agreements structured with either a fixed-variable or cost-plus mechanism to cover our base expenses across the economic cycle, with a historical customer retention rate of approximately 93%. Additionally, our business requires limited maintenance capital spending, which provides us with the flexibility to adjust our overall capital spending to changes in the macro environment. Our long-term contracts and flexible operating model allow us to adapt across the cycle, reducing costs during downturns and putting us in a position to expand quickly in growing markets. The result is expected to be strong, macro-independent free cash flow generation. We are committed to continuing to deploy capital with discipline and agility to maximize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412" w:name="page413"/>
    <w:bookmarkEnd w:id="41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and Cohesive Leadership</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company is led by Malcolm Wilson, chief executive officer and Baris Oran, chief financial officer. Each of our executives has decades of experience in their respective fields, having previously served in leadership roles in businesses around the globe.</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Malcolm Wilson has three decades of executive experience managing multinational supply chain operations. Prior to GXO, he served as Chief Executive Officer of XPO’s European operations, where he led the European logistics business to unprecedented growth and efficiencies. Earlier, he was head of the logistics division for industry leader Norbert Dentressangle and grew that logistics division to global scale as Norbert Dentressangle’s largest revenue-producing unit. XPO acquired Norbert Dentressangle in 2015.</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Baris Oran has more than two decades of finance experience, including most recently serving as chief financial officer of the Sabanci Group, one of Turkey’s largest publicly traded companies. Oran also has significant board experience, having served as chairman, vice chairman or board member of eight public companies and four private companies over the course of his career.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leaders prioritize developing a company culture that is, among other things:</w:t>
      </w:r>
    </w:p>
    <w:p>
      <w:pPr>
        <w:spacing w:after="0" w:line="171" w:lineRule="exact"/>
        <w:rPr>
          <w:sz w:val="20"/>
          <w:szCs w:val="20"/>
          <w:color w:val="auto"/>
        </w:rPr>
      </w:pPr>
    </w:p>
    <w:p>
      <w:pPr>
        <w:ind w:left="660" w:hanging="328"/>
        <w:spacing w:after="0" w:line="342" w:lineRule="auto"/>
        <w:tabs>
          <w:tab w:leader="none" w:pos="655" w:val="left"/>
        </w:tabs>
        <w:numPr>
          <w:ilvl w:val="0"/>
          <w:numId w:val="317"/>
        </w:numPr>
        <w:rPr>
          <w:rFonts w:ascii="Arial" w:cs="Arial" w:eastAsia="Arial" w:hAnsi="Arial"/>
          <w:sz w:val="16"/>
          <w:szCs w:val="16"/>
          <w:color w:val="auto"/>
        </w:rPr>
      </w:pPr>
      <w:r>
        <w:rPr>
          <w:rFonts w:ascii="Arial" w:cs="Arial" w:eastAsia="Arial" w:hAnsi="Arial"/>
          <w:sz w:val="16"/>
          <w:szCs w:val="16"/>
          <w:i w:val="1"/>
          <w:iCs w:val="1"/>
          <w:color w:val="auto"/>
        </w:rPr>
        <w:t>Safe</w:t>
      </w:r>
      <w:r>
        <w:rPr>
          <w:rFonts w:ascii="Arial" w:cs="Arial" w:eastAsia="Arial" w:hAnsi="Arial"/>
          <w:sz w:val="16"/>
          <w:szCs w:val="16"/>
          <w:color w:val="auto"/>
        </w:rPr>
        <w:t>: In 2020, our recordable incident rate (“RIR”) in the U.S. was once again significantly better than the industry average. While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average RIR for General Warehousing and Storage was 4.9, as reported by OSHA, our RIR in 2020 was significantly better at 1.3;</w:t>
      </w:r>
    </w:p>
    <w:p>
      <w:pPr>
        <w:spacing w:after="0" w:line="69" w:lineRule="exact"/>
        <w:rPr>
          <w:rFonts w:ascii="Arial" w:cs="Arial" w:eastAsia="Arial" w:hAnsi="Arial"/>
          <w:sz w:val="16"/>
          <w:szCs w:val="16"/>
          <w:color w:val="auto"/>
        </w:rPr>
      </w:pPr>
    </w:p>
    <w:p>
      <w:pPr>
        <w:jc w:val="both"/>
        <w:ind w:left="660" w:right="40" w:hanging="328"/>
        <w:spacing w:after="0" w:line="263" w:lineRule="auto"/>
        <w:tabs>
          <w:tab w:leader="none" w:pos="655"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Diverse</w:t>
      </w:r>
      <w:r>
        <w:rPr>
          <w:rFonts w:ascii="Arial" w:cs="Arial" w:eastAsia="Arial" w:hAnsi="Arial"/>
          <w:sz w:val="18"/>
          <w:szCs w:val="18"/>
          <w:color w:val="auto"/>
        </w:rPr>
        <w:t>: In 2020, approximately 8,840 of our global hires were women, representing over 30% of all hires. In the U.S., approximately 78%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hires were diverse based on self-identification as a person of color, military veteran, member of the LGBTQ+ community or a person with a disability; and</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317"/>
        </w:numPr>
        <w:rPr>
          <w:rFonts w:ascii="Arial" w:cs="Arial" w:eastAsia="Arial" w:hAnsi="Arial"/>
          <w:sz w:val="17"/>
          <w:szCs w:val="17"/>
          <w:color w:val="auto"/>
        </w:rPr>
      </w:pPr>
      <w:r>
        <w:rPr>
          <w:rFonts w:ascii="Arial" w:cs="Arial" w:eastAsia="Arial" w:hAnsi="Arial"/>
          <w:sz w:val="17"/>
          <w:szCs w:val="17"/>
          <w:i w:val="1"/>
          <w:iCs w:val="1"/>
          <w:color w:val="auto"/>
        </w:rPr>
        <w:t>Sustainable</w:t>
      </w:r>
      <w:r>
        <w:rPr>
          <w:rFonts w:ascii="Arial" w:cs="Arial" w:eastAsia="Arial" w:hAnsi="Arial"/>
          <w:sz w:val="17"/>
          <w:szCs w:val="17"/>
          <w:color w:val="auto"/>
        </w:rPr>
        <w:t>: A number of our warehouse facilities are ISO 14001-certified, which ensures environmental and other regulatory compliance.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strategy is to help our customers manage their supply chains most efficiently, using our network of people, technology and physical assets. We deliver value to customers in the form of technological innovations, process efficiencies, cost efficiencies and reliable outcomes. Our services are both highly responsive to customer goals — such as increasing visibility in the supply chain, decreasing fulfillment times and mitigating environmental impacts over time — and proactive in identifying potential improvements.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growth and optimization strategy for GXO is to:</w:t>
      </w:r>
    </w:p>
    <w:p>
      <w:pPr>
        <w:spacing w:after="0" w:line="171" w:lineRule="exact"/>
        <w:rPr>
          <w:sz w:val="20"/>
          <w:szCs w:val="20"/>
          <w:color w:val="auto"/>
        </w:rPr>
      </w:pPr>
    </w:p>
    <w:p>
      <w:pPr>
        <w:jc w:val="both"/>
        <w:ind w:left="660" w:right="140" w:hanging="328"/>
        <w:spacing w:after="0" w:line="263" w:lineRule="auto"/>
        <w:tabs>
          <w:tab w:leader="none" w:pos="65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Develop additional business in verticals where we already have deep expertise, relationships with prominent customers and a strong track record of performance, by successfully selling to new customers and by expanding the services we provide to existing customers through new projects, thus earning more of their external and internal logistics spend;</w:t>
      </w:r>
    </w:p>
    <w:p>
      <w:pPr>
        <w:spacing w:after="0" w:line="129" w:lineRule="exact"/>
        <w:rPr>
          <w:rFonts w:ascii="Arial" w:cs="Arial" w:eastAsia="Arial" w:hAnsi="Arial"/>
          <w:sz w:val="18"/>
          <w:szCs w:val="18"/>
          <w:color w:val="auto"/>
        </w:rPr>
      </w:pPr>
    </w:p>
    <w:p>
      <w:pPr>
        <w:ind w:left="660" w:right="320" w:hanging="328"/>
        <w:spacing w:after="0" w:line="342" w:lineRule="auto"/>
        <w:tabs>
          <w:tab w:leader="none" w:pos="65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Market the advantages of our proprietary technology for warehouse operations, which we use to manage advanced automation, robotics, labor productivity, inventory management, safety, seasonal changes in demand and other aspects of complex logistics environments;</w:t>
      </w:r>
    </w:p>
    <w:p>
      <w:pPr>
        <w:spacing w:after="0" w:line="69" w:lineRule="exact"/>
        <w:rPr>
          <w:rFonts w:ascii="Arial" w:cs="Arial" w:eastAsia="Arial" w:hAnsi="Arial"/>
          <w:sz w:val="16"/>
          <w:szCs w:val="16"/>
          <w:color w:val="auto"/>
        </w:rPr>
      </w:pPr>
    </w:p>
    <w:p>
      <w:pPr>
        <w:ind w:left="660" w:right="680" w:hanging="328"/>
        <w:spacing w:after="0" w:line="277" w:lineRule="auto"/>
        <w:tabs>
          <w:tab w:leader="none" w:pos="65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Partner with our customers in meeting their goals for supply chain performance, risk mitigation, cost efficiency, growth management and stakeholder satisfaction by helping them overcome challenges specific to their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413" w:name="page414"/>
    <w:bookmarkEnd w:id="413"/>
    <w:p>
      <w:pPr>
        <w:spacing w:after="0" w:line="144" w:lineRule="exact"/>
        <w:rPr>
          <w:sz w:val="20"/>
          <w:szCs w:val="20"/>
          <w:color w:val="auto"/>
        </w:rPr>
      </w:pPr>
    </w:p>
    <w:p>
      <w:pPr>
        <w:ind w:left="660" w:right="40" w:hanging="328"/>
        <w:spacing w:after="0" w:line="277" w:lineRule="auto"/>
        <w:tabs>
          <w:tab w:leader="none" w:pos="65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to drive productivity and share gains, with a focus on automation and other levers of profitable growth.</w:t>
      </w:r>
    </w:p>
    <w:p>
      <w:pPr>
        <w:spacing w:after="0" w:line="11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Our growth and optimization strategy is geared toward consumer-related sectors that demonstrate enduring demand over time and where we already have a deep presence. In 2020, 50% of our revenue came from e-commerce, omnichannel and consumer technology, 13% came from food and beverage, and 13% from consumer packaged goods. These top three verticals accounted for 76% of our revenue, with the vast majority of revenue generated in the U.S., the U.K., France and Spain.</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aid us in executing our strategy, we have instilled a culture that focuses our efforts on delivering mutually beneficial results for our customers and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industry is evolving, and logistics processes are ripe for innovative, disruptive thinking. Customers want to reduce risk and increase the productivity of their supply chains. We are well-positioned to meet these expectations because we prioritized visibility, quality control and automation early in our technological development.</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We can implement innovations across multiple geographies in a relatively short time, or take an innovation developed for one vertical and apply it to other verticals to enhance the value we offer our customers.</w:t>
      </w:r>
    </w:p>
    <w:p>
      <w:pPr>
        <w:spacing w:after="0" w:line="130"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most significant impacts of our proprietary technology to date are in three areas: labor and inventory management productivity, intelligent warehouse automation and predictive analytics, all of which are integrated through our proprietary warehouse management platform.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and Inventory Management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productivity is driven by our comprehensive “Smart” suite of intelligent tools and analytics designed to optimize labor and inventory management. This technology incorporates dynamic data science, predictive analytics and machine learning to aid in decision-making. Our site managers use these tools to improve productivity in site-specific ways in a safe, disciplined and cost-effective manner.</w:t>
      </w:r>
    </w:p>
    <w:p>
      <w:pPr>
        <w:spacing w:after="0" w:line="13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year-end 2020, we had implemented these tools and analytics in approximately 85% of our North American logistics sites and 50% of our European logistics sites, with further roll-outs underway. This technology is delivering an average labor productivity improvement of 5% to 7%, and we expect to see further increases in productivity as we fully utilize these tools in all of our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Intelligent Warehouse Automation</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intelligent warehouse automation includes our deployments of autonomous robots and cobots (collaborative robots), automated sortation systems, automated guided vehicles, goods-to-person systems and wearable smart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as part of an integrated solution.</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most benefit from our technology in areas such as visibility, demand planning and continuous improvement.</w:t>
      </w:r>
    </w:p>
    <w:p>
      <w:pPr>
        <w:spacing w:after="0" w:line="11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have found that autonomous goods-to-person systems can improve labor productivity by four to six times, and that cobots, which assist workers with the inventory picking process, can improve productivity by two times on average. Stationary robot arms can repeat demanding tasks with precision three times faster than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manually. Robots are particularly valuable in tight labor markets where wage inflation and labor shortages can erode customer margins.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ability to employ our technologies for our customers’ benefit is highlighted by our innovative partnership with Nestle, the world’s largest food and beverage company. In mid-2020, we opened our Digital Distribution Warehouse of the Future in partnership with Nestlé in the U.K. This flagship site has the capacity to process the highest throughput of any facility in Nestlé’s global network.</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Digital Distribution Warehouse of the Future brings together the latest systems architecture and intelligent applications under one roof, with sophisticated robotics, advanced sortation systems and data analysis using machine learning. Our European innovation lab is based on the premises, where it functions as both a think tank and an innovation incubator, giving us the ability to test new technologies under real-life operating conditions.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about 15% to 35% of consumer goods bought online are returned, based on the product category, and this creates reverse peaks of returned merchandise at certain times of year. We have developed analytics that predict future surges in demand using a combination of data histories and customer forecasting.</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an industry leader that makes substantial investments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 versus our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operated 885 locations, primarily in North America and Europe. These sites included locations in 27 countries.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Leased Facilities</w:t>
            </w:r>
          </w:p>
        </w:tc>
        <w:tc>
          <w:tcPr>
            <w:tcW w:w="1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Owned Facilities</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Customer Facilities</w:t>
            </w:r>
            <w:r>
              <w:rPr>
                <w:rFonts w:ascii="Arial" w:cs="Arial" w:eastAsia="Arial" w:hAnsi="Arial"/>
                <w:sz w:val="18"/>
                <w:szCs w:val="18"/>
                <w:b w:val="1"/>
                <w:bCs w:val="1"/>
                <w:color w:val="auto"/>
                <w:vertAlign w:val="superscript"/>
              </w:rPr>
              <w:t>(2)</w:t>
            </w:r>
          </w:p>
        </w:tc>
        <w:tc>
          <w:tcPr>
            <w:tcW w:w="180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780" w:type="dxa"/>
            <w:vAlign w:val="bottom"/>
            <w:gridSpan w:val="2"/>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17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hanging="328"/>
        <w:spacing w:after="0"/>
        <w:tabs>
          <w:tab w:leader="none" w:pos="660" w:val="left"/>
        </w:tabs>
        <w:numPr>
          <w:ilvl w:val="0"/>
          <w:numId w:val="320"/>
        </w:numPr>
        <w:rPr>
          <w:rFonts w:ascii="Arial" w:cs="Arial" w:eastAsia="Arial" w:hAnsi="Arial"/>
          <w:sz w:val="13"/>
          <w:szCs w:val="13"/>
          <w:color w:val="auto"/>
        </w:rPr>
      </w:pPr>
      <w:r>
        <w:rPr>
          <w:rFonts w:ascii="Arial" w:cs="Arial" w:eastAsia="Arial" w:hAnsi="Arial"/>
          <w:sz w:val="14"/>
          <w:szCs w:val="14"/>
          <w:color w:val="auto"/>
        </w:rPr>
        <w:t>Locations not in North America or Europe; primarily in Asia.</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320"/>
        </w:numPr>
        <w:rPr>
          <w:rFonts w:ascii="Arial" w:cs="Arial" w:eastAsia="Arial" w:hAnsi="Arial"/>
          <w:sz w:val="13"/>
          <w:szCs w:val="13"/>
          <w:color w:val="auto"/>
        </w:rPr>
      </w:pPr>
      <w:r>
        <w:rPr>
          <w:rFonts w:ascii="Arial" w:cs="Arial" w:eastAsia="Arial" w:hAnsi="Arial"/>
          <w:sz w:val="14"/>
          <w:szCs w:val="14"/>
          <w:color w:val="auto"/>
        </w:rPr>
        <w:t>Locations owned or leased by customers.</w:t>
      </w:r>
    </w:p>
    <w:p>
      <w:pPr>
        <w:spacing w:after="0" w:line="1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lease our current executive office located in London, England, our U.S. headquarters in Greenwich, Connecticut, our U.S. operations center in North Carolina and our various office facilities in France, the U.K. and India, to support our global executive and shared-services functions. We believe that our facilities are sufficient for our current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GXO provides services to over 1,000 customers globally, including Fortune 100 companies in the U.S., European multinational market leaders and renowned global brands. The customers we serve span every major industry and touch every part of the economy. The diversification of our customer base minimizes concentration risk: in 2020, our top five customers combined accounted for approximately 16% of our revenue, with our largest customer accounting for approximately 4% of revenue.</w:t>
      </w:r>
    </w:p>
    <w:p>
      <w:pPr>
        <w:spacing w:after="0" w:line="13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Our revenue is highly diversified due to our expertise across a range of key verticals. We derive our revenue from retail and e-commerce, food and beverage, consumer packaged goods, consumer technology and other verticals where we have longstanding positioning and prominent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market to domestic and international customers and primarily perform services in North America and Europe. In 2020, approximately 36% of our total revenue was generated in the U.S., 27% in Europe (excluding the U.K. and France), 25% in the U.K. and 10% in France.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GXO operates in a highly fragmented marketplace with thousands of companies competing domestically and internationally. The top five contract logistics providers across North America and Europe, in total, hold less than 25% of the $130 billion of outsourced logistics spend, with GXO holding approximately 5% share. We compete based on our ability to deliver quality of service, reliability, scope and scale of operations, technological capabilities, expertise and price.</w:t>
      </w:r>
    </w:p>
    <w:p>
      <w:pPr>
        <w:spacing w:after="0" w:line="133"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Our competitors include local, regional, national and international companies that offer the same services we provide; some have larger customer bases, significantly more resources and more experience than we have. Some of our competitors include Clipper Logistics, DHL, DSV Panalpina, ID Logistics, and Kuehne + Nagel. Additionally, some of our customers have sufficient internal resources to perform the services we offer. Due to the competitive nature of our marketplaces, we strive daily to strengthen existing business relationships and forge new relationships.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also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From time to time, we receive inquiries from governmental authorities about potential environmental exposure related to the operations of our facilities. Historically, we have successfully resolved such inquiries without a material effect on our business or operations. 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number of GXO’s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reduced productivity and efficiency and increased operating expenses, all of which could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We believe this is due in part to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good corporate citizenship and, importantly, engaged employees who embrace our values.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a customer-centric company with a strong service culture, we constantly work to maintain our position as an employer of choice. This requires an unwavering commitment to workplace inclusion and safety, as well as competitive total compensation that meets the needs of our employees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416" w:name="page417"/>
    <w:bookmarkEnd w:id="41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Profile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March 31, 2021, we operated with approximately 93,000 team members (comprised of approximately 66,000 full-time and part-time employees and 27,000 temporary workers) in 27 countries: 32% of our employees were based in North America, 65% were based in Europe and 3% were based in Latin America and Asia combined. Of our North American employees, 83% were in hourly roles and 17% were in salaried positions. In Europe, 72% of our employees were covered by collective bargaining agreements, while none of our employees in North America were covered by collective bargaining agreements.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take pride in having an inclusive workplace that encourages a diversity of backgrounds and perspectives and mandates fair treatment for all individuals —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frontline employees provide essential services that keep goods flowing to the people who need them. Their protection is always our foremost priority, and we have numerous protocols in place to ensure a safe workplace environment. We aim to maintain an OSHA recordable incident rate that is less than half the published rate for the General Warehousing and Storage sector, based on the “Industry Injury and Illness Data” of the U.S. Bureau of Labor Statistics.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Amid the onset of COVID-19 in 2020, we deployed a combination of protective measures, technology and virtual communications to maintain a safe workplace environment. We have taken many risk-mitigating actions to protect our employees, including offering 100% paid pandemic sick leave for eligible employees, providing frontline employee appreciation pay to approximately 18,500 workers in the U.S. and Canada, procuring personal protective equipment for employees in all of our workplaces, and providing expanded access to mental health counseling services for employees and their dependents.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seek to identify top talent in all aspects of the recruitment process, and we emphasize training and development.</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throughout their career path, such as tailored skills development, training and mentoring for employees who aspire to grow into higher-paying positions with more responsibility. In addition, we maintain a robust pipeline of future operations leaders by using structured sponsorships and incidental learning techniques to develop internal candidates who demonstrate high potential in supervisory roles into positions as site leaders. The programs also serve to retain top talent by defining personalized development paths, and they attract new talent by differentiating GXO as an employer.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appreciate that our employees choose to work for GXO from among the many different options available to them inside and outside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a total compensation package that is both competitive and progressive to help attract and retain outstanding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417" w:name="page418"/>
    <w:bookmarkEnd w:id="417"/>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offer competitive wages and a comprehensive suite of benefits to all employees to maintain our positioning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schemes, and local and global bonus schemes structured to offer competitive pay in each country.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the ordinary course of conducting our business activities, we and our subsidiaries become involved in judicial, administrative and regulatory proceedings involving both private parties and governmental authorities. These proceedings include insured and uninsured matters that are brought on an individual, collective, representative and class action basis, and other proceedings involving personal injury claims arising from the transportation and handling of goods, contractual disputes, employment-related claims, including alleged violations of wage and hour laws, and general and commercial liability matters.</w:t>
      </w:r>
    </w:p>
    <w:p>
      <w:pPr>
        <w:spacing w:after="0" w:line="1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Based on facts currently available, we do not expect any of these proceedings to have a material effect, individually or in the aggregate, on our reputation, business, financial position, results of operations or cash flows; however, we can give no assurance that the results of any such proceedings will not materially affect our reputation,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418" w:name="page419"/>
    <w:bookmarkEnd w:id="41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You should read the following Management’s Discussion and Analysis of Financial Condition and Results of Operations (“MD&amp;A”) in conjunction with the audited Combined Financial Statements and corresponding notes and the Unaudited Pro Forma Condensed Combined Financial Information and corresponding notes included elsewhere in this information statement. This MD&amp;A contains forward-looking statements. The matters discussed in these forward-looking statements are subject to risk, uncertainties, and other factors that could cause actual results to differ materially from those projected or implied in the forward-looking statements. Please see “Risk Factors” and “Cautionary Note Regarding Forward-Looking Statements” for a discussion of the uncertainties, risks and assumptions associated with these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GXO Logistics, Inc. (“GXO” or “we”)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 with significant growth potential through customer outsourcing of logistics services.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growing in scope.</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this technology to manage advanced automation, labor productivity, safety and the complex flow of goods within sophisticated logistics environments.</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2020, our parent company, XPO Logistics, Inc. (together with its subsidiaries, “XPO”), announced its intention to separate into two independent, publicly traded companies. The spin-off is expected to be completed through a tax-free pro rata distribution of all the outstanding shares of common stock of GXO. The proposed spin-off is complex in nature, and unanticipated developments or changes, including changes in law, the macroeconomic environment, competitive conditions of our markets, regulatory approvals or clearances, the uncertainty of the financial markets, and challenges in executing the separation, could delay or prevent the completion of the proposed spin-off, or cause the spin-off to occur on terms or conditions that are different or less favorable than expected, including, without limitation, the failure of the spin-off to qualify as a transaction that is tax-free for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440" w:right="379" w:bottom="1440" w:gutter="0" w:footer="0" w:header="0"/>
        </w:sectPr>
      </w:pPr>
    </w:p>
    <w:bookmarkStart w:id="419" w:name="page420"/>
    <w:bookmarkEnd w:id="41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to our shareholders. There can be no assurance that the spin-off will occur or, if it does occur, of its terms or timing.</w:t>
      </w:r>
    </w:p>
    <w:p>
      <w:pPr>
        <w:spacing w:after="0" w:line="171"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In connection with the separation and distribution, GXO and XPO will enter into several agreements to implement the legal and structural separation between the two companies; govern the relationship between GXO and XPO after the completion of the separation; and allocate between GXO and XPO various assets, liabilities and obligations, including, among other things, employee benefits, intellectual property and tax-related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70"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in the markets we serve, GXO is considered an “essential business,” providing supply chain solutions to crucial industries. As a result, our sites have generally remained open and operating, and we have continued to serve our customers while employing significant measures to protect our employees and keep them safe.</w:t>
      </w:r>
    </w:p>
    <w:p>
      <w:pPr>
        <w:spacing w:after="0" w:line="12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as of and for the year ended December 31, 2020, as discussed below. 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w:t>
      </w:r>
    </w:p>
    <w:p>
      <w:pPr>
        <w:spacing w:after="0" w:line="133"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expect our results of operations will continue to be impacted by this pandemic in 2021.</w:t>
      </w:r>
    </w:p>
    <w:p>
      <w:pPr>
        <w:spacing w:after="0" w:line="11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incurred net incremental costs related to COVID-19 to ensure that we meet the needs of our customers and employees; these include costs for personal protective equipment (“PPE”), temporary site closures, site cleanings and enhanced employee benefits.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if appropriate,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could not fully offset the decrease in demand for our services arising from the economic disruption of the pandemic in 2020, the actions we have taken, combined with the variable components of our cost structure, have helped to mitigate the impact on our profitability.</w:t>
      </w:r>
    </w:p>
    <w:p>
      <w:pPr>
        <w:spacing w:after="0" w:line="111" w:lineRule="exact"/>
        <w:rPr>
          <w:sz w:val="20"/>
          <w:szCs w:val="20"/>
          <w:color w:val="auto"/>
        </w:rPr>
      </w:pPr>
    </w:p>
    <w:p>
      <w:pPr>
        <w:ind w:right="2100" w:firstLine="324"/>
        <w:spacing w:after="0" w:line="438" w:lineRule="auto"/>
        <w:rPr>
          <w:sz w:val="20"/>
          <w:szCs w:val="20"/>
          <w:color w:val="auto"/>
        </w:rPr>
      </w:pPr>
      <w:r>
        <w:rPr>
          <w:rFonts w:ascii="Arial" w:cs="Arial" w:eastAsia="Arial" w:hAnsi="Arial"/>
          <w:sz w:val="18"/>
          <w:szCs w:val="18"/>
          <w:color w:val="auto"/>
        </w:rPr>
        <w:t xml:space="preserve">A further discussion of the potential impact of the COVID-19 pandemic on our business is set forth above in Risk Factors.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combined financial statements of the Company were prepared on a standalone basis and have been derived from the combined financial statements and accounting records of XPO. 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intercompany balances and transactions between the operations of the GXO legal entities have been eliminated in the accompanying combined financial statements. All significant related party transactions between GXO and XPO have been included in these combined financial statements as components of XPO investment. We prepare our combined financial statements in accordance with accounting principles generally accepted in the United States of America (“GAAP”), which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w:t>
      </w:r>
    </w:p>
    <w:p>
      <w:pPr>
        <w:spacing w:after="0" w:line="11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 transaction and integration costs, as well as restructuring costs and other adjustments, or headcount. The majority of these allocated costs are recorded in Sales, general and administrative expense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2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other than those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was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GXO has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421" w:name="page422"/>
    <w:bookmarkEnd w:id="4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Percent of Revenue</w:t>
            </w:r>
          </w:p>
        </w:tc>
        <w:tc>
          <w:tcPr>
            <w:tcW w:w="1040" w:type="dxa"/>
            <w:vAlign w:val="bottom"/>
            <w:tcBorders>
              <w:bottom w:val="single" w:sz="8" w:color="auto"/>
            </w:tcBorders>
          </w:tcPr>
          <w:p>
            <w:pPr>
              <w:spacing w:after="0"/>
              <w:rPr>
                <w:sz w:val="16"/>
                <w:szCs w:val="16"/>
                <w:color w:val="auto"/>
              </w:rPr>
            </w:pPr>
          </w:p>
        </w:tc>
      </w:tr>
      <w:tr>
        <w:trPr>
          <w:trHeight w:val="18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83.4 %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11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revenue increased 26.5% to $1.8 billion in first quarter of 2021, compared with $1.4 billion for the same quarter in 2020. The increase in revenue compared to the first quarter of 2020 reflects 38.4% growth in our European business and 8.6% growth in our North American business, driven by increases in revenues from our e-commerce/retail and food and beverage customers. Also impacting our revenue was the Kuehne + Nagel business we acquired in January 2021, which contributed approximately 13.6 percentage points to revenue growth in our European business and 8.2 percentage points to our total revenue growth. Foreign currency movement increased revenue by approximately 5.5 percentage points in 2021.</w:t>
      </w:r>
    </w:p>
    <w:p>
      <w:pPr>
        <w:spacing w:after="0" w:line="10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Direct operating expense in the first quarter of 2021 was $1.5 billion, or 83.4% of revenue, compared with $1.2 billion, or 83.5% of revenue, for the same quarter in 2020. As a percentage of revenue, compensation costs and third-party transportation costs decreased direct operating expense by approximately 1.1% and 0.7%, respectively. These decreases were offset by higher temporary labor and maintenance costs, which increased direct operating expense by approximately 0.7% and 0.6%, respectively, as a percentage of revenue.</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$171 million for the first quarter of 2021, or 9.4% of revenue, compared with $142 million, or 9.9% of revenue, for the same quarter in 2020. The year-over-year decrease in SG&amp;A as a percentage of revenue primarily resulted from lower compensation costs as a percentage of revenue due to the significant year-over-year increase in revenues.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expense for the first quarter of 2021 was $79 million, compared with $76 million for the same quarter in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amortization of acquisition-related intangible assets of $14 million in the first quarter of 2021 and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for the first quarter in 2021 are primarily related to costs related to our planned spin-off.</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We recorded restructuring charges of $4 million for severance costs in the first quarter of 2021. For further information on our restructuring actions, see Note 5—Restructuring Charges to the Condensed Combined Interim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the first quarter of both 2021 and 2020 was $1 million and primarily consists of pension income.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for the first quarter of 2021 decreased 28.6% to $5 million, from $7 million for the same quarter in 2020. The decrease in interest expense was primarily due to lower average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effective income tax rate was 33.4% and (124.7)% in the first three months of 2021 and 2020, respectively. The effective tax rates for the first quarter of 2021 and 2020 were based on forecasted full-year effective tax rates. The negative effective income tax rate for the first quarter of 2020 was primarily driven by contribution- and margin-based taxes which we incurred even though our pretax income was negative.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Percent of Revenue</w:t>
            </w:r>
          </w:p>
        </w:tc>
        <w:tc>
          <w:tcPr>
            <w:tcW w:w="118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83.4 %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revenue increased 1.7% to $6.2 billion in 2020, compared with $6.1 billion in 2019. The increase in revenue compared to 2019 reflects 5.5% growth in our European business, partially offset by a 4.2% decline in our North American business. The growth in our European business was primarily driven by higher revenues from our e-commerce/retail customers, partially offset by the impact of COVID-19. The decline in our North America business was driven by the impact of COVID-19 and our elimination of certain low-margin business. Foreign currency movement increased revenue by approximately 0.8 percentage points in 2020.</w:t>
      </w:r>
    </w:p>
    <w:p>
      <w:pPr>
        <w:spacing w:after="0" w:line="13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Direct operating expense in 2020 was $5.2 billion, or 83.4% of revenue, compared with $5.1 billion, or 83.9% of revenue, in 2019. The year-over-year decrease as a percentage of revenue was primarily driven by lower temporary labor and third-party transportation costs, which decreased direct operating expense by approximately 1.0% and 0.6%, respectively, as a percentage of revenue. These decreases were partially offset by higher payroll costs, which increased direct operating expense by approximately 1.0%, as well as other incremental COVID-19-related costs. Additionally, 2020 and 2019 included $1 million and $9 million, respectively, from gains on sales of property and equipment.</w:t>
      </w:r>
    </w:p>
    <w:p>
      <w:pPr>
        <w:spacing w:after="0" w:line="12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SG&amp;A was $611 million in 2020, or 9.9% of revenue, compared with $514 million, or 8.4% of revenue, in 2019. The year-over-year increase in SG&amp;A as a percentage of revenue primarily resulted from higher compensation costs. Compensation costs were higher for the year ended December 31, 2020 in comparison to the prior-year period due to the strength of our operating performance in a challenging macro-environment.</w:t>
      </w:r>
    </w:p>
    <w:p>
      <w:pPr>
        <w:spacing w:after="0" w:line="1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Depreciation and amortization expense in 2020 was $323 million, compared with $302 million in 2019. The increase was primarily due to the impact of prior capital investments, new contract startups and accelerated depreciation due to contract modifications. Depreciation and amortization expense included amortization of acquisition-related intangible assets of $57 million in 2020, compared to $60 million in 2019.</w:t>
      </w:r>
    </w:p>
    <w:p>
      <w:pPr>
        <w:spacing w:after="0" w:line="11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integration costs in 2020 are primarily related to XPO’s previously announced exploration of strategic alternatives that was terminated in March 2020 and costs related to the acquisition of Kuehne + Nagel’s U.K. logistics business, which was completed in 2021.</w:t>
      </w:r>
    </w:p>
    <w:p>
      <w:pPr>
        <w:spacing w:after="0" w:line="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We expect the restructuring initiatives to which the 2020 charges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be complete by December 31, 2021. Once complete, these initiatives are expected to generate annualized pre-tax savings of approximately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restructuring actions, see Note 5—Restructuring Charges to the Combined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primarily consists of pension income. Other income for 2020 was $2 million, compared with $1 million in 2019.</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2020 decreased to $24 million, from $33 million in 2019. The decrease in interest expense was primarily due to lower average total indebtedness.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effective income tax rate was (264.5)% and 31.4% in 2020 and 2019, respectively. The decrease in our effective income tax rate for the year ended December 31, 2020 compared to the year ended December 31, 2019 was primarily driven by the incurrence of contribution- and margin-based taxes in both periods combined with a pretax loss in 2020 compared to pretax income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there was no material income tax benefit on our Consolidated Statements of Operations in 2020. Additionally, our cash flows benefited from the ability to defer the payment of certain payroll taxes that would otherwise have been due in 2020. We have not applied for any government loans under the CARES Act or similar laws.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revenue for 2019 increased by 0.5% to $6.09 billion, from $6.07 billion in 2018. The increase in revenue compared to 2018 was primarily driven by 5.0% growth of our North American business, partially offset by a 2.2% decline in revenue in Europe, primarily due to foreign currency movement. The growth of our North American business was led by higher revenues from our food and beverage, consumer packaged goods and aerospace customers. Foreign currency movement reduced revenue growth by approximately three percentage points in 2019.</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Direct operating expense in 2019 was $5.1 billion, or 83.9% of revenue, compared with $5.1 billion, or 84.4% of revenue, in 2018. The year-over-year decrease as a percentage of revenue was primarily driven by lower temporary labor and third-party transportation costs, which decreased direct operating expense by approximately 1.6% and 0.3%, respectively, as a percentage of revenue. These decreases were partially offset by higher personnel costs to support growth in the North American business, which increased direct operating expense by approximately 1.6% as a percentage of revenue. Additionally, 2019 and 2018 included $9 million and $2 million, respectively, from gains on sales of property and equipment.</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$514 million in 2019, or 8.4% of revenue, compared with $528 million, or 8.7% of revenue, in 2018. The year-over-year decrease in SG&amp;A as a percentage of revenue primarily resulted from lower bad debt and overhead expenses, which in aggregate decreased SG&amp;A by approximately 0.6% as a percentage of revenue.</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Depreciation and amortization expense in 2019 was $302 million, compared with $261 million in 2018. The increase was primarily due to the impact of prior capital investments and new contract startups.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in 2018 are primarily related to litigation expenses.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Other income for 2019 was $1 million, compared with $13 million in 2018. Included in Other income for 2018 was a gain of $9 million related to a terminated swap.</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2019 increased to $33 million, from $30 million in 2018. The increase in interest expense was primarily due to higher average total indebtedness.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effective income tax rate was 31.4% and 28.9% in 2019 and 2018, respectively. The increase in our effective income tax rate for 2019 compared to 2018 was primarily driven by changes in our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existing sources of cash are cash generated from operations and funding from XPO.</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Treasury activities at XPO are generally centralized, while certain balances are managed locally, except as noted below. To the extent cash and cash equivalents are legally owned by GXO, they are reflected in the combined financial statements.</w:t>
      </w:r>
    </w:p>
    <w:p>
      <w:pPr>
        <w:spacing w:after="0" w:line="11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 In conjunction with the planned spin-off, we expect to further evaluate our liquidity needs, capital structure and sources of capital on a standalone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asset and liability balances as of March 31, 2021, December 31,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r>
    </w:tbl>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Total assets increased $397 million from December 31, 2019 to December 31, 2020 primarily due to higher cash and cash equivalents and accounts receivable, the latter of which is due to higher revenues and reduced factoring of our receivables. Total liabilities increased $146 million from December 31, 2019 to December 31, 2020 due to an increase in accrued expenses in 2020, primarily due to the deferral of payroll tax payments as a result of the CARES Act.</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increase in our assets and liabilities from December 31, 2020 to March 31, 2021 primarily reflects the impact of the Kuehne + Nagel business acquired in January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Our current trade receivables securitization program also permits us to borrow, on an unsecured basis, cash collected in a servicing capacity on previously sold receivables, which we report within short-term debt on our Combined Balance Sheets.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to the Combined Financial Statements and Note 6—Debt to the Interim Condensed Combined Financial Statements for additional information related to our receivables securitization secured borrowing program and these borrowings.</w:t>
      </w:r>
    </w:p>
    <w:p>
      <w:pPr>
        <w:spacing w:after="0" w:line="11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11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current program, inclusive of any unsecured borrowings, is €400 million (approximately $469 million as of March 31, 2021). As of March 31, 2021, €82 million (approximately $96 million) was available under the program, subject to having sufficient receivables available to sell to the Purchasers.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260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2500" w:type="dxa"/>
            <w:vAlign w:val="bottom"/>
            <w:tcBorders>
              <w:top w:val="single" w:sz="8" w:color="auto"/>
            </w:tcBorders>
            <w:shd w:val="clear" w:color="auto" w:fill="CCEEFF"/>
          </w:tcPr>
          <w:p>
            <w:pPr>
              <w:ind w:left="360"/>
              <w:spacing w:after="0" w:line="224" w:lineRule="exact"/>
              <w:rPr>
                <w:sz w:val="20"/>
                <w:szCs w:val="20"/>
                <w:color w:val="auto"/>
              </w:rPr>
            </w:pPr>
            <w:r>
              <w:rPr>
                <w:rFonts w:ascii="Arial" w:cs="Arial" w:eastAsia="Arial" w:hAnsi="Arial"/>
                <w:sz w:val="18"/>
                <w:szCs w:val="18"/>
                <w:b w:val="1"/>
                <w:bCs w:val="1"/>
                <w:color w:val="auto"/>
                <w:w w:val="92"/>
              </w:rPr>
              <w:t xml:space="preserve">Securitization programs </w:t>
            </w:r>
            <w:r>
              <w:rPr>
                <w:rFonts w:ascii="Arial" w:cs="Arial" w:eastAsia="Arial" w:hAnsi="Arial"/>
                <w:sz w:val="23"/>
                <w:szCs w:val="23"/>
                <w:b w:val="1"/>
                <w:bCs w:val="1"/>
                <w:color w:val="auto"/>
                <w:w w:val="92"/>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2600" w:type="dxa"/>
            <w:vAlign w:val="bottom"/>
            <w:gridSpan w:val="2"/>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Deferred purchase price</w:t>
            </w: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2600" w:type="dxa"/>
            <w:vAlign w:val="bottom"/>
            <w:gridSpan w:val="2"/>
          </w:tcPr>
          <w:p>
            <w:pPr>
              <w:ind w:left="360"/>
              <w:spacing w:after="0"/>
              <w:rPr>
                <w:sz w:val="20"/>
                <w:szCs w:val="20"/>
                <w:color w:val="auto"/>
              </w:rPr>
            </w:pPr>
            <w:r>
              <w:rPr>
                <w:rFonts w:ascii="Arial" w:cs="Arial" w:eastAsia="Arial" w:hAnsi="Arial"/>
                <w:sz w:val="18"/>
                <w:szCs w:val="18"/>
                <w:b w:val="1"/>
                <w:bCs w:val="1"/>
                <w:color w:val="auto"/>
              </w:rPr>
              <w:t>Factoring programs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318" w:lineRule="exact"/>
        <w:rPr>
          <w:sz w:val="20"/>
          <w:szCs w:val="20"/>
          <w:color w:val="auto"/>
        </w:rPr>
      </w:pPr>
    </w:p>
    <w:p>
      <w:pPr>
        <w:jc w:val="both"/>
        <w:ind w:left="340" w:right="80" w:hanging="332"/>
        <w:spacing w:after="0" w:line="257" w:lineRule="auto"/>
        <w:tabs>
          <w:tab w:leader="none" w:pos="338" w:val="left"/>
        </w:tabs>
        <w:numPr>
          <w:ilvl w:val="0"/>
          <w:numId w:val="321"/>
        </w:numPr>
        <w:rPr>
          <w:rFonts w:ascii="Arial" w:cs="Arial" w:eastAsia="Arial" w:hAnsi="Arial"/>
          <w:sz w:val="13"/>
          <w:szCs w:val="13"/>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while under the current program, all transfers are accounted for as sales. This change had the effect of increasing the amount of trade receivables we reported as sold beginning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Three Months Ended March 31, 2021 and 2020</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Combined Statements of Cash Flows,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0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(37)</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81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(13)</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72</w:t>
            </w:r>
          </w:p>
        </w:tc>
      </w:tr>
    </w:tbl>
    <w:p>
      <w:pPr>
        <w:spacing w:after="0" w:line="242"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During the first quarter of 2021, we: (i) generated cash from operating activities of $47 million and (ii) received net transfers from XPO of $138 million. We used cash during this period primarily to: (i) purchase property and equipment of $67 million and (ii) make payments on debt and finance leases of $26 million.</w:t>
      </w:r>
    </w:p>
    <w:p>
      <w:pPr>
        <w:spacing w:after="0" w:line="13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During the first quarter of 2020, we: (i) generated cash from operating activities of $41 million; (ii) received net transfers from XPO of $55 million; and (iii) received net proceeds related to secured borrowing activity of $84 million. We used cash during this period primarily to: (i) make payments on debt and finance leases of $62 million and (ii) purchase property and equipment of $48 million.</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Cash flows from operating activities for the first quarter of 2021 increased by $6 million compared with 2020. The increase reflects higher net income, partially offset by the impact of operating assets and liabilities generating $38 million less in cash in 2021.</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Investing activities used $38 million of cash for the first quarter of 2021, compared with $37 million used for the same quarter in 2020. During for the first quarter of 2021, we used $67 million of cash to purchase property and equipment and received $20 million, net, in connection with the purchase and sale of affiliate trade receivables. During the same quarter in 2020, we used $48 million of cash to purchase property and equipment and received $8 million, net, in connection with the purchase and sale of affiliate trade receivables and received $3 million of cash from sales of property and equipment.</w:t>
      </w:r>
    </w:p>
    <w:p>
      <w:pPr>
        <w:spacing w:after="0" w:line="10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Financing activities generated $80 million of cash for the first quarter of 2021 and generated $81 million of cash for the same quarter in 2020. The primary source of cash from financing activities for the first quarter of 2021 were $138 million of net transfers from XPO. The primary uses of cash from financing activities for the first quarter of 2021 were $26 million used to repay debt and finance leases and $25 million from net borrowings related to our securitization program. By comparison, the primary sources of cash from financing activities in the first quarter of 2020 were $84 million of net proceeds related to secured borrowing activity and $55 million of net transfers from XPO. The primary uses of cash from financing activities in the first quarter of 2020 were $62 million used to repay debt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cash flows from operating, investing and financing activities, as reflected on our Combined Statements of Cash Flows,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8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24"/>
        </w:trPr>
        <w:tc>
          <w:tcPr>
            <w:tcW w:w="5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we: (i) generated cash from operating activities of $333 million and (ii) received net transfers from XPO of $168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$222 million and (ii) make payments on debt and finance leases of $123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2019, we: (i) generated cash from operating activities of $145 million; (ii) collected $112 million on the deferred purchase price receivable as described above; (iii) received net transfers from XPO of $278 million; and (iv) received net proceeds related to secured borrowing activity of $261 million. We used cash during this period primarily to: (i) purchase property and equipment of $222 million; (ii) make payments on debt and finance leases of $376 million; and (iii) purchase noncontrolling interests of $258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2018, we: (i) generated cash from operating activities of $335 million and (ii) received net transfers from XPO of $65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$270 million and (ii) make payments on debt and finance leases of $139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Cash flows from operating activities for 2020 increased by $188 million compared with 2019. The increase reflects the impact of operating assets and liabilities generating $310 million more in cash in 2020, partially offset by lower net income. Within operating assets and liabilities, accrued expenses and other liabilities was a source of cash for 2020 as compared to a use of cash in 2019. This fluctuation reflects the deferral of certain tax payments and an increase in compensation and purchased transportation accruals in 2020.</w:t>
      </w:r>
    </w:p>
    <w:p>
      <w:pPr>
        <w:spacing w:after="0" w:line="13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Cash flows from operating activities for 2019 decreased by $190 million compared with 2018. The decrease primarily reflects the impact of operating assets and liabilities generating $240 million less cash in 2019. Within operating assets and liabilities, accounts receivable was a use of cash in 2019 compared to a source of cash in 2018, which reflected increased revenues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Investing activities used $280 million of cash in 2020, compared with $147 million used in 2019 and $240 million used in 2018. During 2020, we used $222 million of cash to purchase property and equipment, received $12 million from sales of property and equipment and used $40 million, net, in connection with the purchase and sale of affiliate trade receivables. During 2019, we used $222 million of cash to purchase property and equipment, received $15 million of cash from sales of property and equipment, received proceeds of $112 million related to the realization of cash on deferred purchase price receivable and used $52 million, net, in connection with the purchase and sale of affiliate trade receivables. During 2018, we used $270 million of cash to purchase property and equipment and received $30 million of cash from sales of property and equipment.</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Financing activities generated $67 million of cash in 2020, used $102 million of cash in 2019 and used $38 million of cash in 2018. The primary sources of cash from financing activities in 2020 were $168 million of net transfers from XPO and $24 million from net borrowings related to our securitization program. The primary uses of cash from financing activities in 2020 were $123 million used to repay debt and finance leases. By comparison, the primary sources of cash from financing activities in 2019 were $278 million of net transfers from XPO and $261 million of net proceeds related to secured borrowing activity on our securitization program. The primary uses of cash from financing activities in 2019 were $376 million used to repay debt and finance leases and $258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used to purchase a shareholder’s noncontrolling interest in XPO Logistics Europe SA. The primary uses of cash from financing activities in 2018 were $139 million used to repay debt and finance leases. The primary sources of cash from financing activities in 2018 were $65 million of net transfers from XPO and $47 million of net proceeds related to secured borrowing activity on our securitization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color w:val="auto"/>
        </w:rPr>
        <w:t>The table below reflects our contractual obligations as of December 31, 2020. As of March 31, 2021, the Company’s future contractual obligations have not materially changed.</w:t>
      </w: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Debt (excluding 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Interest on related-party debt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bl>
    <w:p>
      <w:pPr>
        <w:spacing w:after="0" w:line="319" w:lineRule="exact"/>
        <w:rPr>
          <w:sz w:val="20"/>
          <w:szCs w:val="20"/>
          <w:color w:val="auto"/>
        </w:rPr>
      </w:pPr>
    </w:p>
    <w:p>
      <w:pPr>
        <w:ind w:left="340" w:right="40" w:hanging="332"/>
        <w:spacing w:after="0" w:line="250" w:lineRule="auto"/>
        <w:tabs>
          <w:tab w:leader="none" w:pos="338" w:val="left"/>
        </w:tabs>
        <w:numPr>
          <w:ilvl w:val="0"/>
          <w:numId w:val="322"/>
        </w:numPr>
        <w:rPr>
          <w:rFonts w:ascii="Arial" w:cs="Arial" w:eastAsia="Arial" w:hAnsi="Arial"/>
          <w:sz w:val="13"/>
          <w:szCs w:val="13"/>
          <w:color w:val="auto"/>
        </w:rPr>
      </w:pPr>
      <w:r>
        <w:rPr>
          <w:rFonts w:ascii="Arial" w:cs="Arial" w:eastAsia="Arial" w:hAnsi="Arial"/>
          <w:sz w:val="14"/>
          <w:szCs w:val="14"/>
          <w:color w:val="auto"/>
        </w:rPr>
        <w:t>As of December 31, 2020, we had additional operating leases that have not yet commenced with future undiscounted lease payments of $143 million. These operating leases will commence in 2021 through 2022 with initial lease terms of 2 years to 10 years.</w:t>
      </w:r>
    </w:p>
    <w:p>
      <w:pPr>
        <w:ind w:left="340" w:hanging="332"/>
        <w:spacing w:after="0"/>
        <w:tabs>
          <w:tab w:leader="none" w:pos="340" w:val="left"/>
        </w:tabs>
        <w:numPr>
          <w:ilvl w:val="0"/>
          <w:numId w:val="322"/>
        </w:numPr>
        <w:rPr>
          <w:rFonts w:ascii="Arial" w:cs="Arial" w:eastAsia="Arial" w:hAnsi="Arial"/>
          <w:sz w:val="13"/>
          <w:szCs w:val="13"/>
          <w:color w:val="auto"/>
        </w:rPr>
      </w:pPr>
      <w:r>
        <w:rPr>
          <w:rFonts w:ascii="Arial" w:cs="Arial" w:eastAsia="Arial" w:hAnsi="Arial"/>
          <w:sz w:val="14"/>
          <w:szCs w:val="14"/>
          <w:color w:val="auto"/>
        </w:rPr>
        <w:t>Estimated interest payments have been calculated based on the outstanding amount of debt and the applicable interest rates as of December 31, 2020.</w:t>
      </w:r>
    </w:p>
    <w:p>
      <w:pPr>
        <w:spacing w:after="0" w:line="15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2020, our Combined Balance Sheet reflects a long-term liability of $54 million for deferred taxes. Additionally, our Combined Balance Sheet reflects gross unrecognized tax benefits of $4 million, which are primarily included in long-term liabilities.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 $225 million and $275 million in 2021, funded by cash on hand and available liquidity.</w:t>
      </w:r>
    </w:p>
    <w:p>
      <w:pPr>
        <w:spacing w:after="0" w:line="13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above table also excludes the principal amount of indebtedness expected to be incurred in connection with the separation and distribution of approximately $800 million and associated interest payments of $16 million per year. See “Description of Material Indebtedness” for additional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prepare our combined financial statements in accordance with U.S. generally accepted accounting principles.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Expense Allocation</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Combined Financial Statements of GXO include general corporate expenses for certain support functions that are provided on a centralized basis, such as expenses related to information technology, human resources, accounting, sales and sales operations, procurement, executive services, legal, corporate finance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EBITDA, which includes adjustments for transaction and integration costs, as well as restructuring costs and other adjustments, or headcount. All such costs have been deemed to have been incurred and settled through XPO investment in the period when the costs were recorded.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We have two reporting units. Application of the goodwill impairment test requires judgment, including the identification of the reporting unit, the assignment of assets and liabilities to the reporting unit, the assignment of goodwill to the reporting unit, and a determination of the fair value of the reporting unit.</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and both of our reporting units had fair values in excess of their carrying values, resulting in no impairment of goodwill.</w:t>
      </w:r>
    </w:p>
    <w:p>
      <w:pPr>
        <w:spacing w:after="0" w:line="1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 to the Combined Financial Statements and Note 2—Basis of Presentation to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440" w:right="379" w:bottom="1440" w:gutter="0" w:footer="0" w:header="0"/>
        </w:sectPr>
      </w:pPr>
    </w:p>
    <w:bookmarkStart w:id="430" w:name="page431"/>
    <w:bookmarkEnd w:id="4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75"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following table sets forth information as of [ ], 2021 regarding the individuals who are expected to serve as executive officers of GXO following the completion of the distribution. We are in the process of identifying the other persons who will be our executive officers following the completion of the distribution and will include information concerning those persons in an amendment to this information statement.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300"/>
              <w:spacing w:after="0"/>
              <w:rPr>
                <w:sz w:val="20"/>
                <w:szCs w:val="20"/>
                <w:color w:val="auto"/>
              </w:rPr>
            </w:pPr>
            <w:r>
              <w:rPr>
                <w:rFonts w:ascii="Arial" w:cs="Arial" w:eastAsia="Arial" w:hAnsi="Arial"/>
                <w:sz w:val="14"/>
                <w:szCs w:val="14"/>
                <w:b w:val="1"/>
                <w:bCs w:val="1"/>
                <w:color w:val="auto"/>
              </w:rPr>
              <w:t>Age</w:t>
            </w:r>
          </w:p>
        </w:tc>
        <w:tc>
          <w:tcPr>
            <w:tcW w:w="6460" w:type="dxa"/>
            <w:vAlign w:val="bottom"/>
          </w:tcPr>
          <w:p>
            <w:pPr>
              <w:ind w:left="29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Baris Oran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Maryclaire Hammond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Karlis Kirsis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8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Legal Officer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r>
    </w:tbl>
    <w:p>
      <w:pPr>
        <w:spacing w:after="0" w:line="144"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Baris Oran </w:t>
      </w:r>
      <w:r>
        <w:rPr>
          <w:rFonts w:ascii="Arial" w:cs="Arial" w:eastAsia="Arial" w:hAnsi="Arial"/>
          <w:sz w:val="18"/>
          <w:szCs w:val="18"/>
          <w:color w:val="auto"/>
        </w:rPr>
        <w:t>currently serves as chief financial officer of XPO’s Logistics segment. Mr. Oran joined XPO on May 14, 2021, having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of the Sabanci Group, one of Turkey’s largest publicly traded companies. Mr. Oran served as chief financial officer of Sabanci from 2016 to 2021, prior to which he held other senior finance roles at the company. Mr. Oran was previously employed by Kordsa Global, Ernst and Young, Sara Lee Corp, and Price Waterhouse Coopers. Mr. Oran also has significant board experience, including serving as executive chairman of Teknosa since 2019.</w:t>
      </w:r>
    </w:p>
    <w:p>
      <w:pPr>
        <w:spacing w:after="0" w:line="12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 xml:space="preserve">Maryclaire Hammond </w:t>
      </w:r>
      <w:r>
        <w:rPr>
          <w:rFonts w:ascii="Arial" w:cs="Arial" w:eastAsia="Arial" w:hAnsi="Arial"/>
          <w:sz w:val="16"/>
          <w:szCs w:val="16"/>
          <w:color w:val="auto"/>
        </w:rPr>
        <w:t>currently serves as senior vice president, human resources – Americas and Asia Pacific for XPO’s North American logistics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role she has held since September 2019. In this capacity, Ms. Hammond oversees the employment culture of more than 22,000 XPO employees at over 300 locations in the America’s and Asia Pacific. Prior to her time with XPO, Ms. Hammond was employed by Marathon Petroleum Company (formerly Andeavor) as a senior human resources director from August 2017 – September 2019, and before that as human resources director for BP North America. Additionally, she served as a Global Vice President of Human Resources with Honeywell in Rolle, Switzerland.</w:t>
      </w:r>
    </w:p>
    <w:p>
      <w:pPr>
        <w:spacing w:after="0" w:line="100"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Karlis Kirsis </w:t>
      </w:r>
      <w:r>
        <w:rPr>
          <w:rFonts w:ascii="Arial" w:cs="Arial" w:eastAsia="Arial" w:hAnsi="Arial"/>
          <w:sz w:val="18"/>
          <w:szCs w:val="18"/>
          <w:color w:val="auto"/>
        </w:rPr>
        <w:t>currently serves as senior vice president, European Chief Legal Officer, Corporate Secretary for XPO, a role he has held since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2020. In this role, Mr. Kirsis is responsible for advising senior executives and XPO’s board of directors on a wide range of strategic initiatives. Mr. Kirsis previously served in various roles at XPO, including senior vice president, Corporate Counsel, from July 2017 to February 2020, and vice president, Corporate and Securities Counsel, from September 2016 to July 2017. Prior to his time with XPO, Mr. Kirsis was a corporate associate with Skadden, Arps, Slate, Meagher &amp; Flom LLP from 2007 to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Directors Following the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will provide for a classified board of directors, with members of each class serving staggered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three-year terms. We will have [ ] directors in Class I, [ ] directors in Class II and [ ] directors in Class III. Any additional directorships resulting from an increase in the number of directors will be distributed among the three classes so that, as nearly as possible, each class will consist of one-third of the directors. The terms of directors in Classes I, II and III end at the annual meetings in 2022, 2023 and 2024, as indicated below.</w:t>
      </w:r>
    </w:p>
    <w:p>
      <w:pPr>
        <w:spacing w:after="0" w:line="1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the completion of the distribution, commencing with the first annual meeting of stockholders following the distribution, directors for each class will be elected at the annual meeting of stockholders held in the year in which the term for that class expires and thereafter will serve for a term of three years. Commencing with the second annual meeting of stockholders after the completion of the distribution,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one-year terms, and our board will therefore no longer be divided into three classes.</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information as of [ ], 2021 regarding the individuals who are expected to serve on GXO’s board of directors following completion of the distribution and until their respective successors are duly elected and qualified. We are in the process of identifying the other persons who are expected to serve on GXO’s board of directors following the completion of the distribution and will include information concerning those persons in an amendment to this information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800" w:type="dxa"/>
            <w:vAlign w:val="bottom"/>
            <w:gridSpan w:val="2"/>
          </w:tcPr>
          <w:p>
            <w:pPr>
              <w:ind w:left="1600"/>
              <w:spacing w:after="0"/>
              <w:rPr>
                <w:sz w:val="20"/>
                <w:szCs w:val="20"/>
                <w:color w:val="auto"/>
              </w:rPr>
            </w:pPr>
            <w:r>
              <w:rPr>
                <w:rFonts w:ascii="Arial" w:cs="Arial" w:eastAsia="Arial" w:hAnsi="Arial"/>
                <w:sz w:val="14"/>
                <w:szCs w:val="14"/>
                <w:b w:val="1"/>
                <w:bCs w:val="1"/>
                <w:color w:val="auto"/>
              </w:rPr>
              <w:t>Position</w:t>
            </w:r>
          </w:p>
        </w:tc>
        <w:tc>
          <w:tcPr>
            <w:tcW w:w="540" w:type="dxa"/>
            <w:vAlign w:val="bottom"/>
          </w:tcPr>
          <w:p>
            <w:pPr>
              <w:spacing w:after="0"/>
              <w:rPr>
                <w:sz w:val="16"/>
                <w:szCs w:val="16"/>
                <w:color w:val="auto"/>
              </w:rPr>
            </w:pPr>
          </w:p>
        </w:tc>
        <w:tc>
          <w:tcPr>
            <w:tcW w:w="3780" w:type="dxa"/>
            <w:vAlign w:val="bottom"/>
          </w:tcPr>
          <w:p>
            <w:pPr>
              <w:ind w:left="1440"/>
              <w:spacing w:after="0"/>
              <w:rPr>
                <w:sz w:val="20"/>
                <w:szCs w:val="20"/>
                <w:color w:val="auto"/>
              </w:rPr>
            </w:pPr>
            <w:r>
              <w:rPr>
                <w:rFonts w:ascii="Arial" w:cs="Arial" w:eastAsia="Arial" w:hAnsi="Arial"/>
                <w:sz w:val="14"/>
                <w:szCs w:val="14"/>
                <w:b w:val="1"/>
                <w:bCs w:val="1"/>
                <w:color w:val="auto"/>
              </w:rPr>
              <w:t>Class</w:t>
            </w:r>
          </w:p>
        </w:tc>
      </w:tr>
      <w:tr>
        <w:trPr>
          <w:trHeight w:val="229"/>
        </w:trPr>
        <w:tc>
          <w:tcPr>
            <w:tcW w:w="2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2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Oren Shaffer</w:t>
            </w:r>
          </w:p>
        </w:tc>
        <w:tc>
          <w:tcPr>
            <w:tcW w:w="260" w:type="dxa"/>
            <w:vAlign w:val="bottom"/>
          </w:tcPr>
          <w:p>
            <w:pPr>
              <w:spacing w:after="0"/>
              <w:rPr>
                <w:sz w:val="19"/>
                <w:szCs w:val="19"/>
                <w:color w:val="auto"/>
              </w:rPr>
            </w:pPr>
          </w:p>
        </w:tc>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78</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Marlene Colucci</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Chair</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29"/>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Gena Ashe</w:t>
            </w:r>
          </w:p>
        </w:tc>
        <w:tc>
          <w:tcPr>
            <w:tcW w:w="260" w:type="dxa"/>
            <w:vAlign w:val="bottom"/>
          </w:tcPr>
          <w:p>
            <w:pPr>
              <w:spacing w:after="0"/>
              <w:rPr>
                <w:sz w:val="19"/>
                <w:szCs w:val="19"/>
                <w:color w:val="auto"/>
              </w:rPr>
            </w:pPr>
          </w:p>
        </w:tc>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gridSpan w:val="2"/>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bl>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Brad Jacobs, </w:t>
      </w:r>
      <w:r>
        <w:rPr>
          <w:rFonts w:ascii="Arial" w:cs="Arial" w:eastAsia="Arial" w:hAnsi="Arial"/>
          <w:sz w:val="17"/>
          <w:szCs w:val="17"/>
          <w:color w:val="auto"/>
        </w:rPr>
        <w:t>chairman and chief executive officer of XPO Logistics, has started five companies from scratch and led each of them to become a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dollar or multi-billion dollar enterprise. These include XPO Logistics (NYSE: XPO) and two other publicly traded companies: United Rentals (NYSE: URI) and United Waste Systems. XPO Logistics and United Rentals were among the 20 best-performing stocks of the last decade. Prior to starting XPO in 2011, Mr. Jacobs founded United Rentals in 1997 and led the company for 10 years as chairman, including six years as chief executive officer. He founded United Waste Systems in 1989 and served eight years as chairman and chief executive officer.</w:t>
      </w:r>
    </w:p>
    <w:p>
      <w:pPr>
        <w:spacing w:after="0" w:line="114"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Oren Shaffer </w:t>
      </w:r>
      <w:r>
        <w:rPr>
          <w:rFonts w:ascii="Arial" w:cs="Arial" w:eastAsia="Arial" w:hAnsi="Arial"/>
          <w:sz w:val="18"/>
          <w:szCs w:val="18"/>
          <w:color w:val="auto"/>
        </w:rPr>
        <w:t>served as a director of XPO from September 2, 2011 until the separation. From 2002 to 2007, Mr. Shaffer was vice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Qwest Communications International, Inc. (now CenturyLink, Inc.). Previously, Mr. Shaffer was president and chief operating officer of Sorrento Networks, Inc., executive vice president and chief financial officer of Ameritech Corporation, and held senior executive positions with The Goodyear Tire &amp; Rubber Company, where he also served on the board of directors. Additionally, Mr. Shaffer served as a director on the board of Terex Corporation from 2007 until May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0" w:lineRule="exact"/>
        <w:rPr>
          <w:sz w:val="20"/>
          <w:szCs w:val="20"/>
          <w:color w:val="auto"/>
        </w:rPr>
      </w:pPr>
    </w:p>
    <w:p>
      <w:pPr>
        <w:jc w:val="both"/>
        <w:ind w:right="260" w:firstLine="324"/>
        <w:spacing w:after="0" w:line="289" w:lineRule="auto"/>
        <w:rPr>
          <w:sz w:val="20"/>
          <w:szCs w:val="20"/>
          <w:color w:val="auto"/>
        </w:rPr>
      </w:pPr>
      <w:r>
        <w:rPr>
          <w:rFonts w:ascii="Arial" w:cs="Arial" w:eastAsia="Arial" w:hAnsi="Arial"/>
          <w:sz w:val="16"/>
          <w:szCs w:val="16"/>
          <w:b w:val="1"/>
          <w:bCs w:val="1"/>
          <w:color w:val="auto"/>
        </w:rPr>
        <w:t xml:space="preserve">Marlene Colucci </w:t>
      </w:r>
      <w:r>
        <w:rPr>
          <w:rFonts w:ascii="Arial" w:cs="Arial" w:eastAsia="Arial" w:hAnsi="Arial"/>
          <w:sz w:val="16"/>
          <w:szCs w:val="16"/>
          <w:color w:val="auto"/>
        </w:rPr>
        <w:t>served as a director of XPO from February 7, 2019 until the separation. She has served as the executive director of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Council in Washington, D.C. since July 2013. Previously, from September 2005 to June 2013, she was executive vice president of public policy for the American Hotel &amp; Lodging Association. From September 2003 to June 2005, she served in the White House as special assistant to President George W.</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Bush in the Office of Domestic Policy. In this role, she developed labor, transportation and postal reform policies and advised the president and his staff on related matters. Earlier, Ms. Colucci served as deputy assistant secretary with the U.S. Department of Labor’s Office of Congressional and Intergovernmental Affairs. Her law career includes more than 12 years with the firm of Akin Gump Strauss Hauer &amp; Feld LLP, where she served as senior counsel.</w:t>
      </w:r>
    </w:p>
    <w:p>
      <w:pPr>
        <w:spacing w:after="0" w:line="13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Gena Ashe </w:t>
      </w:r>
      <w:r>
        <w:rPr>
          <w:rFonts w:ascii="Arial" w:cs="Arial" w:eastAsia="Arial" w:hAnsi="Arial"/>
          <w:sz w:val="17"/>
          <w:szCs w:val="17"/>
          <w:color w:val="auto"/>
        </w:rPr>
        <w:t>served as a director of XPO from March 21, 2016 until the separation. She has served as the general counsel and corporate secretary of</w:t>
      </w:r>
      <w:r>
        <w:rPr>
          <w:rFonts w:ascii="Arial" w:cs="Arial" w:eastAsia="Arial" w:hAnsi="Arial"/>
          <w:sz w:val="17"/>
          <w:szCs w:val="17"/>
          <w:b w:val="1"/>
          <w:bCs w:val="1"/>
          <w:color w:val="auto"/>
        </w:rPr>
        <w:t xml:space="preserve"> </w:t>
      </w:r>
      <w:r>
        <w:rPr>
          <w:rFonts w:ascii="Arial" w:cs="Arial" w:eastAsia="Arial" w:hAnsi="Arial"/>
          <w:sz w:val="17"/>
          <w:szCs w:val="17"/>
          <w:color w:val="auto"/>
        </w:rPr>
        <w:t>Anterix Inc. since July 2019, and as the president and chief executive officer of GLA Legal Advisory Group, LLC since February 2018. She was senior vice president, chief legal officer and corporate secretary of Adtalem Global Education Inc. from May 2017 to February 2018, and executive vice president, chief legal officer, and corporate secretary of BrightView Landscapes, LLC (formerly The Brickman Group, Ltd. LLC) from December 2012 to June 2016. Ms. Ashe served as vice-chairman of the Supervisory Board of XPO Logistics Europe S.A., XPO’s majority-owned subsidiary, from February 2017 until June 2021. In addition, she has served as a director of the Executive Leadership Council since February 2020 and American Landscape Partners, LLC since January 2021. Ms. Ashe also sits on the Board of Trustees of Spelman College.</w:t>
      </w:r>
    </w:p>
    <w:p>
      <w:pPr>
        <w:spacing w:after="0" w:line="118"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our Corporate Governance Guidelines (“Guidelines”), our board of directors will be responsible for making independence determinations annually with the assistance of the Nominating, Corporate Governance and Sustainability Committee. Such independence determinations will be made by reference to the independence standard under the Guidelines and the definition of “independent director” under Section 303A.02 of the NYSE Listed Company Manual.</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to the independence standards provided in the Guidelines, our board of directors will be responsible for determining that each director who serves on our Audit Committee satisfies standards established by the SEC providing that, to qualify as “independent” for the purposes of membership on that committee, members of audit committees may not: (i) accept directly or indirectly any consulting, advisory or other compensatory fee from GXO other than their director compensation, or (ii) be an affiliated person of GXO or any of its subsidiaries. Our board of directors will also determine that each member of the Compensation Committee satisfies the NYSE standards for independence of Compensation Committee members. Additionally, our board of directors will determine that each member of the Nominating, Corporate Governance and Sustainability Committee satisfies the NYSE standards for independence. In making the independence determinations for each director, our board of directors and the Nominating, Corporate Governance and Sustainability Committee will analyze certain relationships of the directors that are not required to be disclosed pursuant to Item 404(a) of Regulation S-K.</w:t>
      </w:r>
    </w:p>
    <w:p>
      <w:pPr>
        <w:spacing w:after="0" w:line="11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board is expected to affirmatively determine that all the directors are independent except Mr. Jacobs. In the course of its determination regarding independence, the board is expected not to find any material relationships between GXO and any of the directors, other than Mr. Jacobs’ role as the Chief Executive Officer of XPO.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Effective upon the completion of the distribution, our board of directors will have the following three standing committees: an Audit Committee, Compensation Committee, and a Nominating, Corporate Governance and Sustainability Committee. The board is expected to adopt written charters for each committee, which will be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433" w:name="page434"/>
    <w:bookmarkEnd w:id="433"/>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of the Audit Committee, the Compensation Committee, and the Nominating, Corporate Governance and Sustainability Committee is expected to be composed solely of directors who have been determined by the board to be independent in accordance with SEC regulations, NYSE listing standards and the independence standards under our Guidelines (including the heightened independence standards for members of the Audit Committee and the Compensation Committee).</w:t>
      </w:r>
    </w:p>
    <w:p>
      <w:pPr>
        <w:spacing w:after="0" w:line="13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Our Audit Committee will be established in accordance with Section 3(a)(58)(A) of the Exchange Act, to assist our board in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 party transactions. Each member of the Audit Committee will be required to:</w:t>
      </w:r>
    </w:p>
    <w:p>
      <w:pPr>
        <w:spacing w:after="0" w:line="2" w:lineRule="exact"/>
        <w:rPr>
          <w:sz w:val="20"/>
          <w:szCs w:val="20"/>
          <w:color w:val="auto"/>
        </w:rPr>
      </w:pPr>
    </w:p>
    <w:p>
      <w:pPr>
        <w:ind w:right="240" w:firstLine="8"/>
        <w:spacing w:after="0" w:line="260" w:lineRule="auto"/>
        <w:tabs>
          <w:tab w:leader="none" w:pos="2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satisfy all applicable independence standards, (ii) not have participated in the preparation of our financial statements at any time during the past three years and (iii) be able to read and understand fundamental financial statements.</w:t>
      </w:r>
    </w:p>
    <w:p>
      <w:pPr>
        <w:spacing w:after="0" w:line="13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primary responsibilities of the Compensation Committee will be, among other things: (i) to oversee the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 oversee the work of such consultants.</w:t>
      </w:r>
    </w:p>
    <w:p>
      <w:pPr>
        <w:spacing w:after="0" w:line="133"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i w:val="1"/>
          <w:iCs w:val="1"/>
          <w:color w:val="auto"/>
        </w:rPr>
        <w:t>Nominating, Corporate Governance and Sustainability Committee</w:t>
      </w:r>
      <w:r>
        <w:rPr>
          <w:rFonts w:ascii="Arial" w:cs="Arial" w:eastAsia="Arial" w:hAnsi="Arial"/>
          <w:sz w:val="17"/>
          <w:szCs w:val="17"/>
          <w:color w:val="auto"/>
        </w:rPr>
        <w:t>. The primary responsibilities of the Nominating, and Corporate Governance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Sustainability Committee will be, among other things: (i) to identify individuals qualified to become directors and recommend that our board select such individuals to be presented for stockholder consideration at the annual meeting or to be appointed by the board to fill a vacancy, (ii) to make recommendations to our board concerning committee appointments, (iii) to develop, recommend to our board and annually review the Guidelines and oversee corporate governance matters and (iv) to oversee an annual evaluation of our board and committees.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Pay Decisions and Assess Our Compensation Programs</w:t>
      </w:r>
    </w:p>
    <w:p>
      <w:pPr>
        <w:spacing w:after="0" w:line="17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During our fiscal year ended December 31, 2020, GXO was not an independent company and did not have a compensation committee or any other committee serving a similar function. Decisions as to the compensation of those who currently serve as our executive officers were made by XPO, as described in the section of this information statement titled “Compensation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Commitment to Sound Corporate Governance</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GXO will be committed to strong corporate governance practices designed to maintain high standards of independent oversight, accountability, integrity and ethics while promoting long-term growth in stockholder value.</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governance structure will enable independent, experienced and accomplished directors to provide advice, insight and oversight to advance the interests of GXO and our stockholders. GXO will strive to maintain sound governance standards, to be reflected in our Code of Business Ethics, Corporate Governance Guidelines, our systematic approach to risk management and our commitment to transparent financial reporting and strong internal controls.</w:t>
      </w:r>
    </w:p>
    <w:p>
      <w:pPr>
        <w:spacing w:after="0" w:line="95" w:lineRule="exact"/>
        <w:rPr>
          <w:sz w:val="20"/>
          <w:szCs w:val="20"/>
          <w:color w:val="auto"/>
        </w:rPr>
      </w:pPr>
    </w:p>
    <w:p>
      <w:pPr>
        <w:ind w:left="340"/>
        <w:spacing w:after="0"/>
        <w:tabs>
          <w:tab w:leader="none" w:pos="10340" w:val="left"/>
        </w:tabs>
        <w:rPr>
          <w:sz w:val="20"/>
          <w:szCs w:val="20"/>
          <w:color w:val="auto"/>
        </w:rPr>
      </w:pPr>
      <w:r>
        <w:rPr>
          <w:rFonts w:ascii="Arial" w:cs="Arial" w:eastAsia="Arial" w:hAnsi="Arial"/>
          <w:sz w:val="17"/>
          <w:szCs w:val="17"/>
          <w:color w:val="auto"/>
        </w:rPr>
        <w:t>The following documents, as well as additional corporate governance information and materials, will be available on our website at [</w:t>
      </w:r>
      <w:r>
        <w:rPr>
          <w:sz w:val="20"/>
          <w:szCs w:val="20"/>
          <w:color w:val="auto"/>
        </w:rPr>
        <w:tab/>
      </w:r>
      <w:r>
        <w:rPr>
          <w:rFonts w:ascii="Arial" w:cs="Arial" w:eastAsia="Arial" w:hAnsi="Arial"/>
          <w:sz w:val="17"/>
          <w:szCs w:val="17"/>
          <w:color w:val="auto"/>
        </w:rPr>
        <w:t>]:</w:t>
      </w:r>
    </w:p>
    <w:p>
      <w:pPr>
        <w:spacing w:after="0" w:line="183" w:lineRule="exact"/>
        <w:rPr>
          <w:sz w:val="20"/>
          <w:szCs w:val="20"/>
          <w:color w:val="auto"/>
        </w:rPr>
      </w:pPr>
    </w:p>
    <w:p>
      <w:pPr>
        <w:ind w:left="660" w:hanging="328"/>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Amended and Restated Certificate of Incorporation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440" w:right="379" w:bottom="1440" w:gutter="0" w:footer="0" w:header="0"/>
        </w:sectPr>
      </w:pPr>
    </w:p>
    <w:bookmarkStart w:id="434" w:name="page435"/>
    <w:bookmarkEnd w:id="434"/>
    <w:p>
      <w:pPr>
        <w:spacing w:after="0" w:line="144" w:lineRule="exact"/>
        <w:rPr>
          <w:sz w:val="20"/>
          <w:szCs w:val="20"/>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Insider Trading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Code of Business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Related Person Transaction Approval Policy</w:t>
      </w:r>
    </w:p>
    <w:p>
      <w:pPr>
        <w:sectPr>
          <w:pgSz w:w="11900" w:h="16838" w:orient="portrait"/>
          <w:cols w:equalWidth="0" w:num="1">
            <w:col w:w="11220"/>
          </w:cols>
          <w:pgMar w:left="320" w:top="1440" w:right="359" w:bottom="1440" w:gutter="0" w:footer="0" w:header="0"/>
        </w:sectPr>
      </w:pPr>
    </w:p>
    <w:p>
      <w:pPr>
        <w:spacing w:after="0" w:line="194" w:lineRule="exact"/>
        <w:rPr>
          <w:sz w:val="20"/>
          <w:szCs w:val="20"/>
          <w:color w:val="auto"/>
        </w:rPr>
      </w:pPr>
    </w:p>
    <w:p>
      <w:pPr>
        <w:ind w:left="340"/>
        <w:spacing w:after="0"/>
        <w:tabs>
          <w:tab w:leader="none" w:pos="640" w:val="left"/>
          <w:tab w:leader="none" w:pos="11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following documents will be available on our website at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5620" w:space="480"/>
            <w:col w:w="5120"/>
          </w:cols>
          <w:pgMar w:left="320" w:top="1440" w:right="359" w:bottom="1440" w:gutter="0" w:footer="0" w:header="0"/>
          <w:type w:val="continuous"/>
        </w:sect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Charters of each of our board committees</w:t>
      </w:r>
    </w:p>
    <w:p>
      <w:pPr>
        <w:spacing w:after="0" w:line="171" w:lineRule="exact"/>
        <w:rPr>
          <w:sz w:val="20"/>
          <w:szCs w:val="20"/>
          <w:color w:val="auto"/>
        </w:rPr>
      </w:pPr>
    </w:p>
    <w:p>
      <w:pPr>
        <w:ind w:left="340"/>
        <w:spacing w:after="0"/>
        <w:tabs>
          <w:tab w:leader="none" w:pos="8220" w:val="left"/>
        </w:tabs>
        <w:rPr>
          <w:sz w:val="20"/>
          <w:szCs w:val="20"/>
          <w:color w:val="auto"/>
        </w:rPr>
      </w:pPr>
      <w:r>
        <w:rPr>
          <w:rFonts w:ascii="Arial" w:cs="Arial" w:eastAsia="Arial" w:hAnsi="Arial"/>
          <w:sz w:val="17"/>
          <w:szCs w:val="17"/>
          <w:color w:val="auto"/>
        </w:rPr>
        <w:t>Copies of these documents will also available in print form at no charge by sending a request to GXO, [</w:t>
      </w:r>
      <w:r>
        <w:rPr>
          <w:sz w:val="20"/>
          <w:szCs w:val="20"/>
          <w:color w:val="auto"/>
        </w:rPr>
        <w:tab/>
      </w:r>
      <w:r>
        <w:rPr>
          <w:rFonts w:ascii="Arial" w:cs="Arial" w:eastAsia="Arial" w:hAnsi="Arial"/>
          <w:sz w:val="17"/>
          <w:szCs w:val="17"/>
          <w:color w:val="auto"/>
        </w:rPr>
        <w:t>].</w:t>
      </w:r>
    </w:p>
    <w:p>
      <w:pPr>
        <w:spacing w:after="0" w:line="179"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The GXO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Board and Board Leadership Structure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Nominating, Corporate Governance and Sustainability Committee is expected to routinely review our governance practices and board leadership structure to ensure that it continues to serve GXO’s best interests and the best interests of our stockholders.</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the completion of the distribution, it is expected that Brad Jacobs will serve as GXO’s Chairman. To ensure independent oversight and decision-making, GXO will also have a Lead Independent Director and a Vice Chair.</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our Corporate Governance Guidelines to be adopted in connection with the distribution, the independent directors will designate a Lead Independent Director to, among other things, preside over meetings of the board of directors at which the Chairman is not present and at executive sessions of the independent directors, and to serve as a liaison between the Chairman and the independent directors. It is expected that Oren Shaffer will serve as the Lead Independent Director as of the completion of the distribution.</w:t>
      </w:r>
    </w:p>
    <w:p>
      <w:pPr>
        <w:spacing w:after="0" w:line="133"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Additionally, the board of directors will appoint a Vice Chair responsible for, among other things, presiding at meetings of the board of directors where the Chairman and Lead Independent Director are not present; assisting the Chairman, when appropriate, in carrying out his or her duties; assisting the Lead Independent Director, when appropriate, in carrying out his or her duties; and such other duties, responsibilities and assistance as the board of directors or the Chairman may determine. It is expected that Marlene Colucci will serve as the Vice Chair as of the completion of the distribution.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Following the completion of the distribution, our board of directors will hold regular and special meetings throughout each calendar year. In conjunction with those meetings, executive sessions, which are meetings of the independent directors, will be regularly scheduled throughout the year. Our Lead Independent Director will preside over the executive sessions of the board.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71"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The board will annually assess the effectiveness of the full board, the operations of its committees and the contributions of director nominees. The Nominating, Corporate Governance and Sustainability Committee will oversee the evaluation of the board as a whole and its committees, as well as individual evaluations of those directors who are being considered for possible re-nomination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type w:val="continuous"/>
        </w:sectPr>
      </w:pPr>
    </w:p>
    <w:bookmarkStart w:id="435" w:name="page436"/>
    <w:bookmarkEnd w:id="43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Nominating, Corporate Governance and Sustainability Committee will be responsible for recommending to our board all nominees for election to the board, including nominees for re-election to the board, in each case, after consultation with the Chairman of the board. Subject to the foregoing, in considering new nominees for election to our board, the Nominating, Corporate Governance and Sustainability Committee will consider, among other things, breadth of experience, financial expertise, wisdom, integrity, an ability to make independent analytical inquiries, an understanding of our company’s business environment, knowledge and experience in such areas as technology and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When searching for new directors, our board will endeavor to actively seek out highly qualified women and individuals from underrepresented minorities to include in the pool from which board nominees are chosen. Our board will aim to create a team of directors with diverse experiences and perspectives to provide our global company with thoughtful and engaged board oversight. The Nominating, Corporate Governance and Sustainability Committee will assess the effectiveness of its diversity efforts through periodic evaluations of the board’s composition.</w:t>
      </w:r>
    </w:p>
    <w:p>
      <w:pPr>
        <w:spacing w:after="0" w:line="118"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The Nominating, Corporate Governance and Sustainability Committee will be able to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nominees.</w:t>
      </w:r>
    </w:p>
    <w:p>
      <w:pPr>
        <w:spacing w:after="0" w:line="9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will consider nominees submitted by our stockholders, subject to the same factors that are brought to bear when it considers nominees referred by other sources. Our stockholders will be permitted to nominate candidates for election as directors by following the procedures set forth in our amended and restated bylaws, which are summarized below.</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amended and restated bylaws will provide that a stockholder who wishes to nominate an individual for election as a director at our annual meeting must give us advance written notice. The notice will be required to be delivered to or mailed and received by the secretary of our company not less than 90 days, and not more than 120 days, prior to the earlier of the date of the annual meeting and the first anniversary of the preceding year’s annual meeting. As more specifically provided in our amended and restated bylaws, any nomination will be required to include, among other information: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such proposed director nominee that would be required to be provided in a proxy statement prepared in accordance with applicable SEC rules and (iv) the consent of the proposed candidate to serve as a member of our board.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stockholder who wishes to nominate a potential director candidate will be required to follow the specific requirements set forth in our amended</w:t>
      </w:r>
    </w:p>
    <w:p>
      <w:pPr>
        <w:spacing w:after="0" w:line="46" w:lineRule="exact"/>
        <w:rPr>
          <w:sz w:val="20"/>
          <w:szCs w:val="20"/>
          <w:color w:val="auto"/>
        </w:rPr>
      </w:pPr>
    </w:p>
    <w:p>
      <w:pPr>
        <w:spacing w:after="0"/>
        <w:tabs>
          <w:tab w:leader="none" w:pos="8500" w:val="left"/>
        </w:tabs>
        <w:rPr>
          <w:sz w:val="20"/>
          <w:szCs w:val="20"/>
          <w:color w:val="auto"/>
        </w:rPr>
      </w:pPr>
      <w:r>
        <w:rPr>
          <w:rFonts w:ascii="Arial" w:cs="Arial" w:eastAsia="Arial" w:hAnsi="Arial"/>
          <w:sz w:val="17"/>
          <w:szCs w:val="17"/>
          <w:color w:val="auto"/>
        </w:rPr>
        <w:t>and restated bylaws, a copy of which will be available in print form at no charge by sending a request to GXO, [</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Risk Oversight</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board will provide overall risk oversight, with a focus on the most significant risks facing our company. In addition, our board will be responsible for ensuring that appropriate crisis management and business continuity plans are in place. The management of risks to our business, and the execution of contingency plans, will be primarily the responsibility of our senior management team.</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and senior management team will regularly discuss the company’s business strategy, operations, policies, controls, prospects and current and potential risks. Our board will delegate responsibility for the oversight of specific risks special to committees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will oversee the policies that govern the process by which our exposure to risk is assessed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that role, the Audit Committee will be responsible for discussing with our management major financial risk exposures and the steps taken by management to monitor and control these exposures. The Audit Committee will also be responsible for reviewing risks arising from related party transactions involving our company and for overseeing our company-wide Code of Business Ethics and overall compliance with legal and regulatory requirements.</w:t>
      </w:r>
    </w:p>
    <w:p>
      <w:pPr>
        <w:spacing w:after="0" w:line="13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will monitor the risks associated with our compensation philosophy and programs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has a compensation structure that strikes an appropriate balance between motivating our senior executives to deliver long-term results for the company’s stockholders and simultaneously holding our senior leadership team accountable.</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Nominating, Corporate Governance and Sustainability Committee</w:t>
      </w:r>
      <w:r>
        <w:rPr>
          <w:rFonts w:ascii="Arial" w:cs="Arial" w:eastAsia="Arial" w:hAnsi="Arial"/>
          <w:sz w:val="18"/>
          <w:szCs w:val="18"/>
          <w:color w:val="auto"/>
        </w:rPr>
        <w:t>. The Nominating, Corporate Governance and Sustainability Committee will oversee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governance structure and processes.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Guidelines and Code of Business Ethics</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Our board of directors will remain committed to sound corporate governance principles and practices. The Chairman of the board will provide support on key governance matters and stockholder engagement to the board as well as providing strategic guidance to GXO’s executive management team.</w:t>
      </w:r>
    </w:p>
    <w:p>
      <w:pPr>
        <w:spacing w:after="0" w:line="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Guidelines will serve as a framework within which our board will conduct its operations. Among other things, the Guidelines will include criteria for determining the qualifications and independence of the members of our board, requirements for the standing committees of our board, responsibilities for members of our board and an annual evaluation of the effectiveness of our board and its committees. The Nominating, Corporate Governance and Sustainability Committee will be responsible for reviewing the Guidelines annually, or more frequently as appropriate, and recommending to our board appropriate changes in light of applicable laws and regulations, the governance standards identified by leading governance authorities and our company’s evolving needs.</w:t>
      </w:r>
    </w:p>
    <w:p>
      <w:pPr>
        <w:spacing w:after="0" w:line="13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Code of Business Ethics will apply to our directors and executive officers. This code will be designed to deter wrongdoing, to promote the honest and ethical conduct of all employees and to promote compliance with applicable governmental laws, rules and regulations, as well as to provide clear channels for reporting concerns. The Code of Business Ethics will constitute a “code of ethics” as defined in Item 406(b) of Regulation S-K. We intend to satisfy the disclosure requirements under applicable SEC rules relating to amendments to the Code of Business Ethics or waivers from any provision thereof applicable to our principal executive officer, our principal financial officer and our principal accounting officer by posting such information on our website pursuant to SEC rules.</w:t>
      </w:r>
    </w:p>
    <w:p>
      <w:pPr>
        <w:spacing w:after="0" w:line="138" w:lineRule="exact"/>
        <w:rPr>
          <w:sz w:val="20"/>
          <w:szCs w:val="20"/>
          <w:color w:val="auto"/>
        </w:rPr>
      </w:pPr>
    </w:p>
    <w:p>
      <w:pPr>
        <w:ind w:left="340"/>
        <w:spacing w:after="0"/>
        <w:tabs>
          <w:tab w:leader="none" w:pos="7120" w:val="left"/>
        </w:tabs>
        <w:rPr>
          <w:sz w:val="20"/>
          <w:szCs w:val="20"/>
          <w:color w:val="auto"/>
        </w:rPr>
      </w:pPr>
      <w:r>
        <w:rPr>
          <w:rFonts w:ascii="Arial" w:cs="Arial" w:eastAsia="Arial" w:hAnsi="Arial"/>
          <w:sz w:val="18"/>
          <w:szCs w:val="18"/>
          <w:color w:val="auto"/>
        </w:rPr>
        <w:t>The Guidelines and our Code of Business Ethics will be available on our website at www.[</w:t>
      </w:r>
      <w:r>
        <w:rPr>
          <w:sz w:val="20"/>
          <w:szCs w:val="20"/>
          <w:color w:val="auto"/>
        </w:rPr>
        <w:tab/>
      </w:r>
      <w:r>
        <w:rPr>
          <w:rFonts w:ascii="Arial" w:cs="Arial" w:eastAsia="Arial" w:hAnsi="Arial"/>
          <w:sz w:val="16"/>
          <w:szCs w:val="16"/>
          <w:color w:val="auto"/>
        </w:rPr>
        <w:t>].com. Copies of these documents will also be available</w:t>
      </w:r>
    </w:p>
    <w:p>
      <w:pPr>
        <w:spacing w:after="0" w:line="2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in print form at no charge by sending a request to GXO, [</w:t>
      </w:r>
      <w:r>
        <w:rPr>
          <w:sz w:val="20"/>
          <w:szCs w:val="20"/>
          <w:color w:val="auto"/>
        </w:rPr>
        <w:tab/>
      </w:r>
      <w:r>
        <w:rPr>
          <w:rFonts w:ascii="Arial" w:cs="Arial" w:eastAsia="Arial" w:hAnsi="Arial"/>
          <w:sz w:val="17"/>
          <w:szCs w:val="17"/>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Communication with the Board</w:t>
      </w:r>
    </w:p>
    <w:p>
      <w:pPr>
        <w:spacing w:after="0" w:line="171"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GXO’s Corporate Governance Guidelines will include procedures by which stockholders and other interested parties may communicate with our board of directors, any board committee, any individual director, including our Lead Independent Director and Vice Chair, or any group of directors (such as our</w:t>
      </w:r>
    </w:p>
    <w:p>
      <w:pPr>
        <w:ind w:right="100"/>
        <w:spacing w:after="0" w:line="290" w:lineRule="auto"/>
        <w:rPr>
          <w:sz w:val="20"/>
          <w:szCs w:val="20"/>
          <w:color w:val="auto"/>
        </w:rPr>
      </w:pPr>
      <w:r>
        <w:rPr>
          <w:rFonts w:ascii="Arial" w:cs="Arial" w:eastAsia="Arial" w:hAnsi="Arial"/>
          <w:sz w:val="17"/>
          <w:szCs w:val="17"/>
          <w:color w:val="auto"/>
        </w:rPr>
        <w:t>independent directors) by sending written correspondence to: board of directors c/o Secretary, GXO, [ ]. We will not forward communications to the board that qualify as spam, junk mail, mass mailings, resumes or other forms of job inquiries, surveys, business solicitations or advertisements.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GXO will have a written Related Person Transaction Approval Policy regarding the review, approval and ratification of transactions between GXO and related persons. The policy will apply to any transaction in which GXO or a GXO subsidiary is a participant, the amount involved exceeds $120,000 and a related person has a direct or indirect material interest. A related person will mean any director or executive officer of GXO, any nominee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440" w:right="359" w:bottom="1440" w:gutter="0" w:footer="0" w:header="0"/>
        </w:sectPr>
      </w:pPr>
    </w:p>
    <w:bookmarkStart w:id="437" w:name="page438"/>
    <w:bookmarkEnd w:id="437"/>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director, any stockholder known to GXO to be the beneficial owner of more than 5% of any class of GXO’s voting securities, and any immediate family member of any such person.</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Under this policy, reviews will be conducted by management to determine which transactions or relationships should be referred to the Audit Committee for consideration. The Audit Committee will then review the material facts and circumstances regarding a transaction and determine whether to approve, ratify, revise or reject a related person transaction, or to refer it to the full board or another committee of the board for consideration. GXO’s Related Person Transaction Approval Policy will operate in conjunction with other aspects of GXO’s compliance program, including its Business Conduct Policies, which will require that all directors, officers and employees have a duty to be free from the influence of any conflict of interest when they represent GXO in negotiations or make recommendations with respect to dealings with third parties, or otherwise carry out their duties with respect to GXO.</w:t>
      </w:r>
    </w:p>
    <w:p>
      <w:pPr>
        <w:spacing w:after="0" w:line="14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board is expected to consider the following types of potential related person transactions and pre-approve them under GXO’s Related Person Transaction Approval Policy as not presenting material conflicts of interest:</w:t>
      </w:r>
    </w:p>
    <w:p>
      <w:pPr>
        <w:spacing w:after="0" w:line="116" w:lineRule="exact"/>
        <w:rPr>
          <w:sz w:val="20"/>
          <w:szCs w:val="20"/>
          <w:color w:val="auto"/>
        </w:rPr>
      </w:pPr>
    </w:p>
    <w:p>
      <w:pPr>
        <w:ind w:left="660" w:right="160" w:hanging="328"/>
        <w:spacing w:after="0" w:line="342" w:lineRule="auto"/>
        <w:tabs>
          <w:tab w:leader="none" w:pos="65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employment of GXO executive officers (except employment of a GXO executive officer that is an immediate family member of another GXO executive officer, director, or nominee for director) as long as the Compensation Committee has approved the executive officers’ compensation;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director compensation that the board has approved;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transaction with another entity in which the aggregate amount involved does not exceed the greater of $1,000,000 or 2% of the other entity’s total annual revenues, if a related person’s interest arises only from:</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such person’s position as an employee or executive officer of the other entity; 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such person’s position as a director of the other entity; or</w:t>
      </w:r>
    </w:p>
    <w:p>
      <w:pPr>
        <w:spacing w:after="0" w:line="171" w:lineRule="exact"/>
        <w:rPr>
          <w:rFonts w:ascii="Arial" w:cs="Arial" w:eastAsia="Arial" w:hAnsi="Arial"/>
          <w:sz w:val="18"/>
          <w:szCs w:val="18"/>
          <w:color w:val="auto"/>
        </w:rPr>
      </w:pPr>
    </w:p>
    <w:p>
      <w:pPr>
        <w:ind w:left="980" w:right="160" w:hanging="324"/>
        <w:spacing w:after="0" w:line="277" w:lineRule="auto"/>
        <w:tabs>
          <w:tab w:leader="none" w:pos="97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ownership by such person, together with his or her immediate family members, of less than a 10% equity interest in the aggregate in the other entity (other than a partnership); or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both such position as a director and ownership as described above; or</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such person’s position as a limited partner in a partnership in which the person, together with his or her immediate family members, have an interest of less than 10%;</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charitable contributions in which a related person’s only relationship is as an employee (other than an executive officer), or a director or trustee, if the aggregate amount involved does not exceed the greater of $250,000 or 2% of the charitable organization’s total annual receipts;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transactions, such as the receipt of dividends, in which all stockholders receive proportional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transactions involving competitive bids;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transactions involving the rendering of services as a common or contract carrier, or public utility, at rates or charges fixed in conformity with law or governmental authority; and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transactions with a related person involving services as a bank depositary of funds, transfer agent, registrar, trustee under a trust indenture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1440" w:right="399" w:bottom="1440" w:gutter="0" w:footer="0" w:header="0"/>
        </w:sectPr>
      </w:pPr>
    </w:p>
    <w:bookmarkStart w:id="438" w:name="page439"/>
    <w:bookmarkEnd w:id="43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elsewhere in this information statement, XPO is separating into two publicly traded companies, XPO and GXO. GXO is currently a subsidiary of XPO and is not yet an independent company, and its compensation committee has not yet been formed. Following the separation and distribution, GXO will have its own executive officers and its own compensation committee of the GXO Board (the “GXO Compensation Committee”). As of the date of this information, the following individuals are expected to serve as executive officers of GXO in the positions set forth below effective as of the separation and distribution:</w:t>
      </w:r>
    </w:p>
    <w:p>
      <w:pPr>
        <w:spacing w:after="0" w:line="134" w:lineRule="exact"/>
        <w:rPr>
          <w:sz w:val="20"/>
          <w:szCs w:val="20"/>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Malcolm Wilson,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Baris Oran,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Maryclaire Hammond, Chief Human Resources Officer</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section discusses the compensation policies and practices that are expected to apply to the identified GXO executive officers after the separation and distribution. These policies and practices remain subject to the review and approval by the GXO Compensation Committee after the separation and distribution. This section also contains a description of certain GXO executive compensation arrangements that are expected to become effective upon the occurrence of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Philosophy and Executive Compensation Program Objectives</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XPO’s executive compensation philosophy is founded on the following core objectives, which we expect to be the core objectives of GXO’s compensation philosophy:</w:t>
      </w:r>
    </w:p>
    <w:p>
      <w:pPr>
        <w:spacing w:after="0" w:line="116" w:lineRule="exact"/>
        <w:rPr>
          <w:sz w:val="20"/>
          <w:szCs w:val="20"/>
          <w:color w:val="auto"/>
        </w:rPr>
      </w:pPr>
    </w:p>
    <w:p>
      <w:pPr>
        <w:ind w:left="660" w:hanging="328"/>
        <w:spacing w:after="0"/>
        <w:tabs>
          <w:tab w:leader="none" w:pos="6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Attract high-impact, results-oriented executives in a competitive job market who will contribute to our goal of maximizing stockholder value.</w:t>
      </w:r>
    </w:p>
    <w:p>
      <w:pPr>
        <w:spacing w:after="0" w:line="182"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Ensure that each executive receives total compensation that encourages his or her long-term retention through business and individual performance assessments, coupled with market benchmarking.</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Maintain executive focus on the company’s top priorities of profitable growth, innovation, operational excellence and customer satisfaction, as well as increased focus on ESG matters including employee safety and engagement.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Set ambitious targets that incentivize our executives to drive long-term stockholder value creation without unnecessary risk.</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by emphasizing high growth and high returns in our long-term, performance-based incentives.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Incorporate stockholder feedback into our Compensation Committee’s decision-making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Governance Framework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Policies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believe that executive equity ownership in the company mitigates a number of risks, including risks related to executive attrition and undue risk-taking. It is expected that GXO’s executive stock ownership guidelines will initially be consistent with XPO’s executive stock ownership guidelines and will therefore be expressed as a multiple of each GXO named executive officer’s annual base salary as follows:</w:t>
      </w:r>
    </w:p>
    <w:p>
      <w:pPr>
        <w:spacing w:after="0" w:line="111" w:lineRule="exact"/>
        <w:rPr>
          <w:sz w:val="20"/>
          <w:szCs w:val="20"/>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Chief Executive Officer: 6x annual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Other GXO Named Executive Officers: 3x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439" w:name="page440"/>
    <w:bookmarkEnd w:id="439"/>
    <w:p>
      <w:pPr>
        <w:spacing w:after="0" w:line="14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Compliance with GXO’s stock ownership guidelines will be determined using the aggregate count of shares of common stock held directly or indirectly by the GXO named executive officer, plus unvested restricted stock units subject solely to time-based vesting. Stock options, whether vested or unvested, and equity-based awards subject to performance-based vesting conditions, will not be counted toward meeting stock ownership guidelines until they have settled or been exercised, as applicable.</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the stock ownership guidelines are met, a named executive officer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 Policy</w:t>
      </w:r>
    </w:p>
    <w:p>
      <w:pPr>
        <w:spacing w:after="0" w:line="17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XPO’s named executive officers are subject to clawback restrictions with respect to long-term and annual short-term incentive compensation as described below. The Compensation Committee of XPO’s Board of Directors (the “</w:t>
      </w:r>
      <w:r>
        <w:rPr>
          <w:rFonts w:ascii="Arial" w:cs="Arial" w:eastAsia="Arial" w:hAnsi="Arial"/>
          <w:sz w:val="17"/>
          <w:szCs w:val="17"/>
          <w:u w:val="single" w:color="auto"/>
          <w:color w:val="auto"/>
        </w:rPr>
        <w:t>XPO Compensation Committee</w:t>
      </w:r>
      <w:r>
        <w:rPr>
          <w:rFonts w:ascii="Arial" w:cs="Arial" w:eastAsia="Arial" w:hAnsi="Arial"/>
          <w:sz w:val="17"/>
          <w:szCs w:val="17"/>
          <w:color w:val="auto"/>
        </w:rPr>
        <w:t>”) is focused on mitigating risk associated with XPO’s compensation program for XPO named executive officers and believes that clawback provisions are an important tool to achieve this. We expect that GXO will adopt a clawback policy with similar terms, which will be set forth in the GXO equity award agreements.</w:t>
      </w:r>
    </w:p>
    <w:p>
      <w:pPr>
        <w:spacing w:after="0" w:line="11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XPO named executive officer employment agreements include a clawback provision under which the XPO named executive officer may be required, upon certain triggering events, to repay all or a portion of long-term incentive compensation that was previously paid (including proceeds from previously-exercised and vested equity-based awards) and to forfeit unvested equity-based awards during the term of the employment agreements. These clawback provisions are generally triggered if any of the following conditions apply—the XPO named executive officer:</w:t>
      </w:r>
    </w:p>
    <w:p>
      <w:pPr>
        <w:spacing w:after="0" w:line="103" w:lineRule="exact"/>
        <w:rPr>
          <w:sz w:val="20"/>
          <w:szCs w:val="20"/>
          <w:color w:val="auto"/>
        </w:rPr>
      </w:pPr>
    </w:p>
    <w:p>
      <w:pPr>
        <w:ind w:left="660" w:right="20" w:hanging="328"/>
        <w:spacing w:after="0" w:line="277" w:lineRule="auto"/>
        <w:tabs>
          <w:tab w:leader="none" w:pos="65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Has engaged in fraud or other willful misconduct that contributes materially to any significant financial restatement or material loss to XPO or any of XPO’s affiliates;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Is terminated for cause, as defined in the employment agreement;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Breaches the restrictive covenants that are applicable under the employment agreement.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if an XPO named executive officer has engaged in fraud or other willful misconduct that contributes materially to any financial restatement or material loss to the company or any of its affiliates, XPO may: (i) require repayment by the XPO named executive officer of any cash bonus or annual bonus previously paid, net of any taxes paid by the XPO named executive officer on such bonus; (ii) cancel any earned but unpaid cash bonus or annual bonus; and/or (iii) adjust the XPO named executive officer’s future compensation in order to recover an appropriate amount with respect to the restated financial results or the material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Process for Determining Executive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expect that the GXO Compensation Committee will adopt a similar role to the role of the XPO Compensation Committee following the separation and distribution. The XPO Compensation Committee is responsible for approving XPO’s compensation practices and overseeing XPO’s executive compensation program in a manner consistent with XPO’s compensation philosophy. The XPO Compensation Committee is tasked with: (i) reviewing the annual and long-term performance goals for XPO Executive Officers (ii) approving awards under incentive compensation and equity-based plans; and (iii) approving all other compensation and benefits for XPO Executive Officers. The XPO Compensation Committee acts independently but works closely with the full Board of Directors of XPO and executive management in making many of its decisions. To assist it in discharging its responsibilities, the XPO Compensation Committee has retained the services of an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GXO management will adopt a similar role in determination of executive compensation to the role of XPO management following the separation and distribution. Executive management provides input to the XPO Compensation Committee, including with respect to the XPO Compensation Committee’s evaluation of executive compensation practices. The XPO Compensation Committee carefully and independently reviews the recommendations of management without members of management present and consults its independent advisor before making final determinations. XPO believes this process ensures that its executive compensation program effectively aligns with XPO’s compensation philosophy and stockholder interests.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Peer Group</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It is expected that the initial GXO peer group will be as set forth below, subject to the review and approval of the GXO Compensation Committee after the separation and distribution. This peer group reflects a group of companies with similar or adjacent business models, and that source talent from the same labor pools as GXO. In determining the peer group, the following factors were considered: (i) whether company is publicly-traded on a major U.S. stock exchange, (ii) whether company is within a reasonable size range of GXO, (iii) whether company is operating in similar or adjacent industry to logistics, and (iv) whether company has displayed a degree of peer similarity.</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Aspen Technology,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 Robinson Worldwide,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Cintas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Descartes Systems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Expeditors International of Washington,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FedEx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Iron Mountain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Pitney Bowes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Rockwell Automation,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Rollins,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Sanmina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Parcel Service, Inc.</w:t>
      </w:r>
    </w:p>
    <w:p>
      <w:pPr>
        <w:spacing w:after="0" w:line="452"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Elements</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It is expected that GXO’s executive compensation program will consist of four principal elements: (i) annual base salary, (ii) annual short-term incentive, (iii) annual long-term incentive, and (iv) employee benefits and limited executive perquisites.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Base Salary</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We expect that the GXO Compensation Committee will review annual base salaries for GXO’s executive officers each year in order to ensure alignment with current market levels. The 2021 annual base salary of each identified GXO executive officer is set forth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260" w:type="dxa"/>
            <w:vAlign w:val="bottom"/>
          </w:tcPr>
          <w:p>
            <w:pPr>
              <w:spacing w:after="0"/>
              <w:rPr>
                <w:sz w:val="16"/>
                <w:szCs w:val="16"/>
                <w:color w:val="auto"/>
              </w:rPr>
            </w:pPr>
          </w:p>
        </w:tc>
        <w:tc>
          <w:tcPr>
            <w:tcW w:w="1780" w:type="dxa"/>
            <w:vAlign w:val="bottom"/>
          </w:tcPr>
          <w:p>
            <w:pPr>
              <w:jc w:val="right"/>
              <w:ind w:right="335"/>
              <w:spacing w:after="0"/>
              <w:rPr>
                <w:sz w:val="20"/>
                <w:szCs w:val="20"/>
                <w:color w:val="auto"/>
              </w:rPr>
            </w:pPr>
            <w:r>
              <w:rPr>
                <w:rFonts w:ascii="Arial" w:cs="Arial" w:eastAsia="Arial" w:hAnsi="Arial"/>
                <w:sz w:val="14"/>
                <w:szCs w:val="14"/>
                <w:b w:val="1"/>
                <w:bCs w:val="1"/>
                <w:color w:val="auto"/>
              </w:rPr>
              <w:t>Annual Base Salary</w:t>
            </w:r>
          </w:p>
        </w:tc>
      </w:tr>
      <w:tr>
        <w:trPr>
          <w:trHeight w:val="25"/>
        </w:trPr>
        <w:tc>
          <w:tcPr>
            <w:tcW w:w="9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w:t>
            </w:r>
          </w:p>
        </w:tc>
      </w:tr>
      <w:tr>
        <w:trPr>
          <w:trHeight w:val="27"/>
        </w:trPr>
        <w:tc>
          <w:tcPr>
            <w:tcW w:w="9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Short-Term Incentive</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Each GXO named executive officer is eligible for an annual short-term incentive payment. The table below reflects the 2021 annual short-term incentive opportunity of each identified GXO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type w:val="continuous"/>
        </w:sectPr>
      </w:pPr>
    </w:p>
    <w:bookmarkStart w:id="441" w:name="page442"/>
    <w:bookmarkEnd w:id="441"/>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Target Opportunity (as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 percentage of base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Bonus</w:t>
            </w:r>
          </w:p>
        </w:tc>
      </w:tr>
      <w:tr>
        <w:trPr>
          <w:trHeight w:val="186"/>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Base 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Target Opportunity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Opportunity</w:t>
            </w:r>
          </w:p>
        </w:tc>
      </w:tr>
      <w:tr>
        <w:trPr>
          <w:trHeight w:val="26"/>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£538,200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bl>
    <w:p>
      <w:pPr>
        <w:spacing w:after="0" w:line="24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expect that, subject to review and approval by the GXO Compensation Committee, GXO will maintain a 2021 short-term incentive program that utilizes a balanced scorecard of three weighted metrics:</w:t>
      </w:r>
    </w:p>
    <w:p>
      <w:pPr>
        <w:spacing w:after="0" w:line="116" w:lineRule="exact"/>
        <w:rPr>
          <w:sz w:val="20"/>
          <w:szCs w:val="20"/>
          <w:color w:val="auto"/>
        </w:rPr>
      </w:pPr>
    </w:p>
    <w:p>
      <w:pPr>
        <w:ind w:left="660" w:hanging="328"/>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50% adjusted EBITDA;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30% Revenue;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20% Free Cash Flow, as adjusted to exclude certain items.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that for the 2021 performance year, each performance metric must equal or exceed 90% of target performance in order for each named executive officer to become eligible for a short term incentive award, assuming they remained employed on the payment date. We expect that 2021 short-term incentives would pay out at 50% of the target opportunity at a 90% target performance level with upward potential up to a maximum of 200% of the target opportunity for a 120% target performance level. The actual performance goals for each metric and the corresponding payout curve will be confirmed by the GXO Compensation Committee after the separation and distribution.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expect that GXO will maintain a long-term incentive program designed to retain key executives and to align the interests of GXO executives with the achievement of sustainable long-term growth and performance. Subject to the review and approval of the GXO Compensation Committee after the separation and distribution, we expect that annual long-term incentive grants made in 2022 in respect of the 2021 performance year will be composed of 70% performance-based restricted stock units and 30% time-based restricted stock units for key positions, including the CEO and CFO; all other executive officer positions will have awards comprised of 50% performance-based stock units and 50% restricted stock units. We expect that, subject to the review and approval of the GXO Compensation Committee after the separation and distribution, the initial performance awards granted by GXO to executive officers in 2022 will have a four-year performance period, with awards vesting at end of the performance period based on the achievement of performance goals, using the following three performance measures:</w:t>
      </w:r>
    </w:p>
    <w:p>
      <w:pPr>
        <w:spacing w:after="0" w:line="124" w:lineRule="exact"/>
        <w:rPr>
          <w:sz w:val="20"/>
          <w:szCs w:val="20"/>
          <w:color w:val="auto"/>
        </w:rPr>
      </w:pPr>
    </w:p>
    <w:p>
      <w:pPr>
        <w:ind w:left="660" w:hanging="328"/>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60% total shareholder return vs. the S&amp;P MidCap 400 Index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25% adjusted Cash Flow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15% ESG scorecard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and Limited Executive Perquisites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GXO to offer a variety of health and welfare programs to all eligible employees, including the GXO named executive officers. The GXO named executive officers will be eligible for the same health and welfare benefit programs that apply to, on the same basis as, the rest of our employees, including medical and dental care coverage, life insurance coverage and short and long-term disability, with the exception of our CEO who is entitled to the UK pension allowance described below since he does not participate in the GXO UK pension scheme.</w:t>
      </w:r>
    </w:p>
    <w:p>
      <w:pPr>
        <w:spacing w:after="0" w:line="1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expect to limit the use of perquisites as a method of compensation and provide executive officers with only those perquisites that we believe are reasonable and consistent with our compensation goal of enabling us to attract and retain superior executives for key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Forward GXO Compensation Arrangements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XPO or GXO has entered into, or expects to enter into, offer letters and service agreements with each of the identified GXO executive officers with respect to their GXO executive positions following the occurrence of the separation and distribution. These offer letters and service agreements will become effective, and to the extent applicable, GXO will assume such agreements, as of the separation and distribution. The material terms of these letters and agreements are described below.</w:t>
      </w:r>
    </w:p>
    <w:p>
      <w:pPr>
        <w:spacing w:after="0" w:line="13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connection with the separation and distribution, it is expected that GXO will adopt an executive severance plan (described below) and the 2021 Omnibus Incentive Compensation Plan (which is described in this information statement under the heading “GXO 2021 Omnibus Incentive Compensation Plan”), each of which will be effective for GXO upon the separation and distribution. Following the separation and distribution, the GXO Compensation Committee will consider and develop GXO’s compensation programs, plans, philosophy and practices, consistent with GXO’s business needs and goals.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Executive Officer</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offer letter and service agreement with Malcolm Wilson would become effective upon, and subject to the occurrence of, the separation and distribution and provides for Mr. Wilson to serve as Chief Executive Officer of GXO and to receive an annual compensation package consisting of a base salary of £468,000, a target annual bonus award of 115% of base salary, an annual equity award consisting of 30% restricted stock units and 70% performance-based restricted stock units with a total target value of $850,000 for the 2021 performance year and a pension allowance equal to 17.79% of base salary. In addition, the offer letter and service agreement provide for an XPO equity award of 120,000 stock options relating to XPO common stock that will vest in installments over the five-year period following the grant date, subject to (i) the occurrence of the separation and distribution by March 31, 2022 and (ii) Mr. Wilson’s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with GXO Chief Financial Officer</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offer letter with Baris Oran will become effective upon, and subject to the occurrence of, the separation and distribution and provides for Mr. Oran to serve as Chief Financial Officer of GXO and to receive an annual compensation package consisting of a base salary of $600,000, a target annual bonus award of 100% of base salary, and an annual equity award consisting of 30% restricted stock units and 70% performance-based restricted stock units with a total target value of $800,000 for the 2021 performance year. In addition, the offer letter provides for an XPO equity award of 100,000 stock options relating to XPO common stock that will vest in installments over the five-year period following the grant date, subject to (i) the occurrence of the separation and distribution by March 31, 2022 and (ii) Mr. Oran’s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Human Resources Officer</w:t>
      </w:r>
    </w:p>
    <w:p>
      <w:pPr>
        <w:spacing w:after="0" w:line="17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offer letter and service agreement with Maryclaire Hammond would become effective upon, and subject to the occurrence of, the separation and distribution and provides for Ms. Hammond to serve as the Chief Human Resources Officer of GXO effective as of the separation and distribution and to receive an annual compensation package consisting of a base salary of £288,000, a target annual bonus award of 50%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440" w:right="379" w:bottom="1440" w:gutter="0" w:footer="0" w:header="0"/>
        </w:sectPr>
      </w:pPr>
    </w:p>
    <w:bookmarkStart w:id="443" w:name="page444"/>
    <w:bookmarkEnd w:id="443"/>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March 31, 2022 and (ii) Ms. Hammond’s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Ms. Hammond also entered into a UK pension top-up agreement with XPO in connection with her role with GXO following the separation and distribution, which states that XPO will provide a top up to her pension account of 4% of base salary, subject to her individual contribution of at least 8% of base salary (which additional contribution will be grossed up to offset any additional tax impact).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GXO Severance Plan</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It is expected that GXO will adopt a severance plan that will become effective upon, and subject to, the occurrence of, the separation and distribution. The eligible participants under the severance plan would include the named executive officers of GXO and its other executive officers and key members of executive management.</w:t>
      </w:r>
    </w:p>
    <w:p>
      <w:pPr>
        <w:spacing w:after="0" w:line="13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at any time other than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134" w:lineRule="exact"/>
        <w:rPr>
          <w:sz w:val="20"/>
          <w:szCs w:val="20"/>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continuation of annual base salary for 18 months (for the Chief Executive Officer) or 12 months (for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 (the “Prorated Bonus”); and</w:t>
      </w:r>
    </w:p>
    <w:p>
      <w:pPr>
        <w:spacing w:after="0" w:line="171"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or who resigns for “good reason” on, or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service agreement, or other similar contractual obligations):</w:t>
      </w:r>
    </w:p>
    <w:p>
      <w:pPr>
        <w:spacing w:after="0" w:line="133" w:lineRule="exact"/>
        <w:rPr>
          <w:sz w:val="20"/>
          <w:szCs w:val="20"/>
          <w:color w:val="auto"/>
        </w:rPr>
      </w:pPr>
    </w:p>
    <w:p>
      <w:pPr>
        <w:ind w:left="660" w:right="20" w:hanging="328"/>
        <w:spacing w:after="0" w:line="277" w:lineRule="auto"/>
        <w:tabs>
          <w:tab w:leader="none" w:pos="65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Healthcare Benefit.</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severance plan provides that, in the event that the payments and benefits to a named executive officer in connection with a change in control, whether pursuant to the severance plan or otherwise, would be subject to the golden parachute excise tax imposed under Sections 280G and 4999 of the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3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Cash severance payable under the severance plan will be offset by any other severance payments to which the officer is entitled in respect of the applicable termination of employment, including pursuant to the GXO confidential information protection agreement, as applicable, which provides for payments of the GXO executive officer’s base salary for the duration of his or her post-termination non-compete period with a minimum payment of base salary for 12 months following termination if the officer is terminated without cause before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444" w:name="page445"/>
    <w:bookmarkEnd w:id="44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none of our executive officers were previously serving as executive officers of XPO in 2020, there are no executive compensation tables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1440" w:right="459" w:bottom="1440" w:gutter="0" w:footer="0" w:header="0"/>
        </w:sectPr>
      </w:pPr>
    </w:p>
    <w:bookmarkStart w:id="445" w:name="page446"/>
    <w:bookmarkEnd w:id="44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initial GXO non-employee director compensation program is designed to enable ongoing attraction and retention of highly qualified directors and to address the time, effort, expertise and accountability required of active GXO Board membership. This program is described in further detail below. Following the separation and distribution, the director compensation program will be subject to the review and approval of the GXO Board or a committee thereof.</w:t>
      </w:r>
    </w:p>
    <w:p>
      <w:pPr>
        <w:spacing w:after="0" w:line="13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Treatment of outstanding XPO equity-based compensation awards held by GXO non-employee directors in connection with the distribution is described under “The Separation and Distribution—Treatment of Equity-Based Compensation.”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GXO annual non-employee director compensation program will initially be consistent of the following: (i) an annual cash retainer of $80,000, payable quarterly in arrears; and (ii) an annual grant of time-based restricted stock units with a target value of $190,000, which will generally be granted on the first business day of the calendar year (starting with calendar year 2022) and vest on the later of the first anniversary of grant or the first business day of the following calendar year, subject to continued service on the GXO Board on the vesting date. It is expected that the number of shares of GXO common stock subject to each award will be determined by dividing $190,000 by the average of the closing prices of GXO’s common stock on the ten trading days immediately preceding the grant date.</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vice chair of the Board will receive an additional annual cash retainer of $25,000, payable quarterly in arrears. The lead independent director also will receive an additional $25,000 annual cash retainer, payable quarterly in arrears. The chairperson of each of the GXO Audit Committee, the GXO Compensation Committee and the GXO Nominating, Corporate Governance and Sustainability Committee each will receive an additional cash retainer of $25,000, $20,000 and $20,000, respectively, payable quarterly in arrears.</w:t>
      </w:r>
    </w:p>
    <w:p>
      <w:pPr>
        <w:spacing w:after="0" w:line="133"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No other fees will be paid to directors for their attendance at or participation in meetings of the GXO Board or its committees. GXO will reimburse directors for expenses incurred in the performance of their duties, including reimbursement for air travel and hotel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440" w:right="379" w:bottom="1440" w:gutter="0" w:footer="0" w:header="0"/>
        </w:sectPr>
      </w:pPr>
    </w:p>
    <w:bookmarkStart w:id="446" w:name="page447"/>
    <w:bookmarkEnd w:id="44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2021 OMNIBUS INCENTIVE COMPENSATION PLAN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material terms of the GXO Logistics, Inc. 2021 Omnibus Incentive Compensation Plan (the “Plan”) are summarized below. This summary does not contain all information about the Plan. This summary is qualified in its entirety by reference to, and should be read together with the full text of the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Plan provides for the grant of options intended to qualify as incentive stock options (“ISOs”) under Section 422 of the Code, nonqualified stock options (“NSOs”), stock appreciation rights (“SARs”), restricted share awards, restricted stock units (“RSUs”), performance awards, cash incentive awards, deferred share units and other equity-based and equity-related awards, as well as cash-based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Plan is administered by the Compensation Committee of the GXO Board or such other committee the GXO Board designates to administer the Plan (the “Committee”). Subject to the terms of the Plan and applicable law, the Committee has sole authority to administer the Plan, including, but not limited to, the authority to (i) designate plan participants, (ii) determine the type or types of awards to be granted to a participant, (iii) determine the number of shares of GXO common stock to be covered by awards, (iv) determine the terms and conditions of awards, (v)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Plan, (vii) establish, amend, suspend or waive such rules and regulations and appoint such agents as it should deem appropriate for the proper administration of the Plan, (viii) accelerate the vesting or exercisability of, payment for or lapse of restrictions on, awards, and (ix) make any other determination and take any other action that the Committee deems necessary or desirable for the administration of the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Subject to adjustment for changes in capitalization, there are [ ] shares of GXO common stock, in the aggregate, that are currently authorized for delivery pursuant to awards granted under the Plan, [ ] shares of which may be granted pursuant to ISOs. Awards that are settled in cash do not reduce the number of shares available for delivery under the Plan. If any award granted under the Plan is forfeited, or otherwise expires, terminates or is canceled without the delivery of all shares subject thereto, then the number of shares subject to such award that were not issued are not treated as issued for purposes of reducing the maximum aggregate number of shares that may be delivered pursuant to the Plan.</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Notwithstanding the foregoing, and for the avoidance of doubt, shares that were surrendered or tendered to us in payment of the exercise price of an award (including with respect to stock-settled SARs) or any taxes required to be withheld in respect of an award and awards based on the fair market value of a share that are settled other than by the delivery of shares (including cash settlement) do not become available again to be delivered pursuant to awards under the Plan or increase the number of shares that may be delivered pursuant to ISOs under the Plan. The maximum value of shares of GXO common stock that are available to be granted pursuant to awards to any non-employee director in the Plan in any fiscal year is $[●] as of the date of grant.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event of any extraordinary dividend or other extraordinary distribution, recapitalization, rights offering, stock split, reverse stock split, split-up or spin-off affecting the shares of GXO common stock, the Committee shall make equitable adjustments and other substitutions to the Plan and awards under the Plan in the manner it determined to be appropriate or desirable. In the event of any reorganization, merger, consolidation, combination, repurchase or exchange of GXO common stock or other similar corporate transactions, the Committee in its discretion is permitted to make such adjustments and other substitutions to the Plan and awards under the Plan as it deems appropriate or 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Substitute Awards</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Committee is permitted to grant awards in assumption of, or in substitution for, outstanding awards previously granted by GXO or any of its affiliates or a company that GXO acquired or with which GXO combined. Any shares issued by GXO through the assumption of or substitution for outstanding awards granted by a company that GXO acquired do not reduce the aggregate number of shares of GXO common stock available for awards under the Plan, except that awards issued in substitution for ISOs will reduce the number of shares of GXO common stock available for ISOs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shares of GXO common stock issued under the Plan consist, in whole or in part, of authorized and unissued shares or of treasury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Directors, officers, employees and consultants (including any prospective directors, officers, employees and consultants) of GXO and its affiliates are eligible to receive awards under the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Committee is permitted to grant both ISOs and NSOs under the Plan. The exercise price for stock options may not be less than the fair market value (as defined in the Plan) of GXO common stock on the grant date. The Committee may not reprice any stock option granted under the Plan without the approval of GXO stockholders. All stock options granted under the Plan are NSOs unless the applicable award agreement expressly stated that the stock option was intended to be an ISO. Subject to the provisions of the Plan (including the minimum vesting period described below) and the applicable award agreement, the Committee determines, at or after the grant of a stock option, the vesting criteria, term, methods of exercise and any other terms and conditions of any stock option. Unless otherwise set forth in the applicable award agreement, each stock option expires upon the earlier of (i) the tenth anniversary of the date the stock option was granted and (ii) three months after the participant who was holding the stock option ceased to be a director, officer, employee or consultant for GXO, or one of its affiliates. The exercise price is permitted to be paid with cash (or its equivalent) or, in the sole discretion of the Committee, with previously acquired shares of GXO common stock or through delivery of irrevocable instructions to a broker to sell GXO common stock otherwise deliverable upon the exercise of the stock option (provided that there was a public market for GXO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 stock option, was at least equal to such aggregate exercise price.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Committee is permitted to grant SARs under the Plan. The exercise price for SARs may not be less than the fair market value (as defined in the Plan) of GXO common stock on the grant date. The Committee may not reprice any SAR granted under the Plan without the approval of GXO stockholders. Upon exercise of a SAR, the holder receives cash, shares of GXO common stock, other securities, other awards, other property or a combination of any of the foregoing, as determined by the Committee, equal in value to the excess, if any, of the fair market value of a share of GXO common stock on the date of exercise of the SAR over the exercise price of the SAR. Subject to the provisions of the Plan (including the minimum vesting period described below) and the applicable award agreement, the Committee determines, at or after the grant of a SAR, the vesting criteria, term, methods of exercise, methods and form of settlement and any other terms and conditions of any SAR. Unless otherwise set forth in the applicable award agreement, each SAR expires upon the earlier of (i) the tenth anniversary of the date the SAR was granted and (ii) three months after the participant who was holding the SAR ceased to be a director, officer, employee or consultant for GXO or one of its affiliates. Under certain circumstances, the GXO Committee has the ability to substitute, without the consent of the affected participant, SARs for outstanding NSOs. No SAR granted under the Plan could be exercised more than 10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Shares and Restricted Stock Units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Subject to the provisions of the Plan, the Committee is permitted to grant restricted shares and RSUs. Restricted shares and RSUs are not permitted to be sold, assigned, transferred, pledged or otherwise encumbered except as provided in the Plan or the applicable award agreement, except that the Committee may determine that restricted shares and RSUs are permitted to be transferred by the participant for no consideration. Restricted shares may be evidenced in such manner as the Committee determines.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 RSU is granted with respect to one share of GXO common stock or has a value equal to the fair market value of one such share. Upon the lapse of restrictions applicable to an RSU, the RSU may be paid in cash, shares of GXO common stock, other securities, other awards or other property, as determined by the Committee, or in accordance with the applicable award agreement. In connection with each grant of restricted shares, except as provided in the applicable award agreement, the holder is entitled to the rights of a stockholder (including the right to vote and receive dividends) in respect of such restricted shares. The Committee is permitted to, on such terms and conditions as it might determine, provide a participant who holds RSUs with dividend equivalents, payable in cash, shares of GXO common stock, other securities, other awards or other property.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Subject to the provisions of the Plan, the Committee is permitted to grant awards under the Plan that are conditioned on the achievement of performance goals established by the Committee. In its discretion, the Committee sets performance goals that, depending on the extent to which they were met during a specified performance period, determine the number of shares of GXO common stock and/or amount of cash or other property that are paid out to the participant. The Committee, in its sole discretion, is permitted to pay earned performance awards in the form of cash, shares of GXO common stock or other property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 The Committee is permitted to, on such terms and conditions as it might determine, provide a participant who holds performance units with dividends or dividend equivalents, payable in cash, shares of GXO common stock, other securities, other awards or other property.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Subject to the provisions of the Plan, the Committee is permitted to grant cash incentive awards to participants. In its discretion, the Committee determines the number of cash incentive awards to be awarded, the duration of the period in which, and any condition under which, the cash incentive awards vest or are forfeited, and any other terms and conditions applicable to the cash incentive awards. Subject to the provisions of the Plan, the holder of a cash incentive award may receive payment based on the number and value of the cash incentive award earned, which is determined by the Committee, in its discretion, based on the extent to which performance goals or other conditions applicable to the cash incentive award have been achieved.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Subject to the provisions of the Plan, the Committee is permitted to grant to participants other equity-based or equity-related compensation awards, including vested stock, which shall be granted pursuant to the five percent limit described below under the header “Minimum Vesting Period.” The Committee is permitted to determine the amounts and terms and conditions of any such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Assumed XPO Awards</w:t>
      </w:r>
    </w:p>
    <w:p>
      <w:pPr>
        <w:spacing w:after="0" w:line="17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Notwithstanding any provisions in the Plan to the contrary, each XPO equity award that is assumed by GXO in the distribution shall be subject to the terms and conditions of the equity compensation plan and award agreement to which such equity award was subject immediately prior to the distribution, subject to the adjustment of such equity award by the Compensation Committee of XPO and the terms of the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1440" w:right="379" w:bottom="1440" w:gutter="0" w:footer="0" w:header="0"/>
        </w:sectPr>
      </w:pPr>
    </w:p>
    <w:bookmarkStart w:id="449" w:name="page450"/>
    <w:bookmarkEnd w:id="44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may clawback awards provided to eligible employees to the extent required by applicable law and as otherwise determined by the Compensation Committee and set forth in an award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Minimum Vesting Period</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Plan is subject to a designated vesting period of at least one year following the date of grant, except that up to five percent of shares available for grant under the Plan may be granted without regard to this requirement. Such minimum vesting period does not apply to equity-based compensation awards issued in connection with the adjustment of outstanding XPO equity-based compensation awards upon the distribution.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Subject to any applicable law or government regulation and to the rules of the applicable national stock exchange or quotation system on which the shares of GXO common stock may be listed or quoted, the Plan may be amended, modified or terminated by the GXO Board without the approval of GXO stockholders, except that stockholder approval is required for any amendment that (i) increases the maximum number of shares of GXO common stock available for awards under the Plan or increases the maximum number of shares of GXO common stock that could be delivered pursuant to ISOs granted under the Plan, (ii) changes the class of employees or other individuals eligible to participate in the Plan, (iii) amends or decreases the exercise price of any option or SAR, (iv) cancels or exchanges any option or SAR at a time when its exercise price exceeds the fair market value of the underlying shares,</w:t>
      </w:r>
    </w:p>
    <w:p>
      <w:pPr>
        <w:spacing w:after="0" w:line="4" w:lineRule="exact"/>
        <w:rPr>
          <w:sz w:val="20"/>
          <w:szCs w:val="20"/>
          <w:color w:val="auto"/>
        </w:rPr>
      </w:pPr>
    </w:p>
    <w:p>
      <w:pPr>
        <w:ind w:right="220" w:firstLine="8"/>
        <w:spacing w:after="0" w:line="253" w:lineRule="auto"/>
        <w:tabs>
          <w:tab w:leader="none" w:pos="25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allows repricing of any option or SAR without stockholder approval, or (vi) constitutes a material increase in the benefits to be provided to eligible employees within the meaning of the New York Stock Exchange rules as of the date hereof. Under these provisions, stockholder approval is not to be required for all possible amendments that might increase the cost of the Plan. No modification, amendment or termination of the Plan that materially and adversely impairs the rights of any participant is effective without the consent of the affected participant, unless otherwise provided by the Committee in the applicable award agreement.</w:t>
      </w:r>
    </w:p>
    <w:p>
      <w:pPr>
        <w:spacing w:after="0" w:line="13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Committee is permitted to waive any conditions or rights under, amend any terms of, or alter, suspend, discontinue, cancel or terminate any award previously granted under the Plan, the Prior Plan or the Stock Option Plan (as defined below), prospectively or retroactively. However, unless otherwise provided by the Committee in the applicable award agreement or in the Plan, any such waiver, amendment, alteration, suspension, discontinuance, cancellation or termination that materially and adversely impairs the rights of any participant to any award previously granted is not effective without the consent of the affected participant.</w:t>
      </w:r>
    </w:p>
    <w:p>
      <w:pPr>
        <w:spacing w:after="0" w:line="13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Committee is authorized to make adjustments in the terms and conditions of awards in the event of any unusual or nonrecurring corporate event (including the occurrence of a change of control of GXO) affecting GXO, any of its affiliates or the financial statements of GXO or any of its affiliates, or of changes in applicable rules, rulings, regulations or other requirements of any governmental body or securities exchange, accounting principles or law whenever the GXO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GXO Committee is permitted to provide for a cash payment to the holder of an award in consideration for the cancellation of such award.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Plan provides that, unless otherwise provided in an award agreement, in the event of a change of control of GXO, awards will be assumed and replaced by awards of equivalent value in connection with the change of control and such assumed awards will have so-called “double trigger” vesting provisions, such that the awards will vest in full and become immediately exercisable upon qualifying terminations of employment during the two-year period following the change of control. However, in the event that awards are not replaced with awards of equivalent value the vesting of the awards will generally accelerate immediately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440" w:right="359" w:bottom="1440" w:gutter="0" w:footer="0" w:header="0"/>
        </w:sectPr>
      </w:pPr>
    </w:p>
    <w:bookmarkStart w:id="450" w:name="page451"/>
    <w:bookmarkEnd w:id="450"/>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provided pursuant to an award agreement, a change of control is defined to mean any of the following events, generally:</w:t>
      </w:r>
    </w:p>
    <w:p>
      <w:pPr>
        <w:spacing w:after="0" w:line="183" w:lineRule="exact"/>
        <w:rPr>
          <w:sz w:val="20"/>
          <w:szCs w:val="20"/>
          <w:color w:val="auto"/>
        </w:rPr>
      </w:pPr>
    </w:p>
    <w:p>
      <w:pPr>
        <w:ind w:left="660" w:hanging="328"/>
        <w:spacing w:after="0" w:line="277" w:lineRule="auto"/>
        <w:tabs>
          <w:tab w:leader="none" w:pos="65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during any period, a change in the composition of a majority of the board of directors, as constituted on the first day of such period, that was not supported by a majority of the incumbent board of directors;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consummation of certain mergers or consolidations of GXO with any other corporation following which GXO stockholders hold 50% or less of the combined voting power of the surviving entity;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of GXO; or</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 acquisition by any individual, entity or group of beneficial ownership of a percentage of the combined voting power of the then outstanding voting securities entitled to vote generally in the election of directors that was equal to or greater than 30%.</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must provide that a change of control will not occur until consummation or effectiveness of a change of control of GXO, rather than upon the announcement, commencement, stockholder approval or other potential occurrence of any event or transaction that, if completed, will result in a change of control of GXO.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distribution, it is expected that the Plan will be approved by the GXO Board and by XPO as the sole shareowner of GXO. No award may be granted under the Plan more than ten years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1440" w:right="539" w:bottom="1440" w:gutter="0" w:footer="0" w:header="0"/>
        </w:sectPr>
      </w:pPr>
    </w:p>
    <w:bookmarkStart w:id="451" w:name="page452"/>
    <w:bookmarkEnd w:id="451"/>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XPO</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Following the separation and distribution, GXO and XPO will each operate separately as an independent public company. In connection with the separation, GXO will enter into a separation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w:t>
      </w:r>
    </w:p>
    <w:p>
      <w:pPr>
        <w:spacing w:after="0" w:line="14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transferred to each of GXO and XPO as part of the separation of XPO into two independent companies, and will provide for when and how these transfers and assumptions will occur. In particular, the separation agreement will provide that, among other things, subject to the terms and conditions contained therein:</w:t>
      </w:r>
    </w:p>
    <w:p>
      <w:pPr>
        <w:spacing w:after="0" w:line="95" w:lineRule="exact"/>
        <w:rPr>
          <w:sz w:val="20"/>
          <w:szCs w:val="20"/>
          <w:color w:val="auto"/>
        </w:rPr>
      </w:pPr>
    </w:p>
    <w:p>
      <w:pPr>
        <w:ind w:left="660" w:right="400" w:hanging="328"/>
        <w:spacing w:after="0" w:line="277" w:lineRule="auto"/>
        <w:tabs>
          <w:tab w:leader="none" w:pos="6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certain assets related to the GXO Businesses, which we refer to as the “GXO Assets,” will be retained by or transferred to GXO or one of its subsidiaries, including: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equity interests in certain GXO subsidiaries that hold assets of the GXO Businesses;</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GXO brands, certain other trade names and trademarks, and certain other intellectual property (including patents, know-how and trade secrets), software, information and technology allocated to GXO pursuant to the separation agreement;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facilities owned or leased by GXO;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certain contracts exclusively related to the GXO Businesses;</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with respect to certain contracts primarily but not exclusively related to the GXO Businesses, those portions of such contracts to the extent related to the GXO Businesses;</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other assets and rights expressly allocated to GXO pursuant to the terms of the separation agreement or certain other agreements entered into in connection with the separation;</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cash in an amount equal to $100 million (after giving effect to the cash true-up adjustments set forth in the separation agreement);</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permits that primarily relate to the GXO Businesses; and</w:t>
      </w:r>
    </w:p>
    <w:p>
      <w:pPr>
        <w:spacing w:after="0" w:line="171" w:lineRule="exact"/>
        <w:rPr>
          <w:rFonts w:ascii="Arial" w:cs="Arial" w:eastAsia="Arial" w:hAnsi="Arial"/>
          <w:sz w:val="18"/>
          <w:szCs w:val="18"/>
          <w:color w:val="auto"/>
        </w:rPr>
      </w:pPr>
    </w:p>
    <w:p>
      <w:pPr>
        <w:ind w:left="980" w:right="180" w:hanging="324"/>
        <w:spacing w:after="0" w:line="308" w:lineRule="auto"/>
        <w:tabs>
          <w:tab w:leader="none" w:pos="97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other assets that are included in GXO’s pro forma balance sheet, included in GXO’s Unaudited Pro Forma Condensed Combined Financial Information, which appear in the section titled “Unaudited Pro Forma Condensed Combined Financial Information”;</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certain liabilities related to the GXO Businesses or the GXO Assets, which we refer to as the “GXO Liabilities,” will be retained by or transferred to GXO;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320" w:top="1440" w:right="419" w:bottom="1440" w:gutter="0" w:footer="0" w:header="0"/>
        </w:sectPr>
      </w:pPr>
    </w:p>
    <w:bookmarkStart w:id="452" w:name="page453"/>
    <w:bookmarkEnd w:id="452"/>
    <w:p>
      <w:pPr>
        <w:spacing w:after="0" w:line="144" w:lineRule="exact"/>
        <w:rPr>
          <w:sz w:val="20"/>
          <w:szCs w:val="20"/>
          <w:color w:val="auto"/>
        </w:rPr>
      </w:pPr>
    </w:p>
    <w:p>
      <w:pPr>
        <w:ind w:left="660" w:right="180" w:hanging="328"/>
        <w:spacing w:after="0" w:line="263" w:lineRule="auto"/>
        <w:tabs>
          <w:tab w:leader="none" w:pos="6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of the assets (including cash and cash equivalents) and liabilities (including whether accrued, contingent or otherwise) other than the GXO Assets and the GXO Liabilities (such assets and liabilities, other than the GXO Assets and the GXO Liabilities, we refer to as the “XPO Assets” and “XPO Liabilities,” respectively) will be retained by or transferred to XPO.</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Except as expressly set forth in the separation agreement or any ancillary agreement, neither of GXO nor XPO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GXO or XPO,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will provide that in the event that the transfer of certain assets and liabilities (or a portion thereof) to GXO or XPO, as applicable, does not occur prior to the separation, then until such assets or liabilities (or a portion thereof) are able to be transferred, GXO or XPO, as applicable, will hold such assets on behalf and for the benefit of the transferee and will pay, perform and discharge such liabilities, for which the transferee will reimburse GXO or XPO, as applicable, for all commercially reasonable payments made in connection with the performance and discharge of such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separation agreement will also govern the rights and obligations of the parties regarding the distribution following the completion of the separation. On the distribution date, XPO will distribute to its stockholders that hold XPO common stock as of the record date for the distribution all of the issued and outstanding shares of GXO common stock on a pro rata basis. XPO will not distribute any fractional shares of GXO common stock.</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separation agreement will provide that the distribution is subject to satisfaction (or waiver by XPO in its sole and absolute discretion) of certain conditions. These conditions are described under “The Separation and Distribution—Conditions to the Distribution.” XPO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Releases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separation agreement will provide that GXO and its affiliates will release and discharge XPO and its affiliates from all liabilities assumed by GXO as part of the separation, from all acts and events occurring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453" w:name="page454"/>
    <w:bookmarkEnd w:id="453"/>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occur, and all conditions existing, on or before the distribution date relating to the GXO Businesses, except as expressly set forth in the separation agreement. XPO and its affiliates will release and discharge GXO and its affiliates from all liabilities retained by XPO and its affiliates as part of the separation, from all acts and events occurring or failing to occur, and all conditions existing, on or before the distribution date relating to the businesses conducted by XPO, except the GXO Businesses, and from all liabilities existing or arising in connection with the implementation of the separation, except as expressly set forth in the separation agreement.</w:t>
      </w:r>
    </w:p>
    <w:p>
      <w:pPr>
        <w:spacing w:after="0" w:line="134"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These releases will not extend to obligations or liabilities under any agreements between the parties that remain in effect following the separation, which agreements include the separation agreement and the other agreements described under “Certain Relationships and Related Party Transactions.”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the separation agreement, GXO will agree to indemnify, defend and hold harmless XPO, each of XPO’s controlled affiliates and each of their respective directors, officers and employees, from and against all liabilities to the extent relating to, arising out of or resulting from:</w:t>
      </w:r>
    </w:p>
    <w:p>
      <w:pPr>
        <w:spacing w:after="0" w:line="92" w:lineRule="exact"/>
        <w:rPr>
          <w:sz w:val="20"/>
          <w:szCs w:val="20"/>
          <w:color w:val="auto"/>
        </w:rPr>
      </w:pPr>
    </w:p>
    <w:p>
      <w:pPr>
        <w:ind w:left="660" w:hanging="328"/>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GXO Liabilities;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GXO’s failure or the failure of any other person to pay, perform or otherwise promptly discharge any of the GXO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except to the extent relating to an XPO Liability, any guarantee, indemnification or contribution obligation for the benefit of GXO by XPO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breach by GXO of the separation agreement or any of the ancillary agreements; and</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material fact in the Form 10 or in this information statement (as amended or supplemented), except for any such statements or omissions made explicitly in XPO’s name.</w:t>
      </w:r>
    </w:p>
    <w:p>
      <w:pPr>
        <w:spacing w:after="0" w:line="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XPO will agree to indemnify, defend and hold harmless GXO, each of GXO’s controlled affiliates and each of their respective directors, officers and employees from and against all liabilities to the extent relating to, arising out of or resulting from:</w:t>
      </w:r>
    </w:p>
    <w:p>
      <w:pPr>
        <w:spacing w:after="0" w:line="116" w:lineRule="exact"/>
        <w:rPr>
          <w:sz w:val="20"/>
          <w:szCs w:val="20"/>
          <w:color w:val="auto"/>
        </w:rPr>
      </w:pPr>
    </w:p>
    <w:p>
      <w:pPr>
        <w:ind w:left="660" w:hanging="328"/>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XPO Liabilities;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failure of XPO or any other person to pay, perform or otherwise promptly discharge any of the XPO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except to the extent relating to a GXO Liability, any guarantee, indemnification or contribution obligation for the benefit of XPO by GXO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breach by XPO of the separation agreement or any of the ancillary agreements;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made explicitly in XPO’s name in the Form 10 or in this information statement (as amended or supplemented).</w:t>
      </w:r>
    </w:p>
    <w:p>
      <w:pPr>
        <w:spacing w:after="0" w:line="116" w:lineRule="exact"/>
        <w:rPr>
          <w:sz w:val="20"/>
          <w:szCs w:val="20"/>
          <w:color w:val="auto"/>
        </w:rPr>
      </w:pPr>
    </w:p>
    <w:p>
      <w:pPr>
        <w:ind w:left="340" w:right="1820"/>
        <w:spacing w:after="0" w:line="438" w:lineRule="auto"/>
        <w:rPr>
          <w:sz w:val="20"/>
          <w:szCs w:val="20"/>
          <w:color w:val="auto"/>
        </w:rPr>
      </w:pPr>
      <w:r>
        <w:rPr>
          <w:rFonts w:ascii="Arial" w:cs="Arial" w:eastAsia="Arial" w:hAnsi="Arial"/>
          <w:sz w:val="18"/>
          <w:szCs w:val="18"/>
          <w:color w:val="auto"/>
        </w:rPr>
        <w:t xml:space="preserve">The separation agreement will also establish procedures with respect to claims subject to indemnification and related matters. Indemnification with respect to taxes, and the procedures related thereto, will be governed by the tax matters agreement. </w:t>
      </w:r>
      <w:r>
        <w:rPr>
          <w:rFonts w:ascii="Arial" w:cs="Arial" w:eastAsia="Arial" w:hAnsi="Arial"/>
          <w:sz w:val="18"/>
          <w:szCs w:val="18"/>
          <w:b w:val="1"/>
          <w:bCs w:val="1"/>
          <w:i w:val="1"/>
          <w:iCs w:val="1"/>
          <w:color w:val="auto"/>
        </w:rPr>
        <w:t>Non-Compete</w:t>
      </w:r>
    </w:p>
    <w:p>
      <w:pPr>
        <w:spacing w:after="0" w:line="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separation agreement will contain a covenant not to compete, prohibiting, subject to certain customary exceptions, (1) GXO and its subsidiaries from engaging in the XPO retained businesses and (2) XPO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1440" w:right="399" w:bottom="1440" w:gutter="0" w:footer="0" w:header="0"/>
        </w:sectPr>
      </w:pPr>
    </w:p>
    <w:bookmarkStart w:id="454" w:name="page455"/>
    <w:bookmarkEnd w:id="45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subsidiaries from engaging in the GXO Businesses, in each case for a period of two years following the distribution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claims covered by XPO’s insurance prior to the distribution and set forth procedures for the administration of insured claims and related matters.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GXO and XPO will agree in the separation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GXO and XPO related to the separation or distribution and that are unable to be resolved through good faith discussions between GXO and XPO.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binding alternative dispute resolution, subject to the provisions of the separation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expressly set forth in the separation agreement or in any ancillary agreement, XPO will be responsible for all costs and expenses incurred in connection with the separation incurred prior to the distribution date, including costs and expenses relating to legal and tax counsel, financial advisors and accounting advisory work related to the separation. Except as expressly set forth in the separation agreement or in any ancillary agreement, or as otherwise agreed in writing by GXO and XPO, all costs and expenses incurred in connection with the separation after the distribution will be paid by the party incurring such cost and expense.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separation agreement will provide that it may be terminated, and the separation and distribution may be modified or abandoned, at any time prior to the distribution date in the sole and absolute discretion of the XPO board of directors without the approval of any person, including GXO or XPO stockholders. In the event of a termination of the separation agreement, no party, nor any of its directors, officers or employees, will have any liability of any kind to the other parties or any other person. After the distribution date, the separation agreement may not be amended or terminated, except by an agreement in writing signed by both GXO and XPO.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GXO and XPO will enter into a transition services agreement in connection with the separation pursuant to which GXO and XPO and their respective affiliates will provide each other, on an interim, transitional basis, various services, such as, treasury administration, employee benefits administration, information technology services, regulatory services, general administrative services and other support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455" w:name="page456"/>
    <w:bookmarkEnd w:id="455"/>
    <w:p>
      <w:pPr>
        <w:spacing w:after="0" w:line="144"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services generally will commence on the distribution date and terminate no later than [ ] months following the distribution date. The receiving party may terminate any services by giving prior written notice to the provider of such services and paying any applicable wind-down charges.</w:t>
      </w:r>
    </w:p>
    <w:p>
      <w:pPr>
        <w:spacing w:after="0" w:line="70"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separation, GXO and XPO will enter into a tax matters agreement that will govern the parties’ respective rights, responsibilities and obligations with respect to taxes (including responsibility for taxes, entitlement to refunds, allocation of tax attributes, preparation of tax returns, control of tax contests and other tax matters).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tax matters agreement, XPO generally will be responsible for all U.S. federal income taxes imposed on the XPO consolidated tax return group and state and foreign income, franchise, capital gain, withholding and similar taxes imposed on a consolidated, combined or unitary tax return group (or similar tax group under non-U.S. law) that includes XPO or one of its subsidiaries with respect to taxable periods (or portions thereof) that end on or prior to the distribution date, except (i) special rules will apply with respect to certain taxes imposed in connection with the internal reorganization or the separation and distribution, and (ii) GXO will be responsible for (x) taxes resulting from any breach of certain covenants made by GXO in the tax matters agreement or other separation-related agreements and (y) certain other taxes attributable to GXO’s business. GXO generally will be responsible for all federal, state, or foreign income, franchise, capital gain, withholding or similar taxes imposed on a separate return basis on GXO (or any of its subsidiaries or any subgroup consisting solely of GXO and its subsidiaries), as applicable, with respect to taxable periods (or portions thereof) that end on or prior to the date of the relevant distribution, except (i) special rules will apply with respect to certain taxes imposed in connection with the internal reorganization or the separation and distribution and (ii) XPO will be responsible for taxes resulting from any breach of any covenant made by XPO in the tax matters agreement or other separation-related agreements.</w:t>
      </w:r>
    </w:p>
    <w:p>
      <w:pPr>
        <w:spacing w:after="0" w:line="12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tax matters agreement will provide special rules that allocate tax liabilities in the event either (i) the distribution, together with certain related transactions, fails to qualify as a transaction that is generally tax-free for U.S. federal income tax purposes under Sections 355 and 368(a)(1)(D) of the Code or (ii) any internal separation transaction that is intended to qualify as a transaction that is generally tax-free fails to so qualify. Under the tax matters agreement, each party will be responsible for any taxes and related amounts imposed on XPO or GXO as a result of the failure to so qualify, to the extent that the failure to so qualify is attributable to actions, events or transactions relating to such party’s respective stock, assets or business, or a breach of the relevant covenants made by that party in the tax matters agreement. Further, under the tax matters agreement, each of XPO and GXO would be responsible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separation transaction that is intended to qualify as a transaction that is generally tax-free to so qualify, in each case, to the extent such amounts did not result from a disqualifying action by, or acquisition of equity securities of, XPO or GXO.</w:t>
      </w:r>
    </w:p>
    <w:p>
      <w:pPr>
        <w:spacing w:after="0" w:line="13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the tax matters agreement will impose certain restrictions on GXO and its subsidiaries during the two-year period following the distribution that will be intended to prevent the distribution, together with certain related transactions, from failing to qualify as a transaction that is generally tax-free for U.S. federal income tax purposes under Sections 355 and 368(a)(1)(D) of the Code. Specifically, during such period, except in specific circumstances, GXO and its subsidiaries will be prohibited from: (i) ceasing to conduct certain businesses; (ii) entering into certain transactions or series of transactions pursuant to which all or a portion of the shares of GXO common stock would be acquired or all or a portion of certain assets of GXO and its subsidiaries would be acquired; (iii) liquidating, merging or consolidating with any other person; (iv) issuing equity securities beyond certain thresholds; (v) repurchasing GXO stock other than in certain open-market transactions or (vi) taking or failing to take any other action that would cause the distribution, together with certain related transactions, to fail to qualify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 transaction that is generally tax-free for U.S. federal income tax purposes under Sections 355 and 368(a)(1)(D) of the Code.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7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GXO and XPO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non-employee directors of each company.</w:t>
      </w:r>
    </w:p>
    <w:p>
      <w:pPr>
        <w:spacing w:after="0" w:line="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employees of such party and its subsidiaries and former employees of such party’s business for purposes of post-separation compensation and benefit matters. The employee matters agreement will also provide, subject to customary exceptions, that neither XPO nor GXO nor their respective subsidiaries will solicit for employment or hire any individual who is a salaried employee of the other party or its subsidiaries for a period of two years following the distribution date.</w:t>
      </w:r>
    </w:p>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XPO prior to the separation. See “The Separation and Distribution—Treatment of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GXO and XPO will enter into an intellectual property license agreement in connection with the separation to facilitate and provide for an orderly transition in connection with the transaction. Under the intellectual property license agreement, each of GXO and XPO will be the owner of a copy of the XPO Smart Software for use in its business. The intellectual property license agreement will also provide GXO a non-exclusive license to certain XPO software platforms for use in the operation of the GXO Businesses, and XPO will retain a non-exclusive license to certain GXO software platforms for use in the operation of XPO’s retained businesses. Further, the intellectual property license agreement will also provide the parties with reciprocal, non-exclusive licenses under certain intellectual property rights transferred to GXO and certain intellectual property rights retained by XPO in order to provide the parties freedom to operate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320" w:top="1440" w:right="419" w:bottom="1440" w:gutter="0" w:footer="0" w:header="0"/>
        </w:sectPr>
      </w:pPr>
    </w:p>
    <w:bookmarkStart w:id="457" w:name="page458"/>
    <w:bookmarkEnd w:id="45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is a discussion of material U.S. federal income tax consequences of the distribution to “U.S. holders” (as defined below) of XPO common stock. This discussion is based on the Code,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applies only to U.S. holders (as defined below) of shares of XPO common stock who hold such shares as a capital asset within the meaning of Section 1221 of the Code (generally, property held for investment). This discussion is based upon the assumption that the separation and the distribution, together with certain related transactions, were or will be consummated in accordance with the separation agreement and the other agreements related to the separation and as described in this information statement. Holders of XPO common stock that are not U.S. holders should consult their own tax advisors as to the tax consequences of the distribution.</w:t>
      </w:r>
    </w:p>
    <w:p>
      <w:pPr>
        <w:spacing w:after="0" w:line="134"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This discussion does not address all aspects of U.S. federal income taxation that may be relevant to particular holders of XPO common stock in light of their particular circumstances nor does it address tax consequences applicable to holders that are or may be subject to special treatment under the U.S. federal income tax laws (such as, for example, insurance companies, tax</w:t>
      </w:r>
      <w:r>
        <w:rPr>
          <w:rFonts w:ascii="MS PGothic" w:cs="MS PGothic" w:eastAsia="MS PGothic" w:hAnsi="MS PGothic"/>
          <w:sz w:val="16"/>
          <w:szCs w:val="16"/>
          <w:color w:val="auto"/>
        </w:rPr>
        <w:t>‑</w:t>
      </w:r>
      <w:r>
        <w:rPr>
          <w:rFonts w:ascii="Arial" w:cs="Arial" w:eastAsia="Arial" w:hAnsi="Arial"/>
          <w:sz w:val="16"/>
          <w:szCs w:val="16"/>
          <w:color w:val="auto"/>
        </w:rPr>
        <w:t>exempt organizations, financial institutions, mutual funds, certain former U.S. citizens or long</w:t>
      </w:r>
      <w:r>
        <w:rPr>
          <w:rFonts w:ascii="MS PGothic" w:cs="MS PGothic" w:eastAsia="MS PGothic" w:hAnsi="MS PGothic"/>
          <w:sz w:val="16"/>
          <w:szCs w:val="16"/>
          <w:color w:val="auto"/>
        </w:rPr>
        <w:t>‑</w:t>
      </w:r>
      <w:r>
        <w:rPr>
          <w:rFonts w:ascii="Arial" w:cs="Arial" w:eastAsia="Arial" w:hAnsi="Arial"/>
          <w:sz w:val="16"/>
          <w:szCs w:val="16"/>
          <w:color w:val="auto"/>
        </w:rPr>
        <w:t>term residents of the United States, broker</w:t>
      </w:r>
      <w:r>
        <w:rPr>
          <w:rFonts w:ascii="MS PGothic" w:cs="MS PGothic" w:eastAsia="MS PGothic" w:hAnsi="MS PGothic"/>
          <w:sz w:val="16"/>
          <w:szCs w:val="16"/>
          <w:color w:val="auto"/>
        </w:rPr>
        <w:t>‑</w:t>
      </w:r>
      <w:r>
        <w:rPr>
          <w:rFonts w:ascii="Arial" w:cs="Arial" w:eastAsia="Arial" w:hAnsi="Arial"/>
          <w:sz w:val="16"/>
          <w:szCs w:val="16"/>
          <w:color w:val="auto"/>
        </w:rPr>
        <w:t>dealers, partnerships (or entities or arrangements treated as partnerships for U.S. federal income tax purposes), or other pass</w:t>
      </w:r>
      <w:r>
        <w:rPr>
          <w:rFonts w:ascii="MS PGothic" w:cs="MS PGothic" w:eastAsia="MS PGothic" w:hAnsi="MS PGothic"/>
          <w:sz w:val="16"/>
          <w:szCs w:val="16"/>
          <w:color w:val="auto"/>
        </w:rPr>
        <w:t>‑</w:t>
      </w:r>
      <w:r>
        <w:rPr>
          <w:rFonts w:ascii="Arial" w:cs="Arial" w:eastAsia="Arial" w:hAnsi="Arial"/>
          <w:sz w:val="16"/>
          <w:szCs w:val="16"/>
          <w:color w:val="auto"/>
        </w:rPr>
        <w:t>through entities or owners thereof, traders in securities who elect a mark</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method of accounting, holders who hold their XPO common stock as part of a “hedge,” “straddle,” “conversion,” “synthetic security,” “integrated investment” or “constructive sale transaction,” holders who acquired XPO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consequences under state, local, or foreign laws or U.S. federal laws other than those pertaining to the U.S. federal income tax. This discussion does not address the tax consequences to any person who actually or constructively owns 5% or more of XPO common stock.</w:t>
      </w:r>
    </w:p>
    <w:p>
      <w:pPr>
        <w:spacing w:after="0" w:line="15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XPO common stock, the tax treatment of a partner in such partnership will generally depend upon the status of the partner and the activities of the partnership. Holders of XPO common stock that are partnerships and partners in such partnerships should consult their own tax advisors as to the tax consequences of the distribution.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a “U.S. holder” is a beneficial owner of XPO common stock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DISTRIBUTION UNDER CURRENT LAW AND IS FOR GENERAL INFORMATION ONLY. ALL HOLDERS SHOULD CONSULT THEIR OWN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HEREIN.</w:t>
      </w:r>
    </w:p>
    <w:p>
      <w:pPr>
        <w:spacing w:after="0" w:line="1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GXO and XPO (including those relating to the past and future conduct of GXO and XPO). If any of these facts, assumptions, representations, statements or undertakings is, or becomes, inaccurate or incomplete, or if GXO or XPO breaches any of its respective representations or covenants contained in the separation agreement and certain other separation-related agreements and documents or in any documents relating to the opinion of counsel, such opinion of counsel may be invalid and the conclusions reached therein could be jeopardized.</w:t>
      </w:r>
    </w:p>
    <w:p>
      <w:pPr>
        <w:spacing w:after="0" w:line="11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Notwithstanding receipt by XPO of the opinion of counsel, the IRS could determine that the distribution and/or certain related transactions should be treated as taxable transactions for U.S. federal income tax purposes if it determines that any of the facts, representations, assumptions, statements or undertakings upon which the opinion of counsel was based is false or has been violated, or that the distribution and/or certain related transactions should be taxable for other reasons, including as a result of certain transactions occurring after the distribution. In addition, an opinion of counsel represents the judgment of such counsel and is not binding on the IRS or any court and the IRS or a court may disagree with the conclusions in the opinion of counsel. Accordingly, notwithstanding receipt by XPO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XPO, GXO and XPO stockholders could be subject to significant U.S. federal income tax liability or tax indemnification obligations. Please refer to “—Material U.S. Federal Income Tax Consequences if the Distribution Is Taxable” below.</w:t>
      </w:r>
    </w:p>
    <w:p>
      <w:pPr>
        <w:spacing w:after="0" w:line="1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if the Distribution, Together with Certain Related Transactions, Qualifies as a Transaction That is Generally Tax-Free under Sections 355 and 368(a)(1)(D) of the Code.</w:t>
      </w:r>
    </w:p>
    <w:p>
      <w:pPr>
        <w:spacing w:after="0" w:line="11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If the distribution, together with certain related transactions, qualifies as a transaction that is generally tax-free for U.S. federal income tax purposes under Sections 355 and 368(a)(1)(D) of the Code, the U.S. federal income tax consequences of the distribution generally are as follows:</w:t>
      </w:r>
    </w:p>
    <w:p>
      <w:pPr>
        <w:spacing w:after="0" w:line="92" w:lineRule="exact"/>
        <w:rPr>
          <w:sz w:val="20"/>
          <w:szCs w:val="20"/>
          <w:color w:val="auto"/>
        </w:rPr>
      </w:pPr>
    </w:p>
    <w:p>
      <w:pPr>
        <w:ind w:left="660" w:right="280" w:hanging="328"/>
        <w:spacing w:after="0" w:line="257" w:lineRule="auto"/>
        <w:tabs>
          <w:tab w:leader="none" w:pos="65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XPO as a result of the distribution, other than gain or income arising in connection with certain internal restructurings undertaken in connection with the separation and distribution (including with respect to any portion of the borrowing proceeds transferred to XPO from GXO that is not used for qualifying purposes) with respect to any “excess loss account” or “intercompany transaction” required to be taken into account by XPO under Treasury Regulations relating to consolidated U.S. federal income tax returns;</w:t>
      </w:r>
    </w:p>
    <w:p>
      <w:pPr>
        <w:spacing w:after="0" w:line="13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U.S. holders of XPO common stock upon the receipt of GXO common stock in the distribution;</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aggregate tax basis in the XPO common stock and the GXO common stock received in the distribution in the hands of each U.S. holder of XPO common stock immediately after the distribution will equal the aggregate basis of XPO common stock held by such U.S. holder immediately before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440" w:right="359" w:bottom="1440" w:gutter="0" w:footer="0" w:header="0"/>
        </w:sectPr>
      </w:pPr>
    </w:p>
    <w:bookmarkStart w:id="459" w:name="page460"/>
    <w:bookmarkEnd w:id="459"/>
    <w:p>
      <w:pPr>
        <w:spacing w:after="0" w:line="14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allocated between the XPO common stock and the GXO common stock in proportion to the relative fair market value of each on the date of the distribution; and</w:t>
      </w:r>
    </w:p>
    <w:p>
      <w:pPr>
        <w:spacing w:after="0" w:line="116" w:lineRule="exact"/>
        <w:rPr>
          <w:sz w:val="20"/>
          <w:szCs w:val="20"/>
          <w:color w:val="auto"/>
        </w:rPr>
      </w:pPr>
    </w:p>
    <w:p>
      <w:pPr>
        <w:ind w:left="660" w:right="520" w:hanging="328"/>
        <w:spacing w:after="0" w:line="308" w:lineRule="auto"/>
        <w:tabs>
          <w:tab w:leader="none" w:pos="65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holding period of GXO common stock received by each U.S. holder of XPO common stock in the distribution will generally include the holding period at the time of the distribution for the XPO common stock with respect to which the distribution is made.</w:t>
      </w:r>
    </w:p>
    <w:p>
      <w:pPr>
        <w:spacing w:after="0" w:line="9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If a U.S. holder of XPO common stock holds different blocks of XPO common stock (generally shares of XPO common stock acquired on different dates or at different prices), such holder should consult its own tax advisor regarding the determination of the basis and holding period of shares of GXO common stock received in the distribution in respect of particular blocks of XPO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Consequences if the Distribution Is Taxable.</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discussed above, notwithstanding receipt by XPO of an opinion of counsel, the IRS could assert that the distribution does not qualify for tax-free treatment for U.S. federal income tax purposes. If the IRS were successful in taking this position, some or all of the consequences described above would not apply, and XPO, GXO and XPO stockholders could be subject to significant U.S. federal income tax liability. In addition, certain events that may or may not be within the control of XPO or GXO could cause the distribution and certain related transactions not to qualify for tax-free treatment for U.S. federal income tax purposes.</w:t>
      </w:r>
    </w:p>
    <w:p>
      <w:pPr>
        <w:spacing w:after="0" w:line="13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distribution, together with certain related transactions, were to fail to qualify as a transaction that is generally tax-free for U.S. federal income tax purposes under Section 355 and 368(a)(1)(D) of the Code, in general, for U.S. federal income tax purposes, XPO would recognize taxable gain as if it had sold the GXO common stock in a taxable sale for its fair market value (unless XPO and GXO jointly make an election under Section 336(e) of the Code with respect to the distribution, in which case, in general, (i) the XPO group would recognize taxable gain as if GXO had sold all of its assets in a taxable sale in exchange for an amount equal to the fair market value of the GXO common stock and the assumption of all GXO’s liabilities and (ii) GXO would obtain a related step up in the basis of its assets), and XPO stockholders who receive shares of GXO common stock in the distribution would be subject to tax as if they had received a taxable distribution equal to the fair market value of such shares.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the distribution, together with certain related transactions, were otherwise to qualify as a tax-free transaction under Sections 355(a) and 368(a)</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(1)(D) of the Code, the distribution may result in taxable gain to XPO (but not its shareholders) under Section 355(e) of the Code if the distribution, together with certain related transactions, were deemed to be part of a plan (or series of related transactions) pursuant to which one or more persons acquire, directly or indirectly, shares representing a 50% or greater interest (by vote or value) in XPO or GXO. For this purpose, any acquisitions of XPO or GXO shares within the period beginning two years before, and ending two years after, the distribution are presumed to be part of such a plan, although XPO or GXO may be able to rebut that presumption (including by qualifying for one or more safe harbors under applicable Treasury Regulations).</w:t>
      </w:r>
    </w:p>
    <w:p>
      <w:pPr>
        <w:spacing w:after="0" w:line="1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connection with the distribution, GXO and XPO will enter into a tax matters agreement that, among other things, will allocate between GXO and XPO the responsibility for tax liabilities incurred by them as a result of the failure of the distribution, together with certain related transactions, to qualify for tax-free treatment. For a discussion of the tax matters agreement, see “Certain Relationships and Related Person Transactions—Tax Matters Agreement.”</w:t>
      </w:r>
    </w:p>
    <w:p>
      <w:pPr>
        <w:spacing w:after="0" w:line="129" w:lineRule="exact"/>
        <w:rPr>
          <w:sz w:val="20"/>
          <w:szCs w:val="20"/>
          <w:color w:val="auto"/>
        </w:rPr>
      </w:pPr>
    </w:p>
    <w:p>
      <w:pPr>
        <w:ind w:right="100" w:firstLine="324"/>
        <w:spacing w:after="0" w:line="220" w:lineRule="exact"/>
        <w:rPr>
          <w:sz w:val="20"/>
          <w:szCs w:val="20"/>
          <w:color w:val="auto"/>
        </w:rPr>
      </w:pPr>
      <w:r>
        <w:rPr>
          <w:rFonts w:ascii="Arial" w:cs="Arial" w:eastAsia="Arial" w:hAnsi="Arial"/>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XPO COMMON STOCK SHOULD CONSULT THEIR OWN TAX ADVISORS AS TO THE PARTICULAR TAX CONSEQUENCES TO THEM OF THE DISTRIBUTION, INCLUDING THE APPLICATION AND EFFECT OF U.S. FEDERAL, STATE, LOCAL,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i w:val="1"/>
          <w:iCs w:val="1"/>
          <w:color w:val="auto"/>
        </w:rPr>
        <w:t>The material agreements described below are filed as exhibits to the registration statement on Form 10 of which this information statement is a part. The summaries set forth below of each such agreement are qualified in their entirety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July 2021, GXO Logistics, Inc. issued $800 million in aggregate principal amount of notes, consisting of $400 million in aggregate principal amount of notes due 2026 (the “2026 notes”) and $400 million in aggregate principal amount of notes due 2031 (the “2031 notes”, and together with the 2026 notes, the “notes”). The notes were issued pursuant to an indenture dated as of July 2, 2021 (the “Base Indenture”) as supplemented by the First Supplemental Indenture dated as of July 2, 2021 (the “Supplemental Indenture”, and the Base Indenture as amended or supplemented by the Supplemental Indenture, the “Indenture”), in each case between GXO Logistics, Inc. and Wells Fargo Bank, National Association, as trustee (the “Trustee”).</w:t>
      </w:r>
    </w:p>
    <w:p>
      <w:pPr>
        <w:spacing w:after="0" w:line="10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notes were offered in the United States only to qualified institutional buyers in reliance on Rule 144A under the Securities Act of 1933, as amended (the “Securities Act”), and, outside the United States, only to non-U.S. investors pursuant to Regulation S under the Securities Act. The offering of the notes has not been registered under the Securities Act or any state securities laws and the notes may not be offered or sold in the United States absent an effective registration statement or an applicable exemption from registration requirements or in a transaction not subject to the registration requirements of the Securities Act or any state securities laws.</w:t>
      </w:r>
    </w:p>
    <w:p>
      <w:pPr>
        <w:spacing w:after="0" w:line="13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2026 notes will accrue interest at a rate of 1.65% per year, payable semi-annually in cash in arrears on January 15 and July 15 of each year, beginning on January 15, 2022. The 2026 notes will mature on July 15, 2026, unless earlier repurchased or redeemed, if applicable. The 2031 notes will accrue interest at a rate of 2.65% per year, payable semi-annually in cash in arrears on January 15 and July 15 of each year, beginning on January 15, 2022. The 2031 notes will mature on July 15, 2031, unless earlier repurchased or redeemed, if applicable.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GXO Logistics, Inc. may redeem some or all of the notes of each series at the applicable redemption price, as described in the Supplemental Indenture.</w:t>
      </w:r>
    </w:p>
    <w:p>
      <w:pPr>
        <w:spacing w:after="0" w:line="19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Indenture contains customary events of default with respect to the notes, including failure to make required payments, failure to comply with certain agreements or covenants and certain events of bankruptcy and insolvency.</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net proceeds from the notes were placed in an escrow account to be released, subject to the satisfaction of certain terms and conditions, prior to the distribution. GXO Logistics, Inc. expects to use the net proceeds from the offering of the notes (i) to transfer approximately $[_____] million of the net</w:t>
      </w:r>
    </w:p>
    <w:p>
      <w:pPr>
        <w:jc w:val="both"/>
        <w:ind w:right="80"/>
        <w:spacing w:after="0" w:line="255" w:lineRule="auto"/>
        <w:rPr>
          <w:sz w:val="20"/>
          <w:szCs w:val="20"/>
          <w:color w:val="auto"/>
        </w:rPr>
      </w:pPr>
      <w:r>
        <w:rPr>
          <w:rFonts w:ascii="Arial" w:cs="Arial" w:eastAsia="Arial" w:hAnsi="Arial"/>
          <w:sz w:val="18"/>
          <w:szCs w:val="18"/>
          <w:color w:val="auto"/>
        </w:rPr>
        <w:t>proceeds of the notes to XPO Logistics, Inc., which net proceeds XPO Logistics, Inc. intends to use to repay existing indebtedness, (ii) to provide working capital to GXO and/or (iii) to pay fees, costs and expenses incurred in connection with the separation, distribution, such financing transactions and related transactions.</w:t>
      </w:r>
    </w:p>
    <w:p>
      <w:pPr>
        <w:spacing w:after="0" w:line="13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connection with the issuance of the notes, GXO Logistics, Inc. entered into a registration rights agreement, pursuant to which GXO Logistics, Inc. agreed, for the benefit of the holders of the notes, to use commercially reasonable efforts to (i) file a registration statement on an appropriate registration form with respect to a registered offer to exchange each series of notes for new notes with terms substantially identical in all material respects to such series of notes (except that the exchange notes will not contain terms with respect to transfer restrictions or any increase in annual interest rate) and (ii) cause the registration statement to be declared effective under the Securities Act within 360 days of the issue date of the notes.</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foregoing description and the other information in this information statement regarding the notes is included in this information statement solely for informational purposes. Nothing in this information statement should be construed as an offer to sell, or the solicitation of an offer to buy, any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461" w:name="page462"/>
    <w:bookmarkEnd w:id="46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June 2021, GXO Logistics, Inc. entered a Revolving Credit Agreement with the lenders and other parties from time to time party thereto and Citibank, N.A., as administrative agent and an issuing lender (the “Revolving Credit Agreement”).</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Revolving Credit Agreement is a five-year unsecured, multicurrency revolving facility. Initially, the aggregate commitment of all lenders under the Revolving Credit Agreement will be equal to $800 million, of which $60 million will be available for the issuance of letters of credit. The initial availability of revolving loans and letters of credit under the Revolving Credit Agreement is subject to the satisfaction (or waiver) of certain conditions set forth therein, including the consummation of the distribution (such date of initial availability, the “Closing Date”).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following the Closing Date, GXO Logistics, Inc. may, subject to certain conditions set forth in the Revolving Credit Agreement, borrow, repay and reborrow revolving loans at any time prior to the fifth anniversary of the Closing Date. Revolving loans and letters of credit initially will be available, at the option of GXO Logistics, Inc., in U.S. dollars, Canadian dollars or Euros.</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Loans under the Revolving Credit Agreement will bear interest at a fluctuating rate per annum equal to (i) with respect to borrowings in Dollars, at GXO Logistics, Inc.’s option the alternate base rate or the reserve adjusted LIBOR rate, (ii) with respect to borrowings in Canadian Dollars, the reserve adjusted CDOR rate and (iii) with respect to borrowings in Euros, the reserve adjusted EURIBOR rate, in each case, plus an applicable margin calculated based on GXO Logistics, Inc.’s credit ratings.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Revolving Credit Agreement contains representations and warranties, affirmative and negative covenants and events of default customary for unsecured financings of this type, including negative covenants that, among other things, after the distribution, limit the ability of GXO Logistics, Inc. and its subsidiaries to incur liens, limit the ability of GXO Logistics, Inc. to make certain fundamental changes and limit the ability of certain of its subsidiaries to incur indebtedness, in each case subject to a number of important exceptions and qualifications. In addition, the Revolving Credit Agreement requires, after the distribution, GXO Logistics, Inc. to maintain a maximum consolidated leverage ratio.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March 31, 2021, pro forma for the separation and distribution, GXO Logistics, Inc. and its subsidiaries had finance lease liabilities of $163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320" w:top="1440" w:right="399" w:bottom="1440" w:gutter="0" w:footer="0" w:header="0"/>
        </w:sectPr>
      </w:pPr>
    </w:p>
    <w:bookmarkStart w:id="462" w:name="page463"/>
    <w:bookmarkEnd w:id="462"/>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Before the separation and distribution, all of the outstanding shares of GXO common stock will be owned beneficially and of record by XPO.</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Following the separation and distribution, GXO expects to have outstanding an aggregate of approximately [ ] shares of common stock based upon approximately [ ] shares of XPO common stock issued and outstanding on [ ], 2021, excluding treasury shares, assuming no exercise of XPO options and applying the distribution ratio.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all holders known to GXO that are expected to be beneficial owners of more than 5% of the outstanding shares of GXO</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common stock immediately following the completion of the distribution, based on information available as of [ ], 2021 and based upon the assumption that, for every share of XPO common stock held by such persons, they will receive one share of GXO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760"/>
              <w:spacing w:after="0"/>
              <w:rPr>
                <w:sz w:val="20"/>
                <w:szCs w:val="20"/>
                <w:color w:val="auto"/>
              </w:rPr>
            </w:pPr>
            <w:r>
              <w:rPr>
                <w:rFonts w:ascii="Arial" w:cs="Arial" w:eastAsia="Arial" w:hAnsi="Arial"/>
                <w:sz w:val="14"/>
                <w:szCs w:val="14"/>
                <w:b w:val="1"/>
                <w:bCs w:val="1"/>
                <w:color w:val="auto"/>
              </w:rPr>
              <w:t>Name and Address of Beneficial Owner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Amount and Nature of</w:t>
            </w:r>
          </w:p>
        </w:tc>
        <w:tc>
          <w:tcPr>
            <w:tcW w:w="15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Beneficial Ownership</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jc w:val="right"/>
              <w:ind w:right="7599"/>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7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following table shows the ownership or GXO common stock, deferred share units and deferred restricted share units expected to be beneficially owned by our directors, named executive officers, and our directors and current executive officers as a group immediately following the completion of the</w:t>
      </w:r>
    </w:p>
    <w:p>
      <w:pPr>
        <w:ind w:right="420"/>
        <w:spacing w:after="0" w:line="260" w:lineRule="auto"/>
        <w:rPr>
          <w:sz w:val="20"/>
          <w:szCs w:val="20"/>
          <w:color w:val="auto"/>
        </w:rPr>
      </w:pPr>
      <w:r>
        <w:rPr>
          <w:rFonts w:ascii="Arial" w:cs="Arial" w:eastAsia="Arial" w:hAnsi="Arial"/>
          <w:sz w:val="18"/>
          <w:szCs w:val="18"/>
          <w:color w:val="auto"/>
        </w:rPr>
        <w:t>distribution, based on information available as of [ ], 2021 and based on the assumption that, for every share of XPO common stock held by such persons, they will receive one share of GXO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Shares of 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Deferred Restricted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Deferred Share Units(2)</w:t>
            </w: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 Units(3)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r>
      <w:tr>
        <w:trPr>
          <w:trHeight w:val="25"/>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3"/>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Malcolm Wilson</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Baris Oran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200" w:hanging="192"/>
        <w:spacing w:after="0"/>
        <w:tabs>
          <w:tab w:leader="none" w:pos="200" w:val="left"/>
        </w:tabs>
        <w:numPr>
          <w:ilvl w:val="0"/>
          <w:numId w:val="345"/>
        </w:numPr>
        <w:rPr>
          <w:rFonts w:ascii="Arial" w:cs="Arial" w:eastAsia="Arial" w:hAnsi="Arial"/>
          <w:sz w:val="13"/>
          <w:szCs w:val="13"/>
          <w:color w:val="auto"/>
        </w:rPr>
      </w:pPr>
      <w:r>
        <w:rPr>
          <w:rFonts w:ascii="Arial" w:cs="Arial" w:eastAsia="Arial" w:hAnsi="Arial"/>
          <w:sz w:val="14"/>
          <w:szCs w:val="14"/>
          <w:color w:val="auto"/>
        </w:rPr>
        <w:t>[  ]</w:t>
      </w:r>
    </w:p>
    <w:p>
      <w:pPr>
        <w:spacing w:after="0" w:line="13" w:lineRule="exact"/>
        <w:rPr>
          <w:rFonts w:ascii="Arial" w:cs="Arial" w:eastAsia="Arial" w:hAnsi="Arial"/>
          <w:sz w:val="13"/>
          <w:szCs w:val="13"/>
          <w:color w:val="auto"/>
        </w:rPr>
      </w:pPr>
    </w:p>
    <w:p>
      <w:pPr>
        <w:ind w:left="180" w:hanging="172"/>
        <w:spacing w:after="0"/>
        <w:tabs>
          <w:tab w:leader="none" w:pos="180" w:val="left"/>
        </w:tabs>
        <w:numPr>
          <w:ilvl w:val="0"/>
          <w:numId w:val="345"/>
        </w:numPr>
        <w:rPr>
          <w:rFonts w:ascii="Arial" w:cs="Arial" w:eastAsia="Arial" w:hAnsi="Arial"/>
          <w:sz w:val="13"/>
          <w:szCs w:val="13"/>
          <w:color w:val="auto"/>
        </w:rPr>
      </w:pPr>
      <w:r>
        <w:rPr>
          <w:rFonts w:ascii="Arial" w:cs="Arial" w:eastAsia="Arial" w:hAnsi="Arial"/>
          <w:sz w:val="14"/>
          <w:szCs w:val="14"/>
          <w:color w:val="auto"/>
        </w:rPr>
        <w:t>[  ]</w:t>
      </w:r>
    </w:p>
    <w:p>
      <w:pPr>
        <w:spacing w:after="0" w:line="1" w:lineRule="exact"/>
        <w:rPr>
          <w:rFonts w:ascii="Arial" w:cs="Arial" w:eastAsia="Arial" w:hAnsi="Arial"/>
          <w:sz w:val="13"/>
          <w:szCs w:val="13"/>
          <w:color w:val="auto"/>
        </w:rPr>
      </w:pPr>
    </w:p>
    <w:p>
      <w:pPr>
        <w:ind w:left="180" w:hanging="172"/>
        <w:spacing w:after="0"/>
        <w:tabs>
          <w:tab w:leader="none" w:pos="180" w:val="left"/>
        </w:tabs>
        <w:numPr>
          <w:ilvl w:val="0"/>
          <w:numId w:val="345"/>
        </w:numPr>
        <w:rPr>
          <w:rFonts w:ascii="Arial" w:cs="Arial" w:eastAsia="Arial" w:hAnsi="Arial"/>
          <w:sz w:val="13"/>
          <w:szCs w:val="13"/>
          <w:color w:val="auto"/>
        </w:rPr>
      </w:pPr>
      <w:r>
        <w:rPr>
          <w:rFonts w:ascii="Arial" w:cs="Arial" w:eastAsia="Arial" w:hAnsi="Arial"/>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GXO’s certificate of incorporation and bylaws will be amended and restated prior to the distribution. The following briefly summarizes the material terms of our capital stock that will be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our capital stock as of the time of the distribution. The amended and restated certificate of incorporation and amended and restated bylaws, each in a form expected to be in effect at the time of the distribution, will be included as exhibits to GXO’s registration statement on Form 10, of which this information statement forms a part. We will include our amended and restated certificate of incorporation and amended and restated bylaws, as in effect at the time of the distribution, in a Current Report on Form 8-K filed with the SEC. The following also summarizes certain relevant provisions of the DGCL. Since the terms of the DGCL are more detailed than the general information provided below, you should read the actual provisions of the DGCL for complete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GXO’s authorized capital stock will consist of 300,000,000 shares of common stock, par value $0.01 per share, and 10,000,000 shares of preferred stock, par value $0.01 per share.</w:t>
      </w:r>
    </w:p>
    <w:p>
      <w:pPr>
        <w:spacing w:after="0" w:line="11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Immediately following the distribution, we expect that approximately [ ] shares of our common stock will be issued and outstanding, based on approximately [ ] shares of XPO common stock issued and outstanding on [ ], 2021, and that no shares of our preferred stock will be issued and outstanding.</w:t>
      </w:r>
    </w:p>
    <w:p>
      <w:pPr>
        <w:spacing w:after="0" w:line="130" w:lineRule="exact"/>
        <w:rPr>
          <w:sz w:val="20"/>
          <w:szCs w:val="20"/>
          <w:color w:val="auto"/>
        </w:rPr>
      </w:pPr>
    </w:p>
    <w:p>
      <w:pPr>
        <w:ind w:right="4660" w:firstLine="324"/>
        <w:spacing w:after="0" w:line="438" w:lineRule="auto"/>
        <w:rPr>
          <w:sz w:val="20"/>
          <w:szCs w:val="20"/>
          <w:color w:val="auto"/>
        </w:rPr>
      </w:pPr>
      <w:r>
        <w:rPr>
          <w:rFonts w:ascii="Arial" w:cs="Arial" w:eastAsia="Arial" w:hAnsi="Arial"/>
          <w:sz w:val="18"/>
          <w:szCs w:val="18"/>
          <w:color w:val="auto"/>
        </w:rPr>
        <w:t xml:space="preserve">GXO’s common stock is expected to be listed on the NYSE under the symbol “GXO.” </w:t>
      </w:r>
      <w:r>
        <w:rPr>
          <w:rFonts w:ascii="Arial" w:cs="Arial" w:eastAsia="Arial" w:hAnsi="Arial"/>
          <w:sz w:val="18"/>
          <w:szCs w:val="18"/>
          <w:b w:val="1"/>
          <w:bCs w:val="1"/>
          <w:color w:val="auto"/>
        </w:rPr>
        <w:t>Common Stock</w:t>
      </w:r>
    </w:p>
    <w:p>
      <w:pPr>
        <w:sectPr>
          <w:pgSz w:w="11900" w:h="16838" w:orient="portrait"/>
          <w:cols w:equalWidth="0" w:num="1">
            <w:col w:w="11220"/>
          </w:cols>
          <w:pgMar w:left="320" w:top="1440" w:right="359" w:bottom="1440" w:gutter="0" w:footer="0" w:header="0"/>
        </w:sectPr>
      </w:pP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Immediately following the distribution, we expect that approximately [ will be fully paid and non-assessable.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our common stock will be issued and outstanding, all of which</w:t>
      </w:r>
    </w:p>
    <w:p>
      <w:pPr>
        <w:spacing w:after="0" w:line="409" w:lineRule="exact"/>
        <w:rPr>
          <w:sz w:val="20"/>
          <w:szCs w:val="20"/>
          <w:color w:val="auto"/>
        </w:rPr>
      </w:pPr>
    </w:p>
    <w:p>
      <w:pPr>
        <w:sectPr>
          <w:pgSz w:w="11900" w:h="16838" w:orient="portrait"/>
          <w:cols w:equalWidth="0" w:num="2">
            <w:col w:w="5440" w:space="400"/>
            <w:col w:w="5380"/>
          </w:cols>
          <w:pgMar w:left="320" w:top="1440" w:right="359" w:bottom="1440" w:gutter="0" w:footer="0" w:header="0"/>
          <w:type w:val="continuous"/>
        </w:sectPr>
      </w:pPr>
    </w:p>
    <w:p>
      <w:pPr>
        <w:jc w:val="both"/>
        <w:ind w:right="40" w:firstLine="324"/>
        <w:spacing w:after="0" w:line="263" w:lineRule="auto"/>
        <w:rPr>
          <w:sz w:val="20"/>
          <w:szCs w:val="20"/>
          <w:color w:val="auto"/>
        </w:rPr>
      </w:pPr>
      <w:r>
        <w:rPr>
          <w:rFonts w:ascii="Arial" w:cs="Arial" w:eastAsia="Arial" w:hAnsi="Arial"/>
          <w:sz w:val="18"/>
          <w:szCs w:val="18"/>
          <w:color w:val="auto"/>
        </w:rPr>
        <w:t>Common stockholders will be entitled to one vote for each share held on all matters submitted to a vote of stockholders. Except as otherwise required by law and except for director elections (see below), whenever any corporate action is to be taken, such action will be authorized by a majority of the votes cast at a meeting of stockholders by the stockholders entitled to vote thereon.</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Common stockholders will be entitled to share equally in the dividends, if any, that may be declared by GXO’s board of directors out of funds that are legally available to pay dividends, but only after payment of any dividends required to be paid on outstanding preferred stock, if any. Upon any voluntary or involuntary liquidation, dissolution or winding up of GXO, the common stockholders will be entitled to share ratably in all assets of GXO remaining after we pay all of our debts and other liabilities and any amounts we may owe to the holders of our preferred stock, if any.</w:t>
      </w:r>
    </w:p>
    <w:p>
      <w:pPr>
        <w:spacing w:after="0" w:line="11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Common stockholders will not have any preemptive, subscription, redemption or conversion rights. The rights, preferences and privileges of common stockholders will be subject to the rights of the stockholders of any series of preferred stock that we will or may designate and issue.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Delaware law and our amended and restated bylaws will permit us to issue uncertificated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Delaware law and our amended and restated certificate of incorporation, our board of directors will have the authority, without further action by the stockholders, to issue shares of preferred stock in one or more series, and to fix the rights, preferences and privileges (including voting rights, dividend rights,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type w:val="continuous"/>
        </w:sectPr>
      </w:pPr>
    </w:p>
    <w:bookmarkStart w:id="464" w:name="page465"/>
    <w:bookmarkEnd w:id="46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redemption privileges and liquidation preferences) of each series, which may be greater than the rights of the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distribution, we expect no shares of our preferred stock to be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will institute strong corporate governance practices, as described below and elsewhere in this information statement. Responsible and appropriate corporate governance will ensure that our management always keeps stockholder interests in mind when crafting value-creating strategies at all levels of the organization.</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Single Class Capital Structure</w:t>
      </w:r>
      <w:r>
        <w:rPr>
          <w:rFonts w:ascii="Arial" w:cs="Arial" w:eastAsia="Arial" w:hAnsi="Arial"/>
          <w:sz w:val="18"/>
          <w:szCs w:val="18"/>
          <w:color w:val="auto"/>
        </w:rPr>
        <w:t>. We will have a single class share capital structure with all stockholders entitled to vote for director nominees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common stock entitled to one vote per share.</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Director Elections</w:t>
      </w:r>
      <w:r>
        <w:rPr>
          <w:rFonts w:ascii="Arial" w:cs="Arial" w:eastAsia="Arial" w:hAnsi="Arial"/>
          <w:sz w:val="18"/>
          <w:szCs w:val="18"/>
          <w:color w:val="auto"/>
        </w:rPr>
        <w:t>. The election of directors in an uncontested election will require the affirmative vote of a majority of the votes cast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voted “for” a director’s election exceeds fifty percent (50%) of the number of votes cast with respect to that director’s election) by holders of shares of our common stock at the meeting at which a quorum is present. If any incumbent director standing for re-election receives a greater number of votes “against” his or her election than votes “for” such election, our amended and restated bylaws will require that such person promptly tender his or her resignation to our board of directors. Once an election is determined to be a contested election, directors will be elected by a plurality of the votes cast at the meeting at which a quorum is present.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As discussed further below, upon completion of the separation, we will have a classified board until 2025.</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Majority Vote for Mergers and Other Business Combinations</w:t>
      </w:r>
      <w:r>
        <w:rPr>
          <w:rFonts w:ascii="Arial" w:cs="Arial" w:eastAsia="Arial" w:hAnsi="Arial"/>
          <w:sz w:val="18"/>
          <w:szCs w:val="18"/>
          <w:color w:val="auto"/>
        </w:rPr>
        <w:t>. Mergers and other business combinations involving GXO will generally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approved by a majority of our outstanding shares of common stock where such stockholder approval is required.</w:t>
      </w:r>
    </w:p>
    <w:p>
      <w:pPr>
        <w:spacing w:after="0" w:line="11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Other Expected Corporate Governance Features</w:t>
      </w:r>
      <w:r>
        <w:rPr>
          <w:rFonts w:ascii="Arial" w:cs="Arial" w:eastAsia="Arial" w:hAnsi="Arial"/>
          <w:sz w:val="18"/>
          <w:szCs w:val="18"/>
          <w:color w:val="auto"/>
        </w:rPr>
        <w:t>. Governance features related to our board of directors are set forth in the section of this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captioned “Directors.” In addition to the foregoing, it is expected that we will implement stock ownership guidelines for directors and senior executive officers, annual board performance evaluations, clawback and anti-hedging policies, prohibitions on option repricing in equity plans without stockholder approval, risk oversight procedures and other practices and protocols.</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Anti-Takeover Effects of Various Provisions of Delaware Law, our Amended and Restated Certificate of Incorporation, and our Amended and Restated Bylaws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Provisions of the DGCL, our amended and restated certificate of incorporation and our amended and restated bylaws could make it more difficult to acquire GXO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GXO to first negotiate with our board of directors. We believe that the benefits of increased protection of our potential ability to negotiate with the proponent of an unfriendly or unsolicited proposal to acquire or restructure GXO outweigh the disadvantages of discouraging takeover or acquisition proposals because, among other things, negotiation of these proposals could result in an improvement of their terms.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Section 203 of the DGCL, an anti-takeover statute, generally prohibits a publicly held Delaware corporation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 interested stockholder. An “interested stockholder” generally is a person who, together with affiliates and associates, owns (or within three years prior to the determination of interested stockholder status did own) 15 percent or more of a corporation’s voting stock. The existence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465" w:name="page466"/>
    <w:bookmarkEnd w:id="465"/>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GXO will not “opt out” of, and will thus be subject to, Section 203 of the DGCL.</w:t>
      </w:r>
    </w:p>
    <w:p>
      <w:pPr>
        <w:spacing w:after="0" w:line="1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Upon completion of the separation, our board of directors will initially be divided into three classes, with Class I composed of [ ]</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Class II composed of [ ] directors and Class III composed of [ ]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of stockholders, which we expect to hold in 2023, and the directors designated as Class III directors will have terms expiring at the following year’s annual meeting of stockholders, which we expect to hold in 2024. At the first annual meetings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Size of Board and Vacancies</w:t>
      </w:r>
      <w:r>
        <w:rPr>
          <w:rFonts w:ascii="Arial" w:cs="Arial" w:eastAsia="Arial" w:hAnsi="Arial"/>
          <w:sz w:val="16"/>
          <w:szCs w:val="16"/>
          <w:color w:val="auto"/>
        </w:rPr>
        <w:t>. Our amended and restated certificate of incorporation and bylaws will provide that the number of directors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be fixed exclusively by our board of directors. Our bylaws will also provide that the size of the board of directors will be not less than one nor more than twelve members. Any vacancies created in the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annual meeting of stockholders, and until his or her successor has been elected and qualified.</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Director Removal</w:t>
      </w:r>
      <w:r>
        <w:rPr>
          <w:rFonts w:ascii="Arial" w:cs="Arial" w:eastAsia="Arial" w:hAnsi="Arial"/>
          <w:sz w:val="16"/>
          <w:szCs w:val="16"/>
          <w:color w:val="auto"/>
        </w:rPr>
        <w:t>. Our amended and restated certificate of incorporation and/or bylaws will provide that (i) prior to the board being fully declassified,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above, stockholders will be permitted to remove a director only for cause; and (ii) after the board has been fully declassified, stockholders may remove the Company’s directors with or without cause. Removal will require the affirmative vote of at least a majority of the Company’s voting stock.</w:t>
      </w:r>
    </w:p>
    <w:p>
      <w:pPr>
        <w:spacing w:after="0" w:line="9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Stockholder Action by Written Consent</w:t>
      </w:r>
      <w:r>
        <w:rPr>
          <w:rFonts w:ascii="Arial" w:cs="Arial" w:eastAsia="Arial" w:hAnsi="Arial"/>
          <w:sz w:val="16"/>
          <w:szCs w:val="16"/>
          <w:color w:val="auto"/>
        </w:rPr>
        <w:t>. Our amended and restated certificate of incorporation will expressly eliminate the right of our stockholders to</w:t>
      </w:r>
      <w:r>
        <w:rPr>
          <w:rFonts w:ascii="Arial" w:cs="Arial" w:eastAsia="Arial" w:hAnsi="Arial"/>
          <w:sz w:val="16"/>
          <w:szCs w:val="16"/>
          <w:i w:val="1"/>
          <w:iCs w:val="1"/>
          <w:color w:val="auto"/>
        </w:rPr>
        <w:t xml:space="preserve"> </w:t>
      </w:r>
      <w:r>
        <w:rPr>
          <w:rFonts w:ascii="Arial" w:cs="Arial" w:eastAsia="Arial" w:hAnsi="Arial"/>
          <w:sz w:val="16"/>
          <w:szCs w:val="16"/>
          <w:color w:val="auto"/>
        </w:rPr>
        <w:t>act by written consent effective as of the distribution. Stockholder action must take place at the annual or at a special meeting of GXO stockholders.</w:t>
      </w:r>
    </w:p>
    <w:p>
      <w:pPr>
        <w:spacing w:after="0" w:line="7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Special Stockholder Meetings</w:t>
      </w:r>
      <w:r>
        <w:rPr>
          <w:rFonts w:ascii="Arial" w:cs="Arial" w:eastAsia="Arial" w:hAnsi="Arial"/>
          <w:sz w:val="18"/>
          <w:szCs w:val="18"/>
          <w:color w:val="auto"/>
        </w:rPr>
        <w:t>. Our amended and restated certificate of incorporation will provide that the Chairman of the board of directors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pursuant to a resolution adopted by a majority of the entire board of directors may call special meetings of our stockholders. Stockholders may not call special meetings of stockholders.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certificate of incorporation will mandate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stockholder nominations for the election of directors be given in accordance with the bylaws. Our amended and restated bylaws will establish advance notice procedures with respect to stockholder proposals and nomination of candidates for election as directors as well as other requirements for stockholders making the proposals or nominations. Additionally, the bylaws will require that candidates for election as director disclose their qualifications and make certain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466" w:name="page467"/>
    <w:bookmarkEnd w:id="466"/>
    <w:p>
      <w:pPr>
        <w:spacing w:after="0" w:line="14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stockholders are denied the right to cumulate votes in the election of directors unless a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Our amended and restated certificate of incorporation will not provide for cumulative voting.</w:t>
      </w:r>
    </w:p>
    <w:p>
      <w:pPr>
        <w:spacing w:after="0" w:line="7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amended and restated certificate of incorporation will authorize 10,000,000 shares of undesignated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our board of directors will be permitted, without the approval of holders of our common stock, to issue shares of our preferred stock with super voting, special approval, dividend or other rights or preferences on a discriminatory basis that could impede the success of any attempt to acquire GXO.</w:t>
      </w:r>
    </w:p>
    <w:p>
      <w:pPr>
        <w:spacing w:after="0" w:line="2" w:lineRule="exact"/>
        <w:rPr>
          <w:sz w:val="20"/>
          <w:szCs w:val="20"/>
          <w:color w:val="auto"/>
        </w:rPr>
      </w:pPr>
    </w:p>
    <w:p>
      <w:pPr>
        <w:ind w:right="380"/>
        <w:spacing w:after="0" w:line="429" w:lineRule="auto"/>
        <w:rPr>
          <w:sz w:val="20"/>
          <w:szCs w:val="20"/>
          <w:color w:val="auto"/>
        </w:rPr>
      </w:pPr>
      <w:r>
        <w:rPr>
          <w:rFonts w:ascii="Arial" w:cs="Arial" w:eastAsia="Arial" w:hAnsi="Arial"/>
          <w:sz w:val="18"/>
          <w:szCs w:val="18"/>
          <w:color w:val="auto"/>
        </w:rPr>
        <w:t xml:space="preserve">These and other provisions may have the effect of deferring, delaying or discouraging hostile takeovers or changes in control or management of GXO. </w:t>
      </w:r>
      <w:r>
        <w:rPr>
          <w:rFonts w:ascii="Arial" w:cs="Arial" w:eastAsia="Arial" w:hAnsi="Arial"/>
          <w:sz w:val="18"/>
          <w:szCs w:val="18"/>
          <w:b w:val="1"/>
          <w:bCs w:val="1"/>
          <w:color w:val="auto"/>
        </w:rPr>
        <w:t>Limitation of Liability and Indemnification of Officers and Directors</w:t>
      </w:r>
    </w:p>
    <w:p>
      <w:pPr>
        <w:spacing w:after="0" w:line="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certificate of incorporation and amended and restated bylaws will include provisions that indemnify, to the fullest extent allowable under the DGCL, the personal liability of directors or officers for monetary damages for actions taken as a director or officer of GXO, or for serving at our request as a director or officer or in another position at another corporation or enterprise, as the case may be. Our amended and restated certificate of incorporation and amended and restated bylaws will also provide that we must indemnify and advance expenses to our directors and officers, subject to our receipt of an undertaking from the indemnitee as may be required under the DGCL. We will also be expressly authorized to, and intend to, carry directors’ and officers’ insurance to protect GXO and our directors, officers, employees and agents from certain liabilities.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 of Common Stock</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Authorized but unissued shares of our common stock and preferred stock will be available for future issuance without approval by the holders of our common stock. We will be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GXO by means of a proxy contest, tender offer, merger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amended and restated certificate of incorporation will provide that unless our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467" w:name="page468"/>
    <w:bookmarkEnd w:id="467"/>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list our shares of common stock on the NYSE under the symbol “GXO.”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February 16, 2021, GXO issued 100 shares of its common stock to XPO for total consideration of $10. Pursuant to Section 4(a)(2) of the Securities Act, we did not register the issuance of the issued shares under the Securities Act because such issuance did not constitute a public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distribution, the transfer agent and registrar for our common stock will be Computershare.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1440" w:right="379" w:bottom="1440" w:gutter="0" w:footer="0" w:header="0"/>
        </w:sectPr>
      </w:pPr>
    </w:p>
    <w:bookmarkStart w:id="468" w:name="page469"/>
    <w:bookmarkEnd w:id="46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GXO and GXO common stock, please refer to the registration statement, including its exhibits and schedules. Statements made in this information statement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contained on or connected to</w:t>
      </w:r>
      <w:r>
        <w:rPr>
          <w:rFonts w:ascii="Arial" w:cs="Arial" w:eastAsia="Arial" w:hAnsi="Arial"/>
          <w:sz w:val="16"/>
          <w:szCs w:val="16"/>
          <w:color w:val="auto"/>
        </w:rPr>
        <w:t xml:space="preserve"> </w:t>
      </w:r>
      <w:r>
        <w:rPr>
          <w:rFonts w:ascii="Arial" w:cs="Arial" w:eastAsia="Arial" w:hAnsi="Arial"/>
          <w:sz w:val="16"/>
          <w:szCs w:val="16"/>
          <w:b w:val="1"/>
          <w:bCs w:val="1"/>
          <w:color w:val="auto"/>
        </w:rPr>
        <w:t>any website referenced in this information statement is not incorporated into this information statement or the registration statement of which this information statement forms a part, or in any other filings with, or any information furnished or submitted to, the SEC</w:t>
      </w:r>
      <w:r>
        <w:rPr>
          <w:rFonts w:ascii="Arial" w:cs="Arial" w:eastAsia="Arial" w:hAnsi="Arial"/>
          <w:sz w:val="16"/>
          <w:szCs w:val="16"/>
          <w:color w:val="auto"/>
        </w:rPr>
        <w:t>.</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a result of the distribution, GXO will become subject to the information and reporting requirements of the Exchange Act and, in accordance with the Exchange Act, will file periodic reports, proxy statements and other information with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 and audited and reported on, with an opinion expressed, by an independent registered public accounting firm.</w:t>
      </w:r>
    </w:p>
    <w:p>
      <w:pPr>
        <w:spacing w:after="0" w:line="18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10000" w:type="dxa"/>
            <w:vAlign w:val="bottom"/>
            <w:gridSpan w:val="13"/>
            <w:vMerge w:val="restart"/>
          </w:tcPr>
          <w:p>
            <w:pPr>
              <w:spacing w:after="0"/>
              <w:rPr>
                <w:rFonts w:ascii="Arial" w:cs="Arial" w:eastAsia="Arial" w:hAnsi="Arial"/>
                <w:sz w:val="18"/>
                <w:szCs w:val="18"/>
                <w:color w:val="0000FF"/>
              </w:rPr>
            </w:pPr>
            <w:hyperlink w:anchor="page470">
              <w:r>
                <w:rPr>
                  <w:rFonts w:ascii="Arial" w:cs="Arial" w:eastAsia="Arial" w:hAnsi="Arial"/>
                  <w:sz w:val="18"/>
                  <w:szCs w:val="18"/>
                  <w:color w:val="0000FF"/>
                </w:rPr>
                <w:t>Report of Independent Registered Public Accounting Firm</w:t>
              </w:r>
            </w:hyperlink>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00" w:type="dxa"/>
            <w:vAlign w:val="bottom"/>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80"/>
              <w:spacing w:after="0" w:line="182" w:lineRule="exact"/>
              <w:rPr>
                <w:rFonts w:ascii="Arial" w:cs="Arial" w:eastAsia="Arial" w:hAnsi="Arial"/>
                <w:sz w:val="18"/>
                <w:szCs w:val="18"/>
                <w:color w:val="0000FF"/>
                <w:w w:val="96"/>
              </w:rPr>
            </w:pPr>
            <w:hyperlink w:anchor="page470">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72">
              <w:r>
                <w:rPr>
                  <w:rFonts w:ascii="Arial" w:cs="Arial" w:eastAsia="Arial" w:hAnsi="Arial"/>
                  <w:sz w:val="18"/>
                  <w:szCs w:val="18"/>
                  <w:color w:val="0000FF"/>
                  <w:w w:val="88"/>
                </w:rPr>
                <w:t>Combined Balance Sheets as of December 31, 2020 and 2019</w:t>
              </w:r>
            </w:hyperlink>
          </w:p>
        </w:tc>
        <w:tc>
          <w:tcPr>
            <w:tcW w:w="5540" w:type="dxa"/>
            <w:vAlign w:val="bottom"/>
            <w:gridSpan w:val="9"/>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472">
              <w:r>
                <w:rPr>
                  <w:rFonts w:ascii="Arial" w:cs="Arial" w:eastAsia="Arial" w:hAnsi="Arial"/>
                  <w:sz w:val="18"/>
                  <w:szCs w:val="18"/>
                  <w:color w:val="0000FF"/>
                  <w:w w:val="96"/>
                </w:rPr>
                <w:t>F-4</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000" w:type="dxa"/>
            <w:vAlign w:val="bottom"/>
            <w:gridSpan w:val="13"/>
          </w:tcPr>
          <w:p>
            <w:pPr>
              <w:spacing w:after="0"/>
              <w:rPr>
                <w:rFonts w:ascii="Arial" w:cs="Arial" w:eastAsia="Arial" w:hAnsi="Arial"/>
                <w:sz w:val="18"/>
                <w:szCs w:val="18"/>
                <w:color w:val="0000FF"/>
              </w:rPr>
            </w:pPr>
            <w:hyperlink w:anchor="page473">
              <w:r>
                <w:rPr>
                  <w:rFonts w:ascii="Arial" w:cs="Arial" w:eastAsia="Arial" w:hAnsi="Arial"/>
                  <w:sz w:val="18"/>
                  <w:szCs w:val="18"/>
                  <w:color w:val="0000FF"/>
                </w:rPr>
                <w:t>Combined Statements of Operations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473">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74">
              <w:r>
                <w:rPr>
                  <w:rFonts w:ascii="Arial" w:cs="Arial" w:eastAsia="Arial" w:hAnsi="Arial"/>
                  <w:sz w:val="18"/>
                  <w:szCs w:val="18"/>
                  <w:color w:val="0000FF"/>
                  <w:w w:val="89"/>
                </w:rPr>
                <w:t>Combined Statements of Comprehensive Income (Loss) for the Years Ended December 31, 2020, 2019 and 2018</w:t>
              </w:r>
            </w:hyperlink>
          </w:p>
        </w:tc>
        <w:tc>
          <w:tcPr>
            <w:tcW w:w="18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474">
              <w:r>
                <w:rPr>
                  <w:rFonts w:ascii="Arial" w:cs="Arial" w:eastAsia="Arial" w:hAnsi="Arial"/>
                  <w:sz w:val="18"/>
                  <w:szCs w:val="18"/>
                  <w:color w:val="0000FF"/>
                  <w:w w:val="96"/>
                </w:rPr>
                <w:t>F-6</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000" w:type="dxa"/>
            <w:vAlign w:val="bottom"/>
            <w:gridSpan w:val="13"/>
          </w:tcPr>
          <w:p>
            <w:pPr>
              <w:spacing w:after="0"/>
              <w:rPr>
                <w:rFonts w:ascii="Arial" w:cs="Arial" w:eastAsia="Arial" w:hAnsi="Arial"/>
                <w:sz w:val="18"/>
                <w:szCs w:val="18"/>
                <w:color w:val="0000FF"/>
              </w:rPr>
            </w:pPr>
            <w:hyperlink w:anchor="page475">
              <w:r>
                <w:rPr>
                  <w:rFonts w:ascii="Arial" w:cs="Arial" w:eastAsia="Arial" w:hAnsi="Arial"/>
                  <w:sz w:val="18"/>
                  <w:szCs w:val="18"/>
                  <w:color w:val="0000FF"/>
                </w:rPr>
                <w:t>Combined Statements of Cash Flows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475">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0" w:type="dxa"/>
            <w:vAlign w:val="bottom"/>
            <w:gridSpan w:val="13"/>
          </w:tcPr>
          <w:p>
            <w:pPr>
              <w:spacing w:after="0"/>
              <w:rPr>
                <w:rFonts w:ascii="Arial" w:cs="Arial" w:eastAsia="Arial" w:hAnsi="Arial"/>
                <w:sz w:val="18"/>
                <w:szCs w:val="18"/>
                <w:color w:val="0000FF"/>
              </w:rPr>
            </w:pPr>
            <w:hyperlink w:anchor="page476">
              <w:r>
                <w:rPr>
                  <w:rFonts w:ascii="Arial" w:cs="Arial" w:eastAsia="Arial" w:hAnsi="Arial"/>
                  <w:sz w:val="18"/>
                  <w:szCs w:val="18"/>
                  <w:color w:val="0000FF"/>
                </w:rPr>
                <w:t>Combined Statements of Changes in Equity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476">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63"/>
        </w:trPr>
        <w:tc>
          <w:tcPr>
            <w:tcW w:w="2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477">
              <w:r>
                <w:rPr>
                  <w:rFonts w:ascii="Arial" w:cs="Arial" w:eastAsia="Arial" w:hAnsi="Arial"/>
                  <w:sz w:val="18"/>
                  <w:szCs w:val="18"/>
                  <w:color w:val="0000FF"/>
                  <w:w w:val="89"/>
                </w:rPr>
                <w:t>Notes to Combined Financial Statements</w:t>
              </w:r>
            </w:hyperlink>
          </w:p>
        </w:tc>
        <w:tc>
          <w:tcPr>
            <w:tcW w:w="4280" w:type="dxa"/>
            <w:vAlign w:val="bottom"/>
            <w:tcBorders>
              <w:top w:val="single" w:sz="8" w:color="0000FF"/>
            </w:tcBorders>
            <w:gridSpan w:val="6"/>
          </w:tcPr>
          <w:p>
            <w:pPr>
              <w:spacing w:after="0"/>
              <w:rPr>
                <w:sz w:val="22"/>
                <w:szCs w:val="22"/>
                <w:color w:val="auto"/>
              </w:rPr>
            </w:pPr>
          </w:p>
        </w:tc>
        <w:tc>
          <w:tcPr>
            <w:tcW w:w="2760" w:type="dxa"/>
            <w:vAlign w:val="bottom"/>
            <w:gridSpan w:val="6"/>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hyperlink w:anchor="page477">
              <w:r>
                <w:rPr>
                  <w:rFonts w:ascii="Arial" w:cs="Arial" w:eastAsia="Arial" w:hAnsi="Arial"/>
                  <w:sz w:val="18"/>
                  <w:szCs w:val="18"/>
                  <w:color w:val="0000FF"/>
                  <w:w w:val="96"/>
                </w:rPr>
                <w:t>F-9</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9"/>
        </w:trPr>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6960" w:type="dxa"/>
            <w:vAlign w:val="bottom"/>
            <w:gridSpan w:val="6"/>
            <w:vMerge w:val="restart"/>
          </w:tcPr>
          <w:p>
            <w:pPr>
              <w:spacing w:after="0"/>
              <w:rPr>
                <w:rFonts w:ascii="Arial" w:cs="Arial" w:eastAsia="Arial" w:hAnsi="Arial"/>
                <w:sz w:val="18"/>
                <w:szCs w:val="18"/>
                <w:color w:val="0000FF"/>
                <w:w w:val="89"/>
              </w:rPr>
            </w:pPr>
            <w:hyperlink w:anchor="page499">
              <w:r>
                <w:rPr>
                  <w:rFonts w:ascii="Arial" w:cs="Arial" w:eastAsia="Arial" w:hAnsi="Arial"/>
                  <w:sz w:val="18"/>
                  <w:szCs w:val="18"/>
                  <w:color w:val="0000FF"/>
                  <w:w w:val="89"/>
                </w:rPr>
                <w:t>Condensed Combined Balance Sheets as of March 31, 2021 (unaudited) and December 31, 2020</w:t>
              </w:r>
            </w:hyperlink>
          </w:p>
        </w:tc>
        <w:tc>
          <w:tcPr>
            <w:tcW w:w="3040" w:type="dxa"/>
            <w:vAlign w:val="bottom"/>
            <w:gridSpan w:val="7"/>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gridSpan w:val="6"/>
            <w:vMerge w:val="continue"/>
          </w:tcPr>
          <w:p>
            <w:pPr>
              <w:spacing w:after="0"/>
              <w:rPr>
                <w:sz w:val="15"/>
                <w:szCs w:val="15"/>
                <w:color w:val="auto"/>
              </w:rPr>
            </w:pPr>
          </w:p>
        </w:tc>
        <w:tc>
          <w:tcPr>
            <w:tcW w:w="304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40"/>
              <w:spacing w:after="0" w:line="182" w:lineRule="exact"/>
              <w:rPr>
                <w:rFonts w:ascii="Arial" w:cs="Arial" w:eastAsia="Arial" w:hAnsi="Arial"/>
                <w:sz w:val="18"/>
                <w:szCs w:val="18"/>
                <w:color w:val="0000FF"/>
                <w:w w:val="80"/>
              </w:rPr>
            </w:pPr>
            <w:hyperlink w:anchor="page499">
              <w:r>
                <w:rPr>
                  <w:rFonts w:ascii="Arial" w:cs="Arial" w:eastAsia="Arial" w:hAnsi="Arial"/>
                  <w:sz w:val="18"/>
                  <w:szCs w:val="18"/>
                  <w:color w:val="0000FF"/>
                  <w:w w:val="80"/>
                </w:rPr>
                <w:t>F-31</w:t>
              </w:r>
            </w:hyperlink>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gridSpan w:val="9"/>
          </w:tcPr>
          <w:p>
            <w:pPr>
              <w:spacing w:after="0"/>
              <w:rPr>
                <w:rFonts w:ascii="Arial" w:cs="Arial" w:eastAsia="Arial" w:hAnsi="Arial"/>
                <w:sz w:val="18"/>
                <w:szCs w:val="18"/>
                <w:color w:val="0000FF"/>
                <w:w w:val="90"/>
              </w:rPr>
            </w:pPr>
            <w:hyperlink w:anchor="page500">
              <w:r>
                <w:rPr>
                  <w:rFonts w:ascii="Arial" w:cs="Arial" w:eastAsia="Arial" w:hAnsi="Arial"/>
                  <w:sz w:val="18"/>
                  <w:szCs w:val="18"/>
                  <w:color w:val="0000FF"/>
                  <w:w w:val="90"/>
                </w:rPr>
                <w:t>Unaudited Condensed Combined Statement of Operations for the Three Months Ended March 31, 2021 and 2020</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500">
              <w:r>
                <w:rPr>
                  <w:rFonts w:ascii="Arial" w:cs="Arial" w:eastAsia="Arial" w:hAnsi="Arial"/>
                  <w:sz w:val="18"/>
                  <w:szCs w:val="18"/>
                  <w:color w:val="0000FF"/>
                  <w:w w:val="80"/>
                </w:rPr>
                <w:t>F-32</w:t>
              </w:r>
            </w:hyperlink>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438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12"/>
          </w:tcPr>
          <w:p>
            <w:pPr>
              <w:spacing w:after="0"/>
              <w:rPr>
                <w:rFonts w:ascii="Arial" w:cs="Arial" w:eastAsia="Arial" w:hAnsi="Arial"/>
                <w:sz w:val="18"/>
                <w:szCs w:val="18"/>
                <w:color w:val="0000FF"/>
                <w:w w:val="90"/>
              </w:rPr>
            </w:pPr>
            <w:hyperlink w:anchor="page501">
              <w:r>
                <w:rPr>
                  <w:rFonts w:ascii="Arial" w:cs="Arial" w:eastAsia="Arial" w:hAnsi="Arial"/>
                  <w:sz w:val="18"/>
                  <w:szCs w:val="18"/>
                  <w:color w:val="0000FF"/>
                  <w:w w:val="90"/>
                </w:rPr>
                <w:t>Unaudited Condensed Combined Statements of Comprehensive Income (Loss) for the Three Months Ended March 31, 2021 and 2020</w:t>
              </w:r>
            </w:hyperlink>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501">
              <w:r>
                <w:rPr>
                  <w:rFonts w:ascii="Arial" w:cs="Arial" w:eastAsia="Arial" w:hAnsi="Arial"/>
                  <w:sz w:val="18"/>
                  <w:szCs w:val="18"/>
                  <w:color w:val="0000FF"/>
                  <w:w w:val="80"/>
                </w:rPr>
                <w:t>F-33</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300" w:type="dxa"/>
            <w:vAlign w:val="bottom"/>
            <w:gridSpan w:val="10"/>
          </w:tcPr>
          <w:p>
            <w:pPr>
              <w:spacing w:after="0"/>
              <w:rPr>
                <w:rFonts w:ascii="Arial" w:cs="Arial" w:eastAsia="Arial" w:hAnsi="Arial"/>
                <w:sz w:val="18"/>
                <w:szCs w:val="18"/>
                <w:color w:val="0000FF"/>
                <w:w w:val="89"/>
              </w:rPr>
            </w:pPr>
            <w:hyperlink w:anchor="page502">
              <w:r>
                <w:rPr>
                  <w:rFonts w:ascii="Arial" w:cs="Arial" w:eastAsia="Arial" w:hAnsi="Arial"/>
                  <w:sz w:val="18"/>
                  <w:szCs w:val="18"/>
                  <w:color w:val="0000FF"/>
                  <w:w w:val="89"/>
                </w:rPr>
                <w:t>Unaudited Condensed Combined Statements of Cash Flows for the Three Months Ended March 31, 2021 and 2020</w:t>
              </w:r>
            </w:hyperlink>
          </w:p>
        </w:tc>
        <w:tc>
          <w:tcPr>
            <w:tcW w:w="13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502">
              <w:r>
                <w:rPr>
                  <w:rFonts w:ascii="Arial" w:cs="Arial" w:eastAsia="Arial" w:hAnsi="Arial"/>
                  <w:sz w:val="18"/>
                  <w:szCs w:val="18"/>
                  <w:color w:val="0000FF"/>
                  <w:w w:val="80"/>
                </w:rPr>
                <w:t>F-34</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0" w:type="dxa"/>
            <w:vAlign w:val="bottom"/>
            <w:gridSpan w:val="13"/>
          </w:tcPr>
          <w:p>
            <w:pPr>
              <w:spacing w:after="0"/>
              <w:rPr>
                <w:rFonts w:ascii="Arial" w:cs="Arial" w:eastAsia="Arial" w:hAnsi="Arial"/>
                <w:sz w:val="18"/>
                <w:szCs w:val="18"/>
                <w:color w:val="0000FF"/>
              </w:rPr>
            </w:pPr>
            <w:hyperlink w:anchor="page503">
              <w:r>
                <w:rPr>
                  <w:rFonts w:ascii="Arial" w:cs="Arial" w:eastAsia="Arial" w:hAnsi="Arial"/>
                  <w:sz w:val="18"/>
                  <w:szCs w:val="18"/>
                  <w:color w:val="0000FF"/>
                </w:rPr>
                <w:t>Unaudited Condensed Combined Statements of Changes in Equity for the Three Months Ended March 31, 2021 and 2020</w:t>
              </w:r>
            </w:hyperlink>
          </w:p>
        </w:tc>
        <w:tc>
          <w:tcPr>
            <w:tcW w:w="1220" w:type="dxa"/>
            <w:vAlign w:val="bottom"/>
            <w:gridSpan w:val="3"/>
          </w:tcPr>
          <w:p>
            <w:pPr>
              <w:jc w:val="center"/>
              <w:spacing w:after="0"/>
              <w:rPr>
                <w:rFonts w:ascii="Arial" w:cs="Arial" w:eastAsia="Arial" w:hAnsi="Arial"/>
                <w:sz w:val="18"/>
                <w:szCs w:val="18"/>
                <w:color w:val="0000FF"/>
                <w:w w:val="91"/>
              </w:rPr>
            </w:pPr>
            <w:hyperlink w:anchor="page503">
              <w:r>
                <w:rPr>
                  <w:rFonts w:ascii="Arial" w:cs="Arial" w:eastAsia="Arial" w:hAnsi="Arial"/>
                  <w:sz w:val="18"/>
                  <w:szCs w:val="18"/>
                  <w:color w:val="0000FF"/>
                  <w:w w:val="91"/>
                </w:rPr>
                <w:t>F-35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00" w:type="dxa"/>
            <w:vAlign w:val="bottom"/>
            <w:gridSpan w:val="2"/>
          </w:tcPr>
          <w:p>
            <w:pPr>
              <w:spacing w:after="0"/>
              <w:rPr>
                <w:rFonts w:ascii="Arial" w:cs="Arial" w:eastAsia="Arial" w:hAnsi="Arial"/>
                <w:sz w:val="18"/>
                <w:szCs w:val="18"/>
                <w:color w:val="0000FF"/>
                <w:w w:val="89"/>
              </w:rPr>
            </w:pPr>
            <w:hyperlink w:anchor="page504">
              <w:r>
                <w:rPr>
                  <w:rFonts w:ascii="Arial" w:cs="Arial" w:eastAsia="Arial" w:hAnsi="Arial"/>
                  <w:sz w:val="18"/>
                  <w:szCs w:val="18"/>
                  <w:color w:val="0000FF"/>
                  <w:w w:val="89"/>
                </w:rPr>
                <w:t>Notes to Condensed Combined Financial Statements</w:t>
              </w:r>
            </w:hyperlink>
          </w:p>
        </w:tc>
        <w:tc>
          <w:tcPr>
            <w:tcW w:w="4980" w:type="dxa"/>
            <w:vAlign w:val="bottom"/>
            <w:gridSpan w:val="9"/>
          </w:tcPr>
          <w:p>
            <w:pPr>
              <w:spacing w:after="0"/>
              <w:rPr>
                <w:sz w:val="22"/>
                <w:szCs w:val="22"/>
                <w:color w:val="auto"/>
              </w:rPr>
            </w:pPr>
          </w:p>
        </w:tc>
        <w:tc>
          <w:tcPr>
            <w:tcW w:w="1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504">
              <w:r>
                <w:rPr>
                  <w:rFonts w:ascii="Arial" w:cs="Arial" w:eastAsia="Arial" w:hAnsi="Arial"/>
                  <w:sz w:val="18"/>
                  <w:szCs w:val="18"/>
                  <w:color w:val="0000FF"/>
                  <w:w w:val="80"/>
                </w:rPr>
                <w:t>F-36</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470" w:name="page471"/>
    <w:bookmarkEnd w:id="47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Financial Statements</w:t>
      </w:r>
    </w:p>
    <w:p>
      <w:pPr>
        <w:spacing w:after="0" w:line="17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combined balance sheets of GXO Logistics, Inc. (the Company) as of December 31, 2020 and 2019, the related combined statements of operations, comprehensive income (loss), cash flow, and changes in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combined financial statements). In our opinion, the combined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As discussed in Note 7 to the combined financial statements, the Company changed its method of accounting for leases in 2019 due to the adoption of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its related amendments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Assessment of the carrying value of goodwill</w:t>
      </w:r>
    </w:p>
    <w:p>
      <w:pPr>
        <w:spacing w:after="0" w:line="171" w:lineRule="exact"/>
        <w:rPr>
          <w:sz w:val="20"/>
          <w:szCs w:val="20"/>
          <w:color w:val="auto"/>
        </w:rPr>
      </w:pPr>
    </w:p>
    <w:p>
      <w:pPr>
        <w:ind w:left="180" w:right="60"/>
        <w:spacing w:after="0" w:line="279" w:lineRule="auto"/>
        <w:rPr>
          <w:sz w:val="20"/>
          <w:szCs w:val="20"/>
          <w:color w:val="auto"/>
        </w:rPr>
      </w:pPr>
      <w:r>
        <w:rPr>
          <w:rFonts w:ascii="Arial" w:cs="Arial" w:eastAsia="Arial" w:hAnsi="Arial"/>
          <w:sz w:val="17"/>
          <w:szCs w:val="17"/>
          <w:color w:val="auto"/>
        </w:rPr>
        <w:t>As discussed in Notes 2 and 8 to the combined financial statements of the Company, the goodwill balance as of December 31, 2020 was $2,063 million. The Company performs goodwill impairment testing annually, or more frequently if events or circumstances indicate the carrying value of a reporting unit that includes goodwill might exceed the fair value of that reporting unit. In assessing the carrying value of goodwill, the Company uses a third-party specialist, who uses a combination of an income approach and a market approach to estimate fair value.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471" w:name="page472"/>
    <w:bookmarkEnd w:id="471"/>
    <w:p>
      <w:pPr>
        <w:spacing w:after="0" w:line="144"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color w:val="auto"/>
        </w:rPr>
        <w:t>income approach is based on the present value of estimated future cash flows, discounted at a risk-adjusted rate to estimate the fair value of the Company’s reporting units. The market approach is based on comparable market multiples for companies engaged in similar business, as well as recent transactions within the industry.</w:t>
      </w:r>
    </w:p>
    <w:p>
      <w:pPr>
        <w:spacing w:after="0" w:line="130" w:lineRule="exact"/>
        <w:rPr>
          <w:sz w:val="20"/>
          <w:szCs w:val="20"/>
          <w:color w:val="auto"/>
        </w:rPr>
      </w:pPr>
    </w:p>
    <w:p>
      <w:pPr>
        <w:jc w:val="both"/>
        <w:ind w:left="180" w:right="160"/>
        <w:spacing w:after="0" w:line="287" w:lineRule="auto"/>
        <w:rPr>
          <w:sz w:val="20"/>
          <w:szCs w:val="20"/>
          <w:color w:val="auto"/>
        </w:rPr>
      </w:pPr>
      <w:r>
        <w:rPr>
          <w:rFonts w:ascii="Arial" w:cs="Arial" w:eastAsia="Arial" w:hAnsi="Arial"/>
          <w:sz w:val="16"/>
          <w:szCs w:val="16"/>
          <w:color w:val="auto"/>
        </w:rPr>
        <w:t>We identified the assessment of the carrying value of goodwill for each of the Company’s two reporting units as a critical audit matter. Assessment of certain assumptions used to estimate fair value under the income approach, including the fair value model, long-term future growth rates, and the risk-adjusted discount rate, had estimation uncertainty which resulted in subjective auditor judgment and required specialized skills and knowledge.</w:t>
      </w:r>
    </w:p>
    <w:p>
      <w:pPr>
        <w:spacing w:after="0" w:line="2"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Additionally, assessment of the guideline public companies and transactions within the industry used to estimate fair value under the market approach required significant auditor judgment. Changes to these assumptions may have a significant effect on the Company’s assessment of the carrying value of the goodwill.</w:t>
      </w:r>
    </w:p>
    <w:p>
      <w:pPr>
        <w:spacing w:after="0" w:line="136" w:lineRule="exact"/>
        <w:rPr>
          <w:sz w:val="20"/>
          <w:szCs w:val="20"/>
          <w:color w:val="auto"/>
        </w:rPr>
      </w:pPr>
    </w:p>
    <w:p>
      <w:pPr>
        <w:ind w:left="180" w:right="40"/>
        <w:spacing w:after="0" w:line="272"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over the Company’s goodwill impairment assessment process. This included controls related to the determination of the fair value of the reporting units, including the Company’s estimate of long-term future growth rates, the assumptions used to develop the risk-adjusted discount rates, and the determination of the guideline public companies and transactions within the industry. We performed sensitivity analyses over the fair value model for long-term future growth rates to assess their impact on the Company’s determination of the fair value of each reporting unit. We compared the Company’s historical growth rate forecast to actual results to assess the Company’s ability to accurately forecast. We involved valuation professionals with specialized skill and knowledge, who assisted in:</w:t>
      </w:r>
    </w:p>
    <w:p>
      <w:pPr>
        <w:spacing w:after="0" w:line="123" w:lineRule="exact"/>
        <w:rPr>
          <w:sz w:val="20"/>
          <w:szCs w:val="20"/>
          <w:color w:val="auto"/>
        </w:rPr>
      </w:pPr>
    </w:p>
    <w:p>
      <w:pPr>
        <w:ind w:left="660" w:hanging="328"/>
        <w:spacing w:after="0"/>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comparing the valuation methodologies used by the Company to valuation standards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comparing the Company’s risk-adjusted discount rates to risk-adjusted discount rate ranges that were independently developed using publicly available third-party market data for comparable entities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comparing the long-term growth rates to industry data, economic growth data, and long-term growth rates used by the Company in prior years’ valuation analyses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evaluating the guideline public companies and transactions used by the Company by reading the business descriptions, examining financial metrics of the comparable public companies and transactions within the industry, and considering market participant guidance and perspective.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1440" w:right="439" w:bottom="1440" w:gutter="0" w:footer="0" w:header="0"/>
        </w:sectPr>
      </w:pPr>
    </w:p>
    <w:bookmarkStart w:id="472" w:name="page473"/>
    <w:bookmarkEnd w:id="47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$18 and $20,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$922 and $685 in accumulated depreciation,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$373 and $302 in accumulated amortization, respectively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09"/>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gain (loss), net of tax effect of $(3), $3 and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gain (loss) on financial assets/liabilities designated as hedging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instruments, net of tax effect of $—, $— and $3</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Defined benefit plans adjustment, net of tax effect of $—, $— and $—</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collected on deferred purchase price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borrowings related to current trade securitization program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of noncontrolling interests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Net proceeds related to secured borrowing activity on prior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012" w:right="339" w:bottom="1440" w:gutter="0" w:footer="0" w:header="0"/>
        </w:sectPr>
      </w:pPr>
    </w:p>
    <w:bookmarkStart w:id="476" w:name="page477"/>
    <w:bookmarkEnd w:id="476"/>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71"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combined financial statements are presented as if the GXO businesses had been combined for all periods presented. The assets and liabilities in the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2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320" w:top="1440" w:right="399" w:bottom="1440" w:gutter="0" w:footer="0" w:header="0"/>
        </w:sectPr>
      </w:pPr>
    </w:p>
    <w:bookmarkStart w:id="478" w:name="page479"/>
    <w:bookmarkEnd w:id="478"/>
    <w:p>
      <w:pPr>
        <w:spacing w:after="0" w:line="143"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transaction and integration costs, as well as restructuring costs and other adjustments, or headcount. The majority of these allocated costs are recorded in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not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combined financial statements include the accounts and business activities distributed across the legal entities of GXO. Significant intercompany balances and transactions among the operations of the GXO legal entities have been eliminated in the combined financial statements. All significant related party transactions between GXO and XPO have been included in these combined financial statements as components of XPO investment. The preparation of the combined financial statements in accordance with GAAP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 COVID-19 has had, and we expect will continue to have, significant effects on economic activity, on demand for our services, and on our results of operations in 2021.</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combined financial statements primarily relate to a minority interest in XPO Logistics Europe SA (“XPO Logistics Europe”), a business XPO acquired in 2015. As described in Note 3—Purchases of Noncontrolling Interest, XPO purchased portions of the noncontrolling interests in both 2020 and 2019. Following these acquisitions, the noncontrolling interest was approximately 3% and 5% of XPO Logistics Europe at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479" w:name="page480"/>
    <w:bookmarkEnd w:id="479"/>
    <w:p>
      <w:pPr>
        <w:spacing w:after="0" w:line="14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revenue by providing supply chain services for our customers, including warehousing and distribution, order fulfillment, reverse logistics, packaging and labeling, factory and aftermarket support and inventory management contracts ranging from a few months to a few years. Our performance obligations are satisfied over time as customers receive and consume the benefits of our services. The contracts generally contain a single performance obligation as the distinct services provided remain substantially the same over time and possess the same pattern of transfer. The transaction price is based on the amount specified in the contract with the customer and contains fixed and variable components. In general, the fixed component of a contract represents reimbursement for facility and equipment costs incurred to satisfy the performance obligation and is recognized on a straight-line basis over the term of the contract. The variable component is comprised of cost reimbursement determined based on the costs incurred, while per-unit pricing is determined based on units provided, and time and materials pricing is determined based on the hours of services provided. The variable component is recognized based on the level of activity.</w:t>
      </w:r>
    </w:p>
    <w:p>
      <w:pPr>
        <w:spacing w:after="0" w:line="12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setting up a customer warehouse, we incur incremental expenditures to fulfill the customer contract, such as designing the warehouse. These expenditures are capitalized to the extent they are recoverable from the expected margin in the contract and will help us satisfy future performance obligations. Conversely, costs which the company incurs as it delivers services and satisfies its performance obligations are expensed as incurred.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Treasury activities at XPO are generally centralized, while certain balances are managed locally, except as noted below. To the extent cash and cash equivalents are legally owned by GXO, they are reflected in the combined financial statements.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as discussed further below,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1440" w:right="379" w:bottom="1440" w:gutter="0" w:footer="0" w:header="0"/>
        </w:sectPr>
      </w:pPr>
    </w:p>
    <w:bookmarkStart w:id="480" w:name="page481"/>
    <w:bookmarkEnd w:id="480"/>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6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for additional information related to our receivables securitization secured borrowing program and these borrowings.</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Machinery, equipment and other</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 to 15 years</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6 years</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determine if an arrangement is a lease at inception. We recognize operating lease right-of-use assets and liabilities at the lease commencement date based on the estimated present value of the lease payments over the lease term. For most of our leases, the implicit rate cannot be readily determined and, as a result, we use the incremental borrowing rates of XPO based on the information available at commencement date to determine the present value of future lease payments. This rate is determined from a hypothetical yield curve that takes into consideration market yield levels of XPO’s relevant debt outstanding as well as the index that matches XPO’s credit rating, and then adjusts as if the borrowings were collateralized.</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Combined Balance Sheets. We account for lease and non-lease components within a contract as a single lease component for our real estate leases. For additional information on our leases, see Note 7—Leases.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evaluated segment reporting in accordance with Accounting Standards Codification (“ASC”) 280–Segment Reporting. We concluded that GXO is comprised of two operating segments based on the operating results regularly reviewed by the chief operating decision maker (“CODM”) to make decisions about resource allocation and the performance of the business. These two operating segments have been aggregated into a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measure goodwill as the excess of consideration transferred over the fair value of net assets acquired in business combinations that were pushed down to GXO. We allocate goodwill to our reporting units for the purpose of impairment testing. We evaluate goodwill for impairment annually, or more frequently if an event or circumstance indicates an impairment loss may have been incurred. We measure goodwill impairment, if any, as the amount by which a reporting unit’s carrying amount exceeds its fair value, not to exceed the carrying amount of goodwill. We have two reporting units.</w:t>
      </w:r>
    </w:p>
    <w:p>
      <w:pPr>
        <w:spacing w:after="0" w:line="10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with both of our reporting units having fair values in excess of their carrying values, resulting in no impairment of goodwill.</w:t>
      </w:r>
    </w:p>
    <w:p>
      <w:pPr>
        <w:spacing w:after="0" w:line="9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intangible assets subject to amortization consist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consistent with the risks associated with the recovery of the asset. We amortize intangible assets on a straight-line basis or on a basis consistent with the pattern in which the economic benefits are realized. The estimated useful life for customer relationships ranges from 5 to 15 years.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Other long-term assets include contract assets, primarily comprised of deferred contract-related costs, deposits, miscellaneous long-term receivable balances and other deferred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accrued expenses as of December 31, 2020 and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value-added tax and other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Contract liabilities represents our obligation to transfer services to a customer for which we have received consideration, or the amount is due, from the customer. Contract liabilities are included in other current liabilities on our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participate in a combination of self-insurance programs and purchased insurance that are managed by XPO to provide for the costs of medical, casualty, liability, vehicular, cargo and workers’ compensation claims. XPO periodically evaluates our level of insurance coverage and adjusts our insurance levels based on risk tolerance and premium expense.</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Less: AOCI</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Defined Benefit Plans</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Hedges</w:t>
            </w:r>
          </w:p>
        </w:tc>
        <w:tc>
          <w:tcPr>
            <w:tcW w:w="14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GXO</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periods presented in the Combined Financial Statements, the operations of the Company were included in the consolidated U.S. federal and certain state and local and foreign income tax returns filed by XPO, where applicable. Income tax expense and other income tax related information contained in the Combined Financial Statements are presented on a separate return basis as if the Company had filed its own tax returns. As a result, actual tax transactions included in the consolidated financial statements of XPO may not be included in the combined financial statements. Similarly, the tax treatment of certain items reflected in the combined financial statements may not be reflected in the consolidated financial statements and tax returns of XPO. Therefore, portions of items such as net operating losses (“NOLs”), credit carryforwards, other deferred taxes, and valuation allowances may exist in the combined financial statements that may or may not exist in XPO’s consolidated financial statements and vice versa. In addition, although deferred tax assets have been recognized for NOLs and tax credits in accordance with the separate return method, certain NOLs and credits will not carry over with the Company in connection with the Distribution. The income taxes of the Company as presented in the Combined Financial Statements may not be indicative of the income taxes that the Company will incur in the future. In jurisdictions where the Company has been included in tax returns filed by XPO, any income tax receivables or payables resulting from the related income tax provisions have been reflected in the Combined Balance Sheets within XPO investment.</w:t>
      </w:r>
    </w:p>
    <w:p>
      <w:pPr>
        <w:spacing w:after="0" w:line="1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adopted the separate return approach for the purpose of presenting the Combined Financial Statements, including the income tax provisions (benefits) and the related deferred tax assets and liabilities. The historic operations of the Company reflect a separate return approach for each jurisdiction in which the Company had a presence and XPO filed a tax return.</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account for income taxes using the asset and liability method on a legal entity and jurisdictional basis, under which we recognize the amount of taxes payable or refundable for the current year and deferred tax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(“GILTI”) tax as a period cost.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Combined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convert foreign currency transactions recognized on our Combined Statements of Operations to USD by applying the exchange rate prevailing on the date of the transaction. Gains and losses arising from foreign currency transactions and the effects of remeasuring monetary assets and liabilities are recorded in Other income in our Combined Statements of Operations and were not material for any of the periods presented.</w:t>
      </w:r>
    </w:p>
    <w:p>
      <w:pPr>
        <w:spacing w:after="0" w:line="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a loan designated as a net investment hedge to hedge our exposure to foreign exchange risk on our investments in foreign subsidiaries. Gains or losses on the hedging instrument relating to the effective portion of the hedge are recognized as OCI while any gains or losses relating to the ineffective portion are recognized in the Statements of Operations. On disposal of the foreign operation, the cumulative value of any such gains or losses recorded in equity is transferred to the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December 31, 2020 and 2019 due to their short-term nature and/or being receivable or payable on demand. The Level 1 cash equivalents include money market funds valued using quoted prices in active markets.</w:t>
      </w:r>
    </w:p>
    <w:p>
      <w:pPr>
        <w:spacing w:after="0" w:line="1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$54 million and $25 million, respectively, for the years ended December 31, 2020 and 2019. The cash equivalents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XPO’s compensation programs include grants of stock-based compensation awards to directors, officers and key employees under XPO’s share-based payment programs. These awards include stock options, restricted stock units, performance-based units, cash incentive awards and other equity-related awards. Our Combined Statements of Operations include all of the share-based payment expenses directly attributable to GXO, as well as an allocation of any related XPO Corporate costs. Our stock-based compensation expense is recorded in SG&amp;A on our Combined Statements of Operations and is not material for the years ending December 31, 2020, 2019 and 2018.</w:t>
      </w:r>
    </w:p>
    <w:p>
      <w:pPr>
        <w:spacing w:after="0" w:line="12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of XPO’s stock on the date of the grant. For grants of RSUs subject to market-based vesting conditions, the fair value is established using the Monte Carlo simulation lattice model.</w:t>
      </w:r>
    </w:p>
    <w:p>
      <w:pPr>
        <w:spacing w:after="0" w:line="9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Transactions between the Company and XPO and other subsidiaries,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Combined Balance Sheets as of December 31, 2020 and 2019. For those that have been or are expected to be forgiven, the amounts have been recorded as an adjustment of XPO Investment in the Combined Balance Sheets as of December 31, 2020 and 2019.</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The adoption did not have a material effect on our combined financial statements.</w:t>
      </w:r>
    </w:p>
    <w:p>
      <w:pPr>
        <w:spacing w:after="0" w:line="11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Combined Statements of Operations as the expense for fees of the associated hosting arrangements. We adopted this standard on January 1, 2020 on a prospective basis. The adoption did not have a material effect on our combined financial statements.</w:t>
      </w:r>
    </w:p>
    <w:p>
      <w:pPr>
        <w:spacing w:after="0" w:line="1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ASU 2016-02 is that a lessee should recognize on its Combined Balance Sheets the assets and liabilities that arise from leases, including operating leases. Under the new requirements, a lessee recognizes on the balance sheet the right-of-use asset representing the right to use the underlying asset and the lease liability representing the present value of future lease payments. We utilized a comprehensive approach to assess the impact of ASU 2016-02 on our financial statements and related disclosures. In particular, we completed a robust review of our lease portfolio and enhanced our internal controls, including those related to the identification, monitoring of, measurement and disclosure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lease portfolio. For additional information on our leases, see Note 7—Leases. We adopted ASU 2016-02 and its related amendments (Topic 842) on January 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combined financial statements.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ind w:left="660" w:hanging="652"/>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Purchases of Noncontrolling Interest</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third quarter of 2020 and fourth quarter of 2019, we purchased shareholders’ noncontrolling interests in XPO Logistics Europe for €17 million (approximately $21 million) and €234 million (approximately $258 million), respectively. The portion of the purchased noncontrolling interest which is not attributable to GXO has been recorded as a transfer to the XPO investment account.</w:t>
      </w:r>
    </w:p>
    <w:p>
      <w:pPr>
        <w:spacing w:after="0" w:line="126" w:lineRule="exact"/>
        <w:rPr>
          <w:sz w:val="20"/>
          <w:szCs w:val="20"/>
          <w:color w:val="auto"/>
        </w:rPr>
      </w:pPr>
    </w:p>
    <w:p>
      <w:pPr>
        <w:ind w:left="660" w:hanging="652"/>
        <w:spacing w:after="0"/>
        <w:tabs>
          <w:tab w:leader="none" w:pos="6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bl>
    <w:p>
      <w:pPr>
        <w:spacing w:after="0" w:line="24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Our revenue by industry sector was approximately as follows: e-commerce/retail (39%, 37% and 37% for 2020, 2019 and 2018, respectively); food and beverage (13%, 15% and 15% for 2020, 2019 and 2018, respectively); consumer packaged goods (13%, 12% and 12% for 2020, 2019 and 2018, respectively); consumer technology (11% for 2020, 2019 and 2018, respectively); and other (24%, 25% and 25%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60" w:type="dxa"/>
            <w:vAlign w:val="bottom"/>
            <w:tcBorders>
              <w:top w:val="single" w:sz="8" w:color="auto"/>
            </w:tcBorders>
            <w:shd w:val="clear" w:color="auto" w:fill="CCEEFF"/>
          </w:tcPr>
          <w:p>
            <w:pPr>
              <w:jc w:val="center"/>
              <w:ind w:right="6910"/>
              <w:spacing w:after="0" w:line="202" w:lineRule="exact"/>
              <w:rPr>
                <w:sz w:val="20"/>
                <w:szCs w:val="20"/>
                <w:color w:val="auto"/>
              </w:rPr>
            </w:pPr>
            <w:r>
              <w:rPr>
                <w:rFonts w:ascii="Arial" w:cs="Arial" w:eastAsia="Arial" w:hAnsi="Arial"/>
                <w:sz w:val="18"/>
                <w:szCs w:val="18"/>
                <w:b w:val="1"/>
                <w:bCs w:val="1"/>
                <w:color w:val="auto"/>
                <w:w w:val="88"/>
              </w:rPr>
              <w:t>Balance as of December 31, 2018</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034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340" w:type="dxa"/>
            <w:vAlign w:val="bottom"/>
            <w:gridSpan w:val="3"/>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340" w:type="dxa"/>
            <w:vAlign w:val="bottom"/>
            <w:tcBorders>
              <w:bottom w:val="single" w:sz="8" w:color="CCEEFF"/>
            </w:tcBorders>
            <w:gridSpan w:val="3"/>
            <w:shd w:val="clear" w:color="auto" w:fill="CCEEFF"/>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9680" w:type="dxa"/>
            <w:vAlign w:val="bottom"/>
            <w:gridSpan w:val="2"/>
          </w:tcPr>
          <w:p>
            <w:pPr>
              <w:jc w:val="center"/>
              <w:ind w:right="7120"/>
              <w:spacing w:after="0"/>
              <w:rPr>
                <w:sz w:val="20"/>
                <w:szCs w:val="20"/>
                <w:color w:val="auto"/>
              </w:rPr>
            </w:pPr>
            <w:r>
              <w:rPr>
                <w:rFonts w:ascii="Arial" w:cs="Arial" w:eastAsia="Arial" w:hAnsi="Arial"/>
                <w:sz w:val="18"/>
                <w:szCs w:val="18"/>
                <w:b w:val="1"/>
                <w:bCs w:val="1"/>
                <w:color w:val="auto"/>
                <w:w w:val="88"/>
              </w:rPr>
              <w:t>Balance as of December 31, 2019</w:t>
            </w: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340" w:type="dxa"/>
            <w:vAlign w:val="bottom"/>
            <w:tcBorders>
              <w:bottom w:val="single" w:sz="8" w:color="CCEEFF"/>
            </w:tcBorders>
            <w:gridSpan w:val="3"/>
            <w:shd w:val="clear" w:color="auto" w:fill="CCEEFF"/>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10340" w:type="dxa"/>
            <w:vAlign w:val="bottom"/>
            <w:gridSpan w:val="3"/>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
            <w:shd w:val="clear" w:color="auto" w:fill="CCEEFF"/>
          </w:tcPr>
          <w:p>
            <w:pPr>
              <w:jc w:val="center"/>
              <w:ind w:right="7120"/>
              <w:spacing w:after="0" w:line="169" w:lineRule="exact"/>
              <w:rPr>
                <w:sz w:val="20"/>
                <w:szCs w:val="20"/>
                <w:color w:val="auto"/>
              </w:rPr>
            </w:pPr>
            <w:r>
              <w:rPr>
                <w:rFonts w:ascii="Arial" w:cs="Arial" w:eastAsia="Arial" w:hAnsi="Arial"/>
                <w:sz w:val="18"/>
                <w:szCs w:val="18"/>
                <w:b w:val="1"/>
                <w:bCs w:val="1"/>
                <w:color w:val="auto"/>
                <w:w w:val="88"/>
              </w:rPr>
              <w:t>Balance as of December 31, 2020</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9680" w:type="dxa"/>
            <w:vAlign w:val="bottom"/>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2020, the fixed consideration component of our remaining performance obligation was approximately $1.5 billion, and we expect to recognize approximately 75% of that amount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34" w:lineRule="exact"/>
        <w:rPr>
          <w:sz w:val="20"/>
          <w:szCs w:val="20"/>
          <w:color w:val="auto"/>
        </w:rPr>
      </w:pPr>
    </w:p>
    <w:p>
      <w:pPr>
        <w:ind w:left="660" w:hanging="652"/>
        <w:spacing w:after="0"/>
        <w:tabs>
          <w:tab w:leader="none" w:pos="6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w:t>
      </w:r>
    </w:p>
    <w:p>
      <w:pPr>
        <w:spacing w:after="0" w:line="46" w:lineRule="exact"/>
        <w:rPr>
          <w:sz w:val="20"/>
          <w:szCs w:val="20"/>
          <w:color w:val="auto"/>
        </w:rPr>
      </w:pPr>
    </w:p>
    <w:p>
      <w:pPr>
        <w:ind w:right="300" w:firstLine="8"/>
        <w:spacing w:after="0" w:line="260" w:lineRule="auto"/>
        <w:tabs>
          <w:tab w:leader="none" w:pos="27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These actions generally include severance and facility-related costs, including impairment of operating lease assets, and are intended to improve our efficiency and profitability.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2020 will be complete within twelve months. The majority of the cash outlays related to the charges incurred in 2019 were substantially complete by the end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gridSpan w:val="2"/>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200" w:type="dxa"/>
            <w:vAlign w:val="bottom"/>
          </w:tcPr>
          <w:p>
            <w:pPr>
              <w:spacing w:after="0"/>
              <w:rPr>
                <w:sz w:val="24"/>
                <w:szCs w:val="24"/>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The following table summarizes our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2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8"/>
        </w:trPr>
        <w:tc>
          <w:tcPr>
            <w:tcW w:w="8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Machinery, equipment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20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book value of capitalized internally-developed software included in property and equipment,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4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Depreciation of property and equipment and amortization of computer software was $262 million, $236 million and $190 million for the years ended December 31, 2020, 2019 and 2018, respectively. As of December 31, 2020 and 2019, we held long-lived tangible assets outside of the U.S. of $359 million and $336 million, respectively.</w:t>
      </w:r>
    </w:p>
    <w:p>
      <w:pPr>
        <w:spacing w:after="0" w:line="126" w:lineRule="exact"/>
        <w:rPr>
          <w:sz w:val="20"/>
          <w:szCs w:val="20"/>
          <w:color w:val="auto"/>
        </w:rPr>
      </w:pPr>
    </w:p>
    <w:p>
      <w:pPr>
        <w:ind w:left="660" w:hanging="652"/>
        <w:spacing w:after="0"/>
        <w:tabs>
          <w:tab w:leader="none" w:pos="6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Topic 842, “Leases”</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January 1, 2019, we adopted Topic 842 prospectively through a cumulative-effect adjustment with no restatement of prior period financial statements. Beginning in 2019, net operating lease activity, including the reduction of the operating lease asset and the accretion of the operating lease liability, are reflected in Depreciation, amortization and net lease activity on our Combined Statements of Cash Flows. The adoption of Topic 842 did not have a material impact on our Combined Statements of Operations and our Combined Statements of 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Leases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 The components of our lease expense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0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leased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and finance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188"/>
        </w:trPr>
        <w:tc>
          <w:tcPr>
            <w:tcW w:w="7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1,458</w:t>
            </w:r>
          </w:p>
        </w:tc>
      </w:tr>
      <w:tr>
        <w:trPr>
          <w:trHeight w:val="162"/>
        </w:trPr>
        <w:tc>
          <w:tcPr>
            <w:tcW w:w="7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336</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1,460</w:t>
            </w:r>
          </w:p>
        </w:tc>
      </w:tr>
      <w:tr>
        <w:trPr>
          <w:trHeight w:val="21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128</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w:t>
            </w:r>
          </w:p>
        </w:tc>
      </w:tr>
      <w:tr>
        <w:trPr>
          <w:trHeight w:val="142"/>
        </w:trPr>
        <w:tc>
          <w:tcPr>
            <w:tcW w:w="7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w:t>
            </w:r>
          </w:p>
        </w:tc>
      </w:tr>
      <w:tr>
        <w:trPr>
          <w:trHeight w:val="20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29"/>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years</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472"/>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2"/>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92"/>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8"/>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Property and equipment acquired through capital leases was $38 million for the year ended December 31, 2018. Additionally, non-cash investing activities for the year ended December 31, 2019 included $39 million of property and equipment additions for build-to-suit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we had additional operating leases that have not yet commenced with future undiscounted lease payments of $143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operating leases will commence in 2021 through 2022 with initial lease terms of 2 years to 10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$566 million for the year ended December 31, 2018.</w:t>
      </w:r>
    </w:p>
    <w:p>
      <w:pPr>
        <w:spacing w:after="0" w:line="167"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2018</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2019</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453"/>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w w:val="91"/>
              </w:rPr>
              <w:t>There are no cumulative goodwill impairments as of December 31, 2020.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4520" w:type="dxa"/>
            <w:vAlign w:val="bottom"/>
            <w:gridSpan w:val="2"/>
          </w:tcPr>
          <w:p>
            <w:pPr>
              <w:ind w:left="460"/>
              <w:spacing w:after="0"/>
              <w:rPr>
                <w:sz w:val="20"/>
                <w:szCs w:val="20"/>
                <w:color w:val="auto"/>
              </w:rPr>
            </w:pPr>
            <w:r>
              <w:rPr>
                <w:rFonts w:ascii="Arial" w:cs="Arial" w:eastAsia="Arial" w:hAnsi="Arial"/>
                <w:sz w:val="18"/>
                <w:szCs w:val="18"/>
                <w:b w:val="1"/>
                <w:bCs w:val="1"/>
                <w:color w:val="auto"/>
              </w:rPr>
              <w:t>Intangible Assets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rPr>
              <w:t>The following table summarizes our identifiable intangible assets: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24"/>
                <w:szCs w:val="24"/>
                <w:color w:val="auto"/>
              </w:rPr>
            </w:pPr>
          </w:p>
        </w:tc>
        <w:tc>
          <w:tcPr>
            <w:tcW w:w="264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6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impairment of our identified intangible assets in 2020,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and thereafter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4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Actual amounts of amortization expense may differ from forecasted amounts due to changes in foreign currency exchange rates, additional intangible asset acquisitions, future impairment of intangible assets, accelerated amortization of intangible assets and other events.</w:t>
      </w:r>
    </w:p>
    <w:p>
      <w:pPr>
        <w:spacing w:after="0" w:line="9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Intangible asset amortization expense was $61 million, $65 million and $71 million for the years ended December 31, 2020, 2019 and 2018,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440" w:right="339" w:bottom="1440" w:gutter="0" w:footer="0" w:header="0"/>
          <w:type w:val="continuous"/>
        </w:sectPr>
      </w:pPr>
    </w:p>
    <w:bookmarkStart w:id="491" w:name="page492"/>
    <w:bookmarkEnd w:id="49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4460" w:type="dxa"/>
            <w:vAlign w:val="bottom"/>
            <w:gridSpan w:val="2"/>
          </w:tcPr>
          <w:p>
            <w:pPr>
              <w:ind w:left="6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6"/>
              </w:rPr>
              <w:t>December 31, 2020</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current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466"/>
        </w:trPr>
        <w:tc>
          <w:tcPr>
            <w:tcW w:w="280" w:type="dxa"/>
            <w:vAlign w:val="bottom"/>
          </w:tcPr>
          <w:p>
            <w:pPr>
              <w:spacing w:after="0"/>
              <w:rPr>
                <w:sz w:val="24"/>
                <w:szCs w:val="24"/>
                <w:color w:val="auto"/>
              </w:rPr>
            </w:pPr>
          </w:p>
        </w:tc>
        <w:tc>
          <w:tcPr>
            <w:tcW w:w="7120" w:type="dxa"/>
            <w:vAlign w:val="bottom"/>
            <w:gridSpan w:val="9"/>
          </w:tcPr>
          <w:p>
            <w:pPr>
              <w:ind w:left="6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9"/>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6"/>
        </w:trPr>
        <w:tc>
          <w:tcPr>
            <w:tcW w:w="4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discussed in Note 2—Basis of Presentation and Significant Accounting Policies, XPO Logistics Europe participates in a trade receivables securitization program.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is combined by GXO based on our control of the entity’s activities. The program will expire in July 2022 and contains financial covenants customary for this type of arrangement, including maintaining a defined average days sales outstanding ratio. In 2019, XPO Logistics Europe terminated a prior trade receivables securitization program and paid off the notes associated with that program, which had been included in our debt balances.</w:t>
      </w:r>
    </w:p>
    <w:p>
      <w:pPr>
        <w:spacing w:after="0" w:line="14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current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These borrowings amounted to €21 million ($26 million) as of December 31, 2020.</w:t>
      </w:r>
    </w:p>
    <w:p>
      <w:pPr>
        <w:spacing w:after="0" w:line="13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maximum amount of net cash proceeds available at any one time under the current program, inclusive of any unsecured borrowings, is €400 million (approximately $489 million as of December 31, 2020). As of December 31, 2020, €75 million (approximately $92 million) was available under the program, subject to having sufficient receivables available to sell to the Purchasers. The weighted average interest rate was 0.62% as of December 31, 2020. Charges for commitment fees, which are based on a percentage of available amounts, and charges for administrative fees were not material to our results of operations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492" w:name="page493"/>
    <w:bookmarkEnd w:id="492"/>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December 31, 2020 and 2019, the Company had an outstanding loan payable to XPO of $186 million and $230 million, respectively. The notes are guaranteed by an XPO affiliate.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80" w:hanging="328"/>
        <w:spacing w:after="0" w:line="277" w:lineRule="auto"/>
        <w:tabs>
          <w:tab w:leader="none" w:pos="6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€20 million (approximately $24 million as of December 31, 2020) entered in 2013 bearing interest at a variable rate of twelve-month Euribor plus 1% and maturing in October 2026;</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£82 million (approximately $111 million as of December 31, 2020) entered in 2016 bearing interest at a variable rate of twelve-month Libor plus 1% and maturing in October 2026;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22 PLN million entered in 2018 bearing interest at a fixed rate of 5.625% and maturing in April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2019, the outstanding amounts related to these loans payable to XPO were $135 million and $136 million, respectively.</w:t>
      </w:r>
    </w:p>
    <w:p>
      <w:pPr>
        <w:spacing w:after="0" w:line="19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$165 million and $189 million at December 31, 2020 and 2019, respectively.</w:t>
      </w:r>
    </w:p>
    <w:p>
      <w:pPr>
        <w:spacing w:after="0" w:line="126" w:lineRule="exact"/>
        <w:rPr>
          <w:sz w:val="20"/>
          <w:szCs w:val="20"/>
          <w:color w:val="auto"/>
        </w:rPr>
      </w:pPr>
    </w:p>
    <w:p>
      <w:pPr>
        <w:ind w:left="640" w:hanging="632"/>
        <w:spacing w:after="0"/>
        <w:tabs>
          <w:tab w:leader="none" w:pos="6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XPO sponsors both funded and unfunded defined benefit pension plans in which GXO’s U.S. subsidiaries are one of a number of companies that participate.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XPO also sponsors a defined benefit pension plan for some of our employees in the United Kingdom. Both the U.S. plans and the U.K. plan do not allow for new plan participants or additional benefit accruals. XPO also maintains defined benefit pension plans for some of our foreign subsidiaries that are immaterial for disclosure purposes.</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U.S. plans and the U.K. plan are accounted for as multi-employer benefits plans in these combined financial statements, and the Combined Balance Sheets do not reflect any assets or liabilities related to these plans. Required funding has been made by XPO. Net periodic benefit income related to these plans is not material for the years ended December 31, 2020, 2019 and 2018.</w:t>
      </w:r>
    </w:p>
    <w:p>
      <w:pPr>
        <w:spacing w:after="0" w:line="130"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Certain current and former employees of European subsidiaries of GXO participate in a defined benefit plan sponsored by a related-party. Historical contributions to the plan sponsor to cover administrative expenses have been immaterial. These combined financial statements do not reflect any pension income or expense from this plan as historically there have been no distributions to or contributions by our European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additionally sponsors qualified defined contribution plans, in which GXO is one of a number of companies that participate. Contributions for employees of GXO for the years ended December 31, 2020, 2019, and 2018 were $14 million, $14 million, and $12 million, respectively. The majority of the expense is recorded in Direct operating expense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Medical Plan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XPO also sponsors a postretirement medical plan that provides health benefits to certain employees who are at least 55 years of age with at least 10 years of service (the “Postretirement Plan”). The Postretirement Plan does not provide employer-subsidized retiree medical benefits for employees hired on or after January 1, 1993. Our costs related to this plan were not material for the years ended December 31, 2020, 2019 and 2018.</w:t>
      </w:r>
    </w:p>
    <w:p>
      <w:pPr>
        <w:spacing w:after="0" w:line="91" w:lineRule="exact"/>
        <w:rPr>
          <w:sz w:val="20"/>
          <w:szCs w:val="20"/>
          <w:color w:val="auto"/>
        </w:rPr>
      </w:pPr>
    </w:p>
    <w:p>
      <w:pPr>
        <w:ind w:left="660" w:hanging="652"/>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tax provisions have been prepared on a separate return basis as if GXO was a separate group of companies under common ownership. The operations have been combined as if GXO was filing on a combined basis for U.S. federal, U.S. state and non-U.S. income tax purposes, where allowable by law. GXO is subject to regulation under a wide variety of U.S. federal, U.S. state and non-U.S. tax laws, regulations and policies. Additionally, our European subsidiaries are subject to regulation under a wide variety of European tax laws, regulations and policies. Changes to these laws or regulations may affect our tax liability, return on investments and business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taxes related to our U.S. and foreign operations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360" w:type="dxa"/>
            <w:vAlign w:val="bottom"/>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66"/>
        </w:trPr>
        <w:tc>
          <w:tcPr>
            <w:tcW w:w="6320" w:type="dxa"/>
            <w:vAlign w:val="bottom"/>
            <w:gridSpan w:val="2"/>
          </w:tcPr>
          <w:p>
            <w:pPr>
              <w:ind w:left="340"/>
              <w:spacing w:after="0"/>
              <w:rPr>
                <w:sz w:val="20"/>
                <w:szCs w:val="20"/>
                <w:color w:val="auto"/>
              </w:rPr>
            </w:pPr>
            <w:r>
              <w:rPr>
                <w:rFonts w:ascii="Arial" w:cs="Arial" w:eastAsia="Arial" w:hAnsi="Arial"/>
                <w:sz w:val="18"/>
                <w:szCs w:val="18"/>
                <w:color w:val="auto"/>
              </w:rPr>
              <w:t>The income tax provision (benefit) is comprised of the following:</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1"/>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income tax provision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expense reconciliations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State taxes, net of U.S. federal benefit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rate differential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Foreign operations</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Contribution- and margin-based taxes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Valuation allowances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Changes in uncertain tax positions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319" w:lineRule="exact"/>
        <w:rPr>
          <w:sz w:val="20"/>
          <w:szCs w:val="20"/>
          <w:color w:val="auto"/>
        </w:rPr>
      </w:pPr>
    </w:p>
    <w:p>
      <w:pPr>
        <w:ind w:left="660" w:right="200" w:hanging="328"/>
        <w:spacing w:after="0" w:line="273" w:lineRule="auto"/>
        <w:tabs>
          <w:tab w:leader="none" w:pos="658" w:val="left"/>
        </w:tabs>
        <w:numPr>
          <w:ilvl w:val="0"/>
          <w:numId w:val="359"/>
        </w:numPr>
        <w:rPr>
          <w:rFonts w:ascii="Arial" w:cs="Arial" w:eastAsia="Arial" w:hAnsi="Arial"/>
          <w:sz w:val="13"/>
          <w:szCs w:val="13"/>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7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Total deferred tax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asset and deferred tax liability above are reflected on our Combined Balance Sheets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440" w:right="339" w:bottom="1440" w:gutter="0" w:footer="0" w:header="0"/>
          <w:type w:val="continuous"/>
        </w:sectPr>
      </w:pPr>
    </w:p>
    <w:bookmarkStart w:id="495" w:name="page496"/>
    <w:bookmarkEnd w:id="495"/>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a result of the Tax Cuts and Jobs Act, the Company has decided to apply a partial indefinite reversal assertion to pre-2018 earnings and profits that have been invested back into the foreign businesses. The Company has also decided not to apply an indefinite reversal assertion on all 2018 and future years’ earnings and profits.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loss and tax credit carryforwards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Expiration Date</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8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2033 - 2037</w:t>
            </w:r>
            <w:r>
              <w:rPr>
                <w:rFonts w:ascii="Arial" w:cs="Arial" w:eastAsia="Arial" w:hAnsi="Arial"/>
                <w:sz w:val="23"/>
                <w:szCs w:val="23"/>
                <w:color w:val="auto"/>
                <w:w w:val="87"/>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(including those of minority owned subsidiaries)</w:t>
            </w: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80" w:type="dxa"/>
            <w:vAlign w:val="bottom"/>
            <w:gridSpan w:val="2"/>
            <w:vMerge w:val="continue"/>
            <w:shd w:val="clear" w:color="auto" w:fill="CCEEFF"/>
          </w:tcPr>
          <w:p>
            <w:pPr>
              <w:spacing w:after="0"/>
              <w:rPr>
                <w:sz w:val="19"/>
                <w:szCs w:val="19"/>
                <w:color w:val="auto"/>
              </w:rPr>
            </w:pP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2037</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 tax credit carryforward</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80" w:type="dxa"/>
            <w:vAlign w:val="bottom"/>
            <w:gridSpan w:val="2"/>
            <w:vMerge w:val="continue"/>
          </w:tcPr>
          <w:p>
            <w:pPr>
              <w:spacing w:after="0"/>
              <w:rPr>
                <w:sz w:val="19"/>
                <w:szCs w:val="19"/>
                <w:color w:val="auto"/>
              </w:rPr>
            </w:pP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income</w:t>
            </w: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360"/>
        </w:numPr>
        <w:rPr>
          <w:rFonts w:ascii="Arial" w:cs="Arial" w:eastAsia="Arial" w:hAnsi="Arial"/>
          <w:sz w:val="13"/>
          <w:szCs w:val="13"/>
          <w:color w:val="auto"/>
        </w:rPr>
      </w:pPr>
      <w:r>
        <w:rPr>
          <w:rFonts w:ascii="Arial" w:cs="Arial" w:eastAsia="Arial" w:hAnsi="Arial"/>
          <w:sz w:val="14"/>
          <w:szCs w:val="14"/>
          <w:color w:val="auto"/>
        </w:rPr>
        <w:t>Some credits and losses have unlimited carryforward periods.</w:t>
      </w: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established valuation allowances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allowances have been provided on these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and activity related to our valuation allowances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Reductions</w:t>
            </w: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Ending Balance</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63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vMerge w:val="restart"/>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tax rate as of the end of the year</w:t>
            </w: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could reflect a reduction to unrecognized tax benefits of $3 million over the next 12 months due to the statute of limitations lapsing on positions or because tax positions are sustained on audit.</w:t>
      </w:r>
    </w:p>
    <w:p>
      <w:pPr>
        <w:spacing w:after="0" w:line="11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2020, we have no tax years under examination by the IRS. We have various U.S. state and local examinations and non-U.S. examinations in process. The U.S. federal tax returns after 2008, state and local returns after 2012, and non-U.S. returns after 2009 are open under relevant statutes of limitations and are subject to audit.</w:t>
      </w:r>
    </w:p>
    <w:p>
      <w:pPr>
        <w:spacing w:after="0" w:line="91"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139"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between the Company and XPO, and other non-GXO subsidiaries, are deemed related-party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corporate-related costs for purposes of preparing these combined financial statements.</w:t>
      </w:r>
    </w:p>
    <w:p>
      <w:pPr>
        <w:spacing w:after="0" w:line="13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Costs of $223 million, $166 million and $129 million for the years ended December 31, 2020, 2019 and 2018, respectively, have been reflected in SG&amp;A and Other income in our Combined Statements of Operations for our allocated share of XPO’s corporate overhead.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years ended December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$105 million and $65 million as of December 31, 2020 and 2019, respectively. These receivables were originated by XPO and are classified as financial assets within other current assets on the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Assets and liabilities on the Combined Balance Sheets include the following related-party amounts that are expected to be cash settled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bl>
    <w:p>
      <w:pPr>
        <w:spacing w:after="0" w:line="305" w:lineRule="exact"/>
        <w:rPr>
          <w:sz w:val="20"/>
          <w:szCs w:val="20"/>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0"/>
          <w:numId w:val="363"/>
        </w:numPr>
        <w:rPr>
          <w:rFonts w:ascii="Arial" w:cs="Arial" w:eastAsia="Arial" w:hAnsi="Arial"/>
          <w:sz w:val="13"/>
          <w:szCs w:val="13"/>
          <w:color w:val="auto"/>
        </w:rPr>
      </w:pPr>
      <w:r>
        <w:rPr>
          <w:rFonts w:ascii="Arial" w:cs="Arial" w:eastAsia="Arial" w:hAnsi="Arial"/>
          <w:sz w:val="14"/>
          <w:szCs w:val="14"/>
          <w:color w:val="auto"/>
        </w:rPr>
        <w:t>Represents loans due to XPO. See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139"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January 2021, XPO Logistics Europe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1440" w:right="559" w:bottom="1440" w:gutter="0" w:footer="0" w:header="0"/>
        </w:sectPr>
      </w:pPr>
    </w:p>
    <w:bookmarkStart w:id="499" w:name="page500"/>
    <w:bookmarkEnd w:id="49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$12 and $18,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0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$962 and $922 in accumulated depreciation,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$382 and $373 in accumulated amortization, respectively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loss, net of tax effect of $3 and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5"/>
        </w:trPr>
        <w:tc>
          <w:tcPr>
            <w:tcW w:w="802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Unrealized loss on financial assets/liabilities designated as hedging instruments, net of tax effect of $(1)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GXO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502" w:name="page503"/>
    <w:bookmarkEnd w:id="50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(borrowings) related to trade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Condensed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Condensed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Condensed Combined Financial Statements are presented as if the GXO businesses had been combined for all periods presented. The assets and liabilities in the Condensed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1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Condensed Combined Balance Sheets include certain assets and liabilities directly attributable to GXO, and the Condensed Combined Statements of Operations include allocations of XPO costs and expenses, as described below.</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Condensed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320" w:top="1440" w:right="399" w:bottom="1440" w:gutter="0" w:footer="0" w:header="0"/>
        </w:sectPr>
      </w:pPr>
    </w:p>
    <w:bookmarkStart w:id="505" w:name="page506"/>
    <w:bookmarkEnd w:id="505"/>
    <w:p>
      <w:pPr>
        <w:spacing w:after="0" w:line="14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transaction and integration costs, as well as restructuring costs and other adjustments, or headcount. The majority of these allocated costs are recorded in SG&amp;A and Depreciation and amortization expense in the Condensed Combined Statements of Operations. We believe the assumptions regarding allocations of XPO corporate expenses are reasonable. Nevertheless, the Condensed Combined Financial Statements may not reflect the combined results of operations, financial position and cash flows had the Company been a standalone entity during the periods presented.</w:t>
      </w:r>
    </w:p>
    <w:p>
      <w:pPr>
        <w:spacing w:after="0" w:line="1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Condensed Combined Financial Statements, and are considered to be effectively settled at the time the transaction is recorded. The total net effect of the cash settlement of these transactions is reflected in the Condensed Combined Statements of Cash Flows as a financing activity and in the Condensed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Condensed Combined Financial Statements include the accounts and business activities distributed across the legal entities of GXO. Significant intercompany balances and transactions among the operations of the GXO legal entities have been eliminated in the Condensed Combined Financial Statements. All significant related party transactions between GXO and XPO have been included in these Condensed Combined Financial Statements as components of XPO investment. The Condensed Combined Financial Statements reflect all adjustments that are of a normal recurring nature and are necessary for a fair presentation of financial condition, operating results and cash flows for the interim periods presented. Operating results for the three months ended March 31, 2021 and 2020 are not necessarily indicative of the results that may be expected for the year ending December 31, 2021 and 2020, respectively, particularly in light of the outbreak of a strain of coronavirus, COVID-19, in the first quarter of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Condensed Combined Balance Sheets, and the related cash flows have been reflected within Purchase and sale of affiliate trade receivables, net, within investing activities in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320" w:top="1440" w:right="359" w:bottom="1440" w:gutter="0" w:footer="0" w:header="0"/>
        </w:sectPr>
      </w:pPr>
    </w:p>
    <w:bookmarkStart w:id="506" w:name="page507"/>
    <w:bookmarkEnd w:id="50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7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March 31, 2021 and December 31, 2020 due to their short-term nature and/or being receivable or payable on demand. The Level 1 cash equivalents include money market funds valued using quoted prices in active markets.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$45 million and $54 million as of March 31, 2021 and December 31, 2020, respectively. The cash equivalents are classified as Level 1 within the fair value hierarchy.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Condensed Combined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139" w:lineRule="exact"/>
        <w:rPr>
          <w:sz w:val="20"/>
          <w:szCs w:val="20"/>
          <w:color w:val="auto"/>
        </w:rPr>
      </w:pPr>
    </w:p>
    <w:p>
      <w:pPr>
        <w:ind w:left="660" w:hanging="652"/>
        <w:spacing w:after="0"/>
        <w:tabs>
          <w:tab w:leader="none" w:pos="6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January 2021, we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 We have recorded preliminary estimates for the fair value of acquired assets and liabilities assumed, including approximately $300 million of operating lease assets and operating lease liabilities. Pro forma results of operations for this acquisition have not been presented as it is not material to the condensed combined results of operations.</w:t>
      </w:r>
    </w:p>
    <w:p>
      <w:pPr>
        <w:spacing w:after="0" w:line="118" w:lineRule="exact"/>
        <w:rPr>
          <w:sz w:val="20"/>
          <w:szCs w:val="20"/>
          <w:color w:val="auto"/>
        </w:rPr>
      </w:pPr>
    </w:p>
    <w:p>
      <w:pPr>
        <w:ind w:left="660" w:hanging="652"/>
        <w:spacing w:after="0"/>
        <w:tabs>
          <w:tab w:leader="none" w:pos="6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bl>
    <w:p>
      <w:pPr>
        <w:spacing w:after="0" w:line="2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revenue by industry sector was approximately as follows: e-commerce/retail (37% and 36% for the three months ended March 31, 2021 and 2020, respectively); food and beverage (18% and 15% for the three months ended March 31, 2021 and 2020, respectively); consumer packaged goods (12% for both the three months ended March 31, 2021 and 2020); consumer technology (10% and 11% for the three months ended March 31, 2021 and 2020, respectively); and other (23%, and 26% for the three months ended March 31, 2021 and 2020,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Unearned revenue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0"/>
        </w:trPr>
        <w:tc>
          <w:tcPr>
            <w:tcW w:w="9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40" w:hanging="308"/>
        <w:spacing w:after="0"/>
        <w:tabs>
          <w:tab w:leader="none" w:pos="64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Includes $82 million related to the Kuehne + Nagel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2021, the fixed consideration component of our remaining performance obligation was approximately $2.0 billion, and we expect to recognize approximately 65% of that amount over the next three years and the remainder thereafter. The remaining performance obligation at March 31, 2021 includes contracts related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240"/>
          </w:cols>
          <w:pgMar w:left="320" w:top="1440" w:right="339" w:bottom="1440" w:gutter="0" w:footer="0" w:header="0"/>
          <w:type w:val="continuous"/>
        </w:sectPr>
      </w:pPr>
    </w:p>
    <w:bookmarkStart w:id="508" w:name="page509"/>
    <w:bookmarkEnd w:id="508"/>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Kuehne + Nagel acquisition. We estimate remaining performance obligations at a point in time and actual amounts may differ from these estimates due to changes in foreign currency exchange rates and contract revisions or terminations.</w:t>
      </w:r>
    </w:p>
    <w:p>
      <w:pPr>
        <w:spacing w:after="0" w:line="112"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operating lease assets, and are intended to improve our efficiency and profitability.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9"/>
        </w:trPr>
        <w:tc>
          <w:tcPr>
            <w:tcW w:w="9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the three months ended March 31, 2021 will be complete within twelve months.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1"/>
        </w:trPr>
        <w:tc>
          <w:tcPr>
            <w:tcW w:w="2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453"/>
        </w:trPr>
        <w:tc>
          <w:tcPr>
            <w:tcW w:w="240" w:type="dxa"/>
            <w:vAlign w:val="bottom"/>
          </w:tcPr>
          <w:p>
            <w:pPr>
              <w:spacing w:after="0"/>
              <w:rPr>
                <w:sz w:val="24"/>
                <w:szCs w:val="24"/>
                <w:color w:val="auto"/>
              </w:rPr>
            </w:pPr>
          </w:p>
        </w:tc>
        <w:tc>
          <w:tcPr>
            <w:tcW w:w="7160" w:type="dxa"/>
            <w:vAlign w:val="bottom"/>
            <w:gridSpan w:val="9"/>
          </w:tcPr>
          <w:p>
            <w:pPr>
              <w:ind w:left="10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29"/>
        </w:trPr>
        <w:tc>
          <w:tcPr>
            <w:tcW w:w="4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24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Borrowings related to Securitization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defined average days sales outstanding ratio. For additional information on the securitization program, see Note 2—Basis of Presentation.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March 31, 2021 and December 31, 2020, the Company had an outstanding loan payable to XPO of $174 million and $186 million, respectively. The notes are guaranteed by an XPO affiliate.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280" w:hanging="328"/>
        <w:spacing w:after="0" w:line="277" w:lineRule="auto"/>
        <w:tabs>
          <w:tab w:leader="none" w:pos="65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€20 million (approximately $23 million as of March 31, 2021) entered into in 2013, bearing interest at a variable rate of twelve-month Euribor plus 1% and maturing in October 2026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£82 million (approximately $112 million as of March 31, 2021) entered into in 2016, bearing interest at a variable rate of twelve-month Libor plus 1% and maturing in October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amounts related to these loans payable to XPO was $135 million as of both March 31, 2021 and December 31, 2020.</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$148 million and $165 million at March 31, 2021 and December 31, 2020, respectively.</w:t>
      </w:r>
    </w:p>
    <w:p>
      <w:pPr>
        <w:spacing w:after="0" w:line="126" w:lineRule="exact"/>
        <w:rPr>
          <w:sz w:val="20"/>
          <w:szCs w:val="20"/>
          <w:color w:val="auto"/>
        </w:rPr>
      </w:pPr>
    </w:p>
    <w:p>
      <w:pPr>
        <w:ind w:left="660" w:hanging="652"/>
        <w:spacing w:after="0"/>
        <w:tabs>
          <w:tab w:leader="none" w:pos="6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320" w:top="1440" w:right="379" w:bottom="1440" w:gutter="0" w:footer="0" w:header="0"/>
        </w:sectPr>
      </w:pPr>
    </w:p>
    <w:bookmarkStart w:id="510" w:name="page511"/>
    <w:bookmarkEnd w:id="510"/>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satisfy a legal claim outside the scope of the coverage provided by insurance, our financial condition, results of operations or cash flows could be negatively impacted.</w:t>
      </w:r>
    </w:p>
    <w:p>
      <w:pPr>
        <w:spacing w:after="0" w:line="112" w:lineRule="exact"/>
        <w:rPr>
          <w:sz w:val="20"/>
          <w:szCs w:val="20"/>
          <w:color w:val="auto"/>
        </w:rPr>
      </w:pPr>
    </w:p>
    <w:p>
      <w:pPr>
        <w:ind w:left="660" w:hanging="652"/>
        <w:spacing w:after="0"/>
        <w:tabs>
          <w:tab w:leader="none" w:pos="6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Transactions between the Company and XPO, and other non-GXO subsidiaries of XPO,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Condensed Combined Balance Sheets as of March 31, 2021 and December 31, 2020. For those that have been or are expected to be forgiven, the amounts have been recorded as an adjustment of XPO Investment in the Condensed Combined Balance Sheets as of March 31, 2021 and December 31, 2020.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such costs for purposes of preparing these combined financial statements.</w:t>
      </w:r>
    </w:p>
    <w:p>
      <w:pPr>
        <w:spacing w:after="0" w:line="13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Costs of $69 million and $59 million for the three months ended March 31, 2021 and 2020, respectively, have been reflected in SG&amp;A in our Condensed Combined Statements of Operations for our allocated share of XPO’s corporate overhead.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months ended March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4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$85 million and $105 million as of March 31, 2021 and December 31, 2020, respectively. These receivables were originated by XPO and are classified as financial assets within other current assets on the Condensed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and liabilities on the Condensed Combined Balance Sheets include the following related-party amounts that are expected to be cash settled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375"/>
        </w:numPr>
        <w:rPr>
          <w:rFonts w:ascii="Arial" w:cs="Arial" w:eastAsia="Arial" w:hAnsi="Arial"/>
          <w:sz w:val="14"/>
          <w:szCs w:val="14"/>
          <w:color w:val="auto"/>
        </w:rPr>
      </w:pPr>
      <w:r>
        <w:rPr>
          <w:rFonts w:ascii="Arial" w:cs="Arial" w:eastAsia="Arial" w:hAnsi="Arial"/>
          <w:sz w:val="14"/>
          <w:szCs w:val="14"/>
          <w:color w:val="auto"/>
        </w:rPr>
        <w:t>Represents loans due to XPO. See Note 6 for further information.</w:t>
      </w:r>
    </w:p>
    <w:p>
      <w:pPr>
        <w:spacing w:after="0" w:line="232" w:lineRule="exact"/>
        <w:rPr>
          <w:rFonts w:ascii="Arial" w:cs="Arial" w:eastAsia="Arial" w:hAnsi="Arial"/>
          <w:sz w:val="14"/>
          <w:szCs w:val="14"/>
          <w:color w:val="auto"/>
        </w:rPr>
      </w:pPr>
    </w:p>
    <w:p>
      <w:pPr>
        <w:ind w:left="660" w:hanging="652"/>
        <w:spacing w:after="0"/>
        <w:tabs>
          <w:tab w:leader="none" w:pos="6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April 2021, the Company announced a buy-out offer to be followed by a squeeze-out for the remaining 3% of XPO Logistics Europe that it does not already own, at a price of €315 per share for 341,887 shares. It is expected that the total cash consideration to be paid in connection with this offer will be approximately €108 million (approximately $128 million). The offer will be subject to review by the Supervisory Board of XPO Logistics Europe, as well as other regulatory bodies. In anticipation of the buy-out, XPO contributed $122 million of cash to GXO during the first quarter of 2021. This contribution is reflected as an increase to Net transfers from XPO on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973E32"/>
    <w:multiLevelType w:val="hybridMultilevel"/>
    <w:lvl w:ilvl="0">
      <w:lvlJc w:val="left"/>
      <w:lvlText w:val="*"/>
      <w:numFmt w:val="bullet"/>
      <w:start w:val="1"/>
    </w:lvl>
  </w:abstractNum>
  <w:abstractNum w:abstractNumId="1">
    <w:nsid w:val="EAD6F57"/>
    <w:multiLevelType w:val="hybridMultilevel"/>
    <w:lvl w:ilvl="0">
      <w:lvlJc w:val="left"/>
      <w:lvlText w:val="**"/>
      <w:numFmt w:val="bullet"/>
      <w:start w:val="1"/>
    </w:lvl>
  </w:abstractNum>
  <w:abstractNum w:abstractNumId="2">
    <w:nsid w:val="6EC9D844"/>
    <w:multiLevelType w:val="hybridMultilevel"/>
    <w:lvl w:ilvl="0">
      <w:lvlJc w:val="left"/>
      <w:lvlText w:val="%1."/>
      <w:numFmt w:val="decimal"/>
      <w:start w:val="1"/>
    </w:lvl>
  </w:abstractNum>
  <w:abstractNum w:abstractNumId="3">
    <w:nsid w:val="5C49EAEE"/>
    <w:multiLevelType w:val="hybridMultilevel"/>
    <w:lvl w:ilvl="0">
      <w:lvlJc w:val="left"/>
      <w:lvlText w:val="(%1)"/>
      <w:numFmt w:val="lowerLetter"/>
      <w:start w:val="1"/>
    </w:lvl>
  </w:abstractNum>
  <w:abstractNum w:abstractNumId="4">
    <w:nsid w:val="64AF49B"/>
    <w:multiLevelType w:val="hybridMultilevel"/>
    <w:lvl w:ilvl="0">
      <w:lvlJc w:val="left"/>
      <w:lvlText w:val="(%1)"/>
      <w:numFmt w:val="lowerLetter"/>
      <w:start w:val="1"/>
    </w:lvl>
  </w:abstractNum>
  <w:abstractNum w:abstractNumId="5">
    <w:nsid w:val="397C46BC"/>
    <w:multiLevelType w:val="hybridMultilevel"/>
    <w:lvl w:ilvl="0">
      <w:lvlJc w:val="left"/>
      <w:lvlText w:val="(%1)"/>
      <w:numFmt w:val="lowerLetter"/>
      <w:start w:val="1"/>
    </w:lvl>
  </w:abstractNum>
  <w:abstractNum w:abstractNumId="6">
    <w:nsid w:val="7E448DE9"/>
    <w:multiLevelType w:val="hybridMultilevel"/>
    <w:lvl w:ilvl="0">
      <w:lvlJc w:val="left"/>
      <w:lvlText w:val="(%1)"/>
      <w:numFmt w:val="lowerLetter"/>
      <w:start w:val="1"/>
    </w:lvl>
  </w:abstractNum>
  <w:abstractNum w:abstractNumId="7">
    <w:nsid w:val="5A9CC3E5"/>
    <w:multiLevelType w:val="hybridMultilevel"/>
    <w:lvl w:ilvl="0">
      <w:lvlJc w:val="left"/>
      <w:lvlText w:val="(%1)"/>
      <w:numFmt w:val="lowerLetter"/>
      <w:start w:val="2"/>
    </w:lvl>
  </w:abstractNum>
  <w:abstractNum w:abstractNumId="8">
    <w:nsid w:val="1AFE3625"/>
    <w:multiLevelType w:val="hybridMultilevel"/>
    <w:lvl w:ilvl="0">
      <w:lvlJc w:val="left"/>
      <w:lvlText w:val="(%1)"/>
      <w:numFmt w:val="upperLetter"/>
      <w:start w:val="1"/>
    </w:lvl>
  </w:abstractNum>
  <w:abstractNum w:abstractNumId="9">
    <w:nsid w:val="3CA88ECF"/>
    <w:multiLevelType w:val="hybridMultilevel"/>
    <w:lvl w:ilvl="0">
      <w:lvlJc w:val="left"/>
      <w:lvlText w:val="(%1)"/>
      <w:numFmt w:val="upperLetter"/>
      <w:start w:val="1"/>
    </w:lvl>
  </w:abstractNum>
  <w:abstractNum w:abstractNumId="10">
    <w:nsid w:val="6EBE4208"/>
    <w:multiLevelType w:val="hybridMultilevel"/>
    <w:lvl w:ilvl="0">
      <w:lvlJc w:val="left"/>
      <w:lvlText w:val="(%1)"/>
      <w:numFmt w:val="upperLetter"/>
      <w:start w:val="2"/>
    </w:lvl>
  </w:abstractNum>
  <w:abstractNum w:abstractNumId="11">
    <w:nsid w:val="C058DF5"/>
    <w:multiLevelType w:val="hybridMultilevel"/>
    <w:lvl w:ilvl="0">
      <w:lvlJc w:val="left"/>
      <w:lvlText w:val="(%1)"/>
      <w:numFmt w:val="upperLetter"/>
      <w:start w:val="3"/>
    </w:lvl>
    <w:lvl w:ilvl="1">
      <w:lvlJc w:val="left"/>
      <w:lvlText w:val="(%2)"/>
      <w:numFmt w:val="decimal"/>
      <w:start w:val="1"/>
    </w:lvl>
  </w:abstractNum>
  <w:abstractNum w:abstractNumId="12">
    <w:nsid w:val="CBE5BE9"/>
    <w:multiLevelType w:val="hybridMultilevel"/>
    <w:lvl w:ilvl="0">
      <w:lvlJc w:val="left"/>
      <w:lvlText w:val="(%1)"/>
      <w:numFmt w:val="decimal"/>
      <w:start w:val="2"/>
    </w:lvl>
  </w:abstractNum>
  <w:abstractNum w:abstractNumId="13">
    <w:nsid w:val="3102BBE2"/>
    <w:multiLevelType w:val="hybridMultilevel"/>
    <w:lvl w:ilvl="0">
      <w:lvlJc w:val="left"/>
      <w:lvlText w:val="%1"/>
      <w:numFmt w:val="upperLetter"/>
      <w:start w:val="1"/>
    </w:lvl>
    <w:lvl w:ilvl="1">
      <w:lvlJc w:val="left"/>
      <w:lvlText w:val="(%2)"/>
      <w:numFmt w:val="decimal"/>
      <w:start w:val="3"/>
    </w:lvl>
  </w:abstractNum>
  <w:abstractNum w:abstractNumId="14">
    <w:nsid w:val="26A02C5E"/>
    <w:multiLevelType w:val="hybridMultilevel"/>
    <w:lvl w:ilvl="0">
      <w:lvlJc w:val="left"/>
      <w:lvlText w:val="(%1)"/>
      <w:numFmt w:val="upperLetter"/>
      <w:start w:val="4"/>
    </w:lvl>
    <w:lvl w:ilvl="1">
      <w:lvlJc w:val="left"/>
      <w:lvlText w:val="%2"/>
      <w:numFmt w:val="decimal"/>
      <w:start w:val="1"/>
    </w:lvl>
  </w:abstractNum>
  <w:abstractNum w:abstractNumId="15">
    <w:nsid w:val="541C8153"/>
    <w:multiLevelType w:val="hybridMultilevel"/>
    <w:lvl w:ilvl="0">
      <w:lvlJc w:val="left"/>
      <w:lvlText w:val="(%1)"/>
      <w:numFmt w:val="upperLetter"/>
      <w:start w:val="1"/>
    </w:lvl>
  </w:abstractNum>
  <w:abstractNum w:abstractNumId="16">
    <w:nsid w:val="67906F60"/>
    <w:multiLevelType w:val="hybridMultilevel"/>
    <w:lvl w:ilvl="0">
      <w:lvlJc w:val="left"/>
      <w:lvlText w:val="(%1)"/>
      <w:numFmt w:val="upperLetter"/>
      <w:start w:val="1"/>
    </w:lvl>
  </w:abstractNum>
  <w:abstractNum w:abstractNumId="17">
    <w:nsid w:val="10DB9DAA"/>
    <w:multiLevelType w:val="hybridMultilevel"/>
    <w:lvl w:ilvl="0">
      <w:lvlJc w:val="left"/>
      <w:lvlText w:val="(%1)"/>
      <w:numFmt w:val="upperLetter"/>
      <w:start w:val="1"/>
    </w:lvl>
  </w:abstractNum>
  <w:abstractNum w:abstractNumId="18">
    <w:nsid w:val="697D2D2"/>
    <w:multiLevelType w:val="hybridMultilevel"/>
    <w:lvl w:ilvl="0">
      <w:lvlJc w:val="left"/>
      <w:lvlText w:val="%1"/>
      <w:numFmt w:val="decimal"/>
      <w:start w:val="1"/>
    </w:lvl>
    <w:lvl w:ilvl="1">
      <w:lvlJc w:val="left"/>
      <w:lvlText w:val="(%2)"/>
      <w:numFmt w:val="upperLetter"/>
      <w:start w:val="2"/>
    </w:lvl>
  </w:abstractNum>
  <w:abstractNum w:abstractNumId="19">
    <w:nsid w:val="6D68AB2"/>
    <w:multiLevelType w:val="hybridMultilevel"/>
    <w:lvl w:ilvl="0">
      <w:lvlJc w:val="left"/>
      <w:lvlText w:val="(%1)"/>
      <w:numFmt w:val="decimal"/>
      <w:start w:val="2"/>
    </w:lvl>
    <w:lvl w:ilvl="1">
      <w:lvlJc w:val="left"/>
      <w:lvlText w:val="%2"/>
      <w:numFmt w:val="upperLetter"/>
      <w:start w:val="1"/>
    </w:lvl>
  </w:abstractNum>
  <w:abstractNum w:abstractNumId="20">
    <w:nsid w:val="3A966CD0"/>
    <w:multiLevelType w:val="hybridMultilevel"/>
    <w:lvl w:ilvl="0">
      <w:lvlJc w:val="left"/>
      <w:lvlText w:val="(%1)"/>
      <w:numFmt w:val="upperLetter"/>
      <w:start w:val="1"/>
    </w:lvl>
  </w:abstractNum>
  <w:abstractNum w:abstractNumId="21">
    <w:nsid w:val="63F37E85"/>
    <w:multiLevelType w:val="hybridMultilevel"/>
    <w:lvl w:ilvl="0">
      <w:lvlJc w:val="left"/>
      <w:lvlText w:val="(%1)"/>
      <w:numFmt w:val="upperLetter"/>
      <w:start w:val="1"/>
    </w:lvl>
  </w:abstractNum>
  <w:abstractNum w:abstractNumId="22">
    <w:nsid w:val="5895F5FA"/>
    <w:multiLevelType w:val="hybridMultilevel"/>
    <w:lvl w:ilvl="0">
      <w:lvlJc w:val="left"/>
      <w:lvlText w:val="(%1)"/>
      <w:numFmt w:val="upperLetter"/>
      <w:start w:val="3"/>
    </w:lvl>
  </w:abstractNum>
  <w:abstractNum w:abstractNumId="23">
    <w:nsid w:val="38A5D054"/>
    <w:multiLevelType w:val="hybridMultilevel"/>
    <w:lvl w:ilvl="0">
      <w:lvlJc w:val="left"/>
      <w:lvlText w:val="(%1)"/>
      <w:numFmt w:val="upperLetter"/>
      <w:start w:val="5"/>
    </w:lvl>
  </w:abstractNum>
  <w:abstractNum w:abstractNumId="24">
    <w:nsid w:val="F3F09D8"/>
    <w:multiLevelType w:val="hybridMultilevel"/>
    <w:lvl w:ilvl="0">
      <w:lvlJc w:val="left"/>
      <w:lvlText w:val="(%1)"/>
      <w:numFmt w:val="upperLetter"/>
      <w:start w:val="1"/>
    </w:lvl>
  </w:abstractNum>
  <w:abstractNum w:abstractNumId="25">
    <w:nsid w:val="4B793735"/>
    <w:multiLevelType w:val="hybridMultilevel"/>
    <w:lvl w:ilvl="0">
      <w:lvlJc w:val="left"/>
      <w:lvlText w:val="(%1)"/>
      <w:numFmt w:val="upperLetter"/>
      <w:start w:val="1"/>
    </w:lvl>
  </w:abstractNum>
  <w:abstractNum w:abstractNumId="26">
    <w:nsid w:val="4A10B4E8"/>
    <w:multiLevelType w:val="hybridMultilevel"/>
    <w:lvl w:ilvl="0">
      <w:lvlJc w:val="left"/>
      <w:lvlText w:val="(%1)"/>
      <w:numFmt w:val="decimal"/>
      <w:start w:val="1"/>
    </w:lvl>
  </w:abstractNum>
  <w:abstractNum w:abstractNumId="27">
    <w:nsid w:val="43D3BCD4"/>
    <w:multiLevelType w:val="hybridMultilevel"/>
    <w:lvl w:ilvl="0">
      <w:lvlJc w:val="left"/>
      <w:lvlText w:val="(%1)"/>
      <w:numFmt w:val="upperLetter"/>
      <w:start w:val="1"/>
    </w:lvl>
  </w:abstractNum>
  <w:abstractNum w:abstractNumId="28">
    <w:nsid w:val="4C2A7166"/>
    <w:multiLevelType w:val="hybridMultilevel"/>
    <w:lvl w:ilvl="0">
      <w:lvlJc w:val="left"/>
      <w:lvlText w:val="(%1)"/>
      <w:numFmt w:val="lowerLetter"/>
      <w:start w:val="1"/>
    </w:lvl>
  </w:abstractNum>
  <w:abstractNum w:abstractNumId="29">
    <w:nsid w:val="2E534A82"/>
    <w:multiLevelType w:val="hybridMultilevel"/>
    <w:lvl w:ilvl="0">
      <w:lvlJc w:val="left"/>
      <w:lvlText w:val="(%1)"/>
      <w:numFmt w:val="lowerLetter"/>
      <w:start w:val="6"/>
    </w:lvl>
  </w:abstractNum>
  <w:abstractNum w:abstractNumId="30">
    <w:nsid w:val="26F2D364"/>
    <w:multiLevelType w:val="hybridMultilevel"/>
    <w:lvl w:ilvl="0">
      <w:lvlJc w:val="left"/>
      <w:lvlText w:val="(%1)"/>
      <w:numFmt w:val="lowerLetter"/>
      <w:start w:val="1"/>
    </w:lvl>
  </w:abstractNum>
  <w:abstractNum w:abstractNumId="31">
    <w:nsid w:val="71C1AF98"/>
    <w:multiLevelType w:val="hybridMultilevel"/>
    <w:lvl w:ilvl="0">
      <w:lvlJc w:val="left"/>
      <w:lvlText w:val="(%1)"/>
      <w:numFmt w:val="lowerLetter"/>
      <w:start w:val="11"/>
    </w:lvl>
  </w:abstractNum>
  <w:abstractNum w:abstractNumId="32">
    <w:nsid w:val="3D00B9D9"/>
    <w:multiLevelType w:val="hybridMultilevel"/>
    <w:lvl w:ilvl="0">
      <w:lvlJc w:val="left"/>
      <w:lvlText w:val="(%1)"/>
      <w:numFmt w:val="lowerLetter"/>
      <w:start w:val="21"/>
    </w:lvl>
  </w:abstractNum>
  <w:abstractNum w:abstractNumId="33">
    <w:nsid w:val="15BCABA8"/>
    <w:multiLevelType w:val="hybridMultilevel"/>
    <w:lvl w:ilvl="0">
      <w:lvlJc w:val="left"/>
      <w:lvlText w:val="(%1)"/>
      <w:numFmt w:val="lowerLetter"/>
      <w:start w:val="1"/>
    </w:lvl>
  </w:abstractNum>
  <w:abstractNum w:abstractNumId="34">
    <w:nsid w:val="4E0B9A87"/>
    <w:multiLevelType w:val="hybridMultilevel"/>
    <w:lvl w:ilvl="0">
      <w:lvlJc w:val="left"/>
      <w:lvlText w:val="(%1)"/>
      <w:numFmt w:val="lowerLetter"/>
      <w:start w:val="2"/>
    </w:lvl>
  </w:abstractNum>
  <w:abstractNum w:abstractNumId="35">
    <w:nsid w:val="434BAE75"/>
    <w:multiLevelType w:val="hybridMultilevel"/>
    <w:lvl w:ilvl="0">
      <w:lvlJc w:val="left"/>
      <w:lvlText w:val="(%1)"/>
      <w:numFmt w:val="lowerLetter"/>
      <w:start w:val="1"/>
    </w:lvl>
  </w:abstractNum>
  <w:abstractNum w:abstractNumId="36">
    <w:nsid w:val="4F38F265"/>
    <w:multiLevelType w:val="hybridMultilevel"/>
    <w:lvl w:ilvl="0">
      <w:lvlJc w:val="left"/>
      <w:lvlText w:val="(%1)"/>
      <w:numFmt w:val="lowerLetter"/>
      <w:start w:val="1"/>
    </w:lvl>
  </w:abstractNum>
  <w:abstractNum w:abstractNumId="37">
    <w:nsid w:val="4C502870"/>
    <w:multiLevelType w:val="hybridMultilevel"/>
    <w:lvl w:ilvl="0">
      <w:lvlJc w:val="left"/>
      <w:lvlText w:val="(%1)"/>
      <w:numFmt w:val="lowerLetter"/>
      <w:start w:val="1"/>
    </w:lvl>
    <w:lvl w:ilvl="1">
      <w:lvlJc w:val="left"/>
      <w:lvlText w:val="(%2)"/>
      <w:numFmt w:val="lowerRoman"/>
      <w:start w:val="1"/>
    </w:lvl>
  </w:abstractNum>
  <w:abstractNum w:abstractNumId="38">
    <w:nsid w:val="1DE8725A"/>
    <w:multiLevelType w:val="hybridMultilevel"/>
    <w:lvl w:ilvl="0">
      <w:lvlJc w:val="left"/>
      <w:lvlText w:val="%1"/>
      <w:numFmt w:val="decimal"/>
      <w:start w:val="1"/>
    </w:lvl>
    <w:lvl w:ilvl="1">
      <w:lvlJc w:val="left"/>
      <w:lvlText w:val="(%2)"/>
      <w:numFmt w:val="lowerRoman"/>
      <w:start w:val="9"/>
    </w:lvl>
  </w:abstractNum>
  <w:abstractNum w:abstractNumId="39">
    <w:nsid w:val="6A37288A"/>
    <w:multiLevelType w:val="hybridMultilevel"/>
    <w:lvl w:ilvl="0">
      <w:lvlJc w:val="left"/>
      <w:lvlText w:val="(%1)"/>
      <w:numFmt w:val="decimal"/>
      <w:start w:val="1"/>
    </w:lvl>
    <w:lvl w:ilvl="1">
      <w:lvlJc w:val="left"/>
      <w:lvlText w:val="(%2)"/>
      <w:numFmt w:val="lowerRoman"/>
      <w:start w:val="10"/>
    </w:lvl>
  </w:abstractNum>
  <w:abstractNum w:abstractNumId="40">
    <w:nsid w:val="8F8B73F"/>
    <w:multiLevelType w:val="hybridMultilevel"/>
    <w:lvl w:ilvl="0">
      <w:lvlJc w:val="left"/>
      <w:lvlText w:val="(%1)"/>
      <w:numFmt w:val="decimal"/>
      <w:start w:val="1"/>
    </w:lvl>
    <w:lvl w:ilvl="1">
      <w:lvlJc w:val="left"/>
      <w:lvlText w:val="%2"/>
      <w:numFmt w:val="lowerRoman"/>
      <w:start w:val="1"/>
    </w:lvl>
  </w:abstractNum>
  <w:abstractNum w:abstractNumId="41">
    <w:nsid w:val="CA6B462"/>
    <w:multiLevelType w:val="hybridMultilevel"/>
    <w:lvl w:ilvl="0">
      <w:lvlJc w:val="left"/>
      <w:lvlText w:val="(%1)"/>
      <w:numFmt w:val="lowerLetter"/>
      <w:start w:val="3"/>
    </w:lvl>
  </w:abstractNum>
  <w:abstractNum w:abstractNumId="42">
    <w:nsid w:val="763CB680"/>
    <w:multiLevelType w:val="hybridMultilevel"/>
    <w:lvl w:ilvl="0">
      <w:lvlJc w:val="left"/>
      <w:lvlText w:val="(%1)"/>
      <w:numFmt w:val="lowerLetter"/>
      <w:start w:val="1"/>
    </w:lvl>
    <w:lvl w:ilvl="1">
      <w:lvlJc w:val="left"/>
      <w:lvlText w:val="(%2)"/>
      <w:numFmt w:val="lowerRoman"/>
      <w:start w:val="1"/>
    </w:lvl>
  </w:abstractNum>
  <w:abstractNum w:abstractNumId="43">
    <w:nsid w:val="15B71329"/>
    <w:multiLevelType w:val="hybridMultilevel"/>
    <w:lvl w:ilvl="0">
      <w:lvlJc w:val="left"/>
      <w:lvlText w:val="(%1)"/>
      <w:numFmt w:val="lowerLetter"/>
      <w:start w:val="1"/>
    </w:lvl>
  </w:abstractNum>
  <w:abstractNum w:abstractNumId="44">
    <w:nsid w:val="3DA97044"/>
    <w:multiLevelType w:val="hybridMultilevel"/>
    <w:lvl w:ilvl="0">
      <w:lvlJc w:val="left"/>
      <w:lvlText w:val="(%1)"/>
      <w:numFmt w:val="lowerLetter"/>
      <w:start w:val="2"/>
    </w:lvl>
  </w:abstractNum>
  <w:abstractNum w:abstractNumId="45">
    <w:nsid w:val="1CDCE2DE"/>
    <w:multiLevelType w:val="hybridMultilevel"/>
    <w:lvl w:ilvl="0">
      <w:lvlJc w:val="left"/>
      <w:lvlText w:val="(%1)"/>
      <w:numFmt w:val="lowerLetter"/>
      <w:start w:val="1"/>
    </w:lvl>
  </w:abstractNum>
  <w:abstractNum w:abstractNumId="46">
    <w:nsid w:val="69D3947C"/>
    <w:multiLevelType w:val="hybridMultilevel"/>
    <w:lvl w:ilvl="0">
      <w:lvlJc w:val="left"/>
      <w:lvlText w:val="(%1)"/>
      <w:numFmt w:val="lowerLetter"/>
      <w:start w:val="1"/>
    </w:lvl>
  </w:abstractNum>
  <w:abstractNum w:abstractNumId="47">
    <w:nsid w:val="2539DFA5"/>
    <w:multiLevelType w:val="hybridMultilevel"/>
    <w:lvl w:ilvl="0">
      <w:lvlJc w:val="left"/>
      <w:lvlText w:val="(%1)"/>
      <w:numFmt w:val="lowerLetter"/>
      <w:start w:val="1"/>
    </w:lvl>
    <w:lvl w:ilvl="1">
      <w:lvlJc w:val="left"/>
      <w:lvlText w:val="(%2)"/>
      <w:numFmt w:val="lowerRoman"/>
      <w:start w:val="1"/>
    </w:lvl>
  </w:abstractNum>
  <w:abstractNum w:abstractNumId="48">
    <w:nsid w:val="2DB88089"/>
    <w:multiLevelType w:val="hybridMultilevel"/>
    <w:lvl w:ilvl="0">
      <w:lvlJc w:val="left"/>
      <w:lvlText w:val="(%1)"/>
      <w:numFmt w:val="lowerLetter"/>
      <w:start w:val="6"/>
    </w:lvl>
  </w:abstractNum>
  <w:abstractNum w:abstractNumId="49">
    <w:nsid w:val="706B674E"/>
    <w:multiLevelType w:val="hybridMultilevel"/>
    <w:lvl w:ilvl="0">
      <w:lvlJc w:val="left"/>
      <w:lvlText w:val="(%1)"/>
      <w:numFmt w:val="lowerLetter"/>
      <w:start w:val="1"/>
    </w:lvl>
  </w:abstractNum>
  <w:abstractNum w:abstractNumId="50">
    <w:nsid w:val="2C106A57"/>
    <w:multiLevelType w:val="hybridMultilevel"/>
    <w:lvl w:ilvl="0">
      <w:lvlJc w:val="left"/>
      <w:lvlText w:val="(%1)"/>
      <w:numFmt w:val="lowerLetter"/>
      <w:start w:val="10"/>
    </w:lvl>
  </w:abstractNum>
  <w:abstractNum w:abstractNumId="51">
    <w:nsid w:val="684EED59"/>
    <w:multiLevelType w:val="hybridMultilevel"/>
    <w:lvl w:ilvl="0">
      <w:lvlJc w:val="left"/>
      <w:lvlText w:val="(%1)"/>
      <w:numFmt w:val="lowerLetter"/>
      <w:start w:val="1"/>
    </w:lvl>
  </w:abstractNum>
  <w:abstractNum w:abstractNumId="52">
    <w:nsid w:val="545EE5D3"/>
    <w:multiLevelType w:val="hybridMultilevel"/>
    <w:lvl w:ilvl="0">
      <w:lvlJc w:val="left"/>
      <w:lvlText w:val="(%1)"/>
      <w:numFmt w:val="lowerLetter"/>
      <w:start w:val="1"/>
    </w:lvl>
  </w:abstractNum>
  <w:abstractNum w:abstractNumId="53">
    <w:nsid w:val="4A66051"/>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54">
    <w:nsid w:val="20F4BDAD"/>
    <w:multiLevelType w:val="hybridMultilevel"/>
    <w:lvl w:ilvl="0">
      <w:lvlJc w:val="left"/>
      <w:lvlText w:val="(%1)"/>
      <w:numFmt w:val="lowerRoman"/>
      <w:start w:val="2"/>
    </w:lvl>
  </w:abstractNum>
  <w:abstractNum w:abstractNumId="55">
    <w:nsid w:val="639DEFAC"/>
    <w:multiLevelType w:val="hybridMultilevel"/>
    <w:lvl w:ilvl="0">
      <w:lvlJc w:val="left"/>
      <w:lvlText w:val="(%1)"/>
      <w:numFmt w:val="lowerLetter"/>
      <w:start w:val="5"/>
    </w:lvl>
  </w:abstractNum>
  <w:abstractNum w:abstractNumId="56">
    <w:nsid w:val="501F9786"/>
    <w:multiLevelType w:val="hybridMultilevel"/>
    <w:lvl w:ilvl="0">
      <w:lvlJc w:val="left"/>
      <w:lvlText w:val="%1"/>
      <w:numFmt w:val="upperLetter"/>
      <w:start w:val="1"/>
    </w:lvl>
    <w:lvl w:ilvl="1">
      <w:lvlJc w:val="left"/>
      <w:lvlText w:val="(%2)"/>
      <w:numFmt w:val="lowerRoman"/>
      <w:start w:val="1"/>
    </w:lvl>
  </w:abstractNum>
  <w:abstractNum w:abstractNumId="57">
    <w:nsid w:val="6B057295"/>
    <w:multiLevelType w:val="hybridMultilevel"/>
    <w:lvl w:ilvl="0">
      <w:lvlJc w:val="left"/>
      <w:lvlText w:val="(%1)"/>
      <w:numFmt w:val="upperLetter"/>
      <w:start w:val="2"/>
    </w:lvl>
    <w:lvl w:ilvl="1">
      <w:lvlJc w:val="left"/>
      <w:lvlText w:val="(%2)"/>
      <w:numFmt w:val="lowerRoman"/>
      <w:start w:val="2"/>
    </w:lvl>
  </w:abstractNum>
  <w:abstractNum w:abstractNumId="58">
    <w:nsid w:val="2771AC80"/>
    <w:multiLevelType w:val="hybridMultilevel"/>
    <w:lvl w:ilvl="0">
      <w:lvlJc w:val="left"/>
      <w:lvlText w:val="(%1)"/>
      <w:numFmt w:val="lowerRoman"/>
      <w:start w:val="4"/>
    </w:lvl>
  </w:abstractNum>
  <w:abstractNum w:abstractNumId="59">
    <w:nsid w:val="1C4A08EC"/>
    <w:multiLevelType w:val="hybridMultilevel"/>
    <w:lvl w:ilvl="0">
      <w:lvlJc w:val="left"/>
      <w:lvlText w:val="(%1)"/>
      <w:numFmt w:val="lowerLetter"/>
      <w:start w:val="1"/>
    </w:lvl>
  </w:abstractNum>
  <w:abstractNum w:abstractNumId="60">
    <w:nsid w:val="1958BD17"/>
    <w:multiLevelType w:val="hybridMultilevel"/>
    <w:lvl w:ilvl="0">
      <w:lvlJc w:val="left"/>
      <w:lvlText w:val="(%1)"/>
      <w:numFmt w:val="lowerLetter"/>
      <w:start w:val="12"/>
    </w:lvl>
  </w:abstractNum>
  <w:abstractNum w:abstractNumId="61">
    <w:nsid w:val="4E647FE4"/>
    <w:multiLevelType w:val="hybridMultilevel"/>
    <w:lvl w:ilvl="0">
      <w:lvlJc w:val="left"/>
      <w:lvlText w:val="(%1)"/>
      <w:numFmt w:val="lowerLetter"/>
      <w:start w:val="1"/>
    </w:lvl>
  </w:abstractNum>
  <w:abstractNum w:abstractNumId="62">
    <w:nsid w:val="E0BB885"/>
    <w:multiLevelType w:val="hybridMultilevel"/>
    <w:lvl w:ilvl="0">
      <w:lvlJc w:val="left"/>
      <w:lvlText w:val="(%1)"/>
      <w:numFmt w:val="lowerLetter"/>
      <w:start w:val="2"/>
    </w:lvl>
  </w:abstractNum>
  <w:abstractNum w:abstractNumId="63">
    <w:nsid w:val="565976F1"/>
    <w:multiLevelType w:val="hybridMultilevel"/>
    <w:lvl w:ilvl="0">
      <w:lvlJc w:val="left"/>
      <w:lvlText w:val="(%1)"/>
      <w:numFmt w:val="lowerLetter"/>
      <w:start w:val="1"/>
    </w:lvl>
  </w:abstractNum>
  <w:abstractNum w:abstractNumId="64">
    <w:nsid w:val="64212B8C"/>
    <w:multiLevelType w:val="hybridMultilevel"/>
    <w:lvl w:ilvl="0">
      <w:lvlJc w:val="left"/>
      <w:lvlText w:val="(%1)"/>
      <w:numFmt w:val="lowerLetter"/>
      <w:start w:val="1"/>
    </w:lvl>
  </w:abstractNum>
  <w:abstractNum w:abstractNumId="65">
    <w:nsid w:val="5C17530C"/>
    <w:multiLevelType w:val="hybridMultilevel"/>
    <w:lvl w:ilvl="0">
      <w:lvlJc w:val="left"/>
      <w:lvlText w:val="%1."/>
      <w:numFmt w:val="decimal"/>
      <w:start w:val="1"/>
    </w:lvl>
  </w:abstractNum>
  <w:abstractNum w:abstractNumId="66">
    <w:nsid w:val="19A52566"/>
    <w:multiLevelType w:val="hybridMultilevel"/>
    <w:lvl w:ilvl="0">
      <w:lvlJc w:val="left"/>
      <w:lvlText w:val="%1."/>
      <w:numFmt w:val="decimal"/>
      <w:start w:val="4"/>
    </w:lvl>
  </w:abstractNum>
  <w:abstractNum w:abstractNumId="67">
    <w:nsid w:val="335A1DF1"/>
    <w:multiLevelType w:val="hybridMultilevel"/>
    <w:lvl w:ilvl="0">
      <w:lvlJc w:val="left"/>
      <w:lvlText w:val="%1."/>
      <w:numFmt w:val="decimal"/>
      <w:start w:val="15"/>
    </w:lvl>
  </w:abstractNum>
  <w:abstractNum w:abstractNumId="68">
    <w:nsid w:val="28677B7C"/>
    <w:multiLevelType w:val="hybridMultilevel"/>
    <w:lvl w:ilvl="0">
      <w:lvlJc w:val="left"/>
      <w:lvlText w:val="(%1)"/>
      <w:numFmt w:val="lowerLetter"/>
      <w:start w:val="1"/>
    </w:lvl>
  </w:abstractNum>
  <w:abstractNum w:abstractNumId="69">
    <w:nsid w:val="378D97C0"/>
    <w:multiLevelType w:val="hybridMultilevel"/>
    <w:lvl w:ilvl="0">
      <w:lvlJc w:val="left"/>
      <w:lvlText w:val="(%1)"/>
      <w:numFmt w:val="lowerRoman"/>
      <w:start w:val="1"/>
    </w:lvl>
  </w:abstractNum>
  <w:abstractNum w:abstractNumId="70">
    <w:nsid w:val="1D91467C"/>
    <w:multiLevelType w:val="hybridMultilevel"/>
    <w:lvl w:ilvl="0">
      <w:lvlJc w:val="left"/>
      <w:lvlText w:val="%1"/>
      <w:numFmt w:val="lowerLetter"/>
      <w:start w:val="1"/>
    </w:lvl>
    <w:lvl w:ilvl="1">
      <w:lvlJc w:val="left"/>
      <w:lvlText w:val="(%2)"/>
      <w:numFmt w:val="lowerLetter"/>
      <w:start w:val="35"/>
    </w:lvl>
  </w:abstractNum>
  <w:abstractNum w:abstractNumId="71">
    <w:nsid w:val="316032BB"/>
    <w:multiLevelType w:val="hybridMultilevel"/>
    <w:lvl w:ilvl="0">
      <w:lvlJc w:val="left"/>
      <w:lvlText w:val="(%1)"/>
      <w:numFmt w:val="lowerLetter"/>
      <w:start w:val="3"/>
    </w:lvl>
    <w:lvl w:ilvl="1">
      <w:lvlJc w:val="left"/>
      <w:lvlText w:val="(%2)"/>
      <w:numFmt w:val="lowerLetter"/>
      <w:start w:val="9"/>
    </w:lvl>
  </w:abstractNum>
  <w:abstractNum w:abstractNumId="72">
    <w:nsid w:val="44344C22"/>
    <w:multiLevelType w:val="hybridMultilevel"/>
    <w:lvl w:ilvl="0">
      <w:lvlJc w:val="left"/>
      <w:lvlText w:val="%1"/>
      <w:numFmt w:val="lowerLetter"/>
      <w:start w:val="1"/>
    </w:lvl>
    <w:lvl w:ilvl="1">
      <w:lvlJc w:val="left"/>
      <w:lvlText w:val="(%2)"/>
      <w:numFmt w:val="lowerLetter"/>
      <w:start w:val="35"/>
    </w:lvl>
  </w:abstractNum>
  <w:abstractNum w:abstractNumId="73">
    <w:nsid w:val="13CDFCFC"/>
    <w:multiLevelType w:val="hybridMultilevel"/>
    <w:lvl w:ilvl="0">
      <w:lvlJc w:val="left"/>
      <w:lvlText w:val="(%1)"/>
      <w:numFmt w:val="lowerLetter"/>
      <w:start w:val="4"/>
    </w:lvl>
    <w:lvl w:ilvl="1">
      <w:lvlJc w:val="left"/>
      <w:lvlText w:val="%2"/>
      <w:numFmt w:val="lowerLetter"/>
      <w:start w:val="1"/>
    </w:lvl>
  </w:abstractNum>
  <w:abstractNum w:abstractNumId="74">
    <w:nsid w:val="471745E4"/>
    <w:multiLevelType w:val="hybridMultilevel"/>
    <w:lvl w:ilvl="0">
      <w:lvlJc w:val="left"/>
      <w:lvlText w:val="(%1)"/>
      <w:numFmt w:val="lowerLetter"/>
      <w:start w:val="1"/>
    </w:lvl>
    <w:lvl w:ilvl="1">
      <w:lvlJc w:val="left"/>
      <w:lvlText w:val="(%2)"/>
      <w:numFmt w:val="lowerRoman"/>
      <w:start w:val="1"/>
    </w:lvl>
  </w:abstractNum>
  <w:abstractNum w:abstractNumId="75">
    <w:nsid w:val="1DDBC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30AADFD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77">
    <w:nsid w:val="30EADA61"/>
    <w:multiLevelType w:val="hybridMultilevel"/>
    <w:lvl w:ilvl="0">
      <w:lvlJc w:val="left"/>
      <w:lvlText w:val="(%1)"/>
      <w:numFmt w:val="lowerRoman"/>
      <w:start w:val="2"/>
    </w:lvl>
  </w:abstractNum>
  <w:abstractNum w:abstractNumId="78">
    <w:nsid w:val="27179C0B"/>
    <w:multiLevelType w:val="hybridMultilevel"/>
    <w:lvl w:ilvl="0">
      <w:lvlJc w:val="left"/>
      <w:lvlText w:val="(%1)"/>
      <w:numFmt w:val="lowerLetter"/>
      <w:start w:val="3"/>
    </w:lvl>
    <w:lvl w:ilvl="1">
      <w:lvlJc w:val="left"/>
      <w:lvlText w:val="(%2)"/>
      <w:numFmt w:val="lowerRoman"/>
      <w:start w:val="1"/>
    </w:lvl>
  </w:abstractNum>
  <w:abstractNum w:abstractNumId="79">
    <w:nsid w:val="5E636063"/>
    <w:multiLevelType w:val="hybridMultilevel"/>
    <w:lvl w:ilvl="0">
      <w:lvlJc w:val="left"/>
      <w:lvlText w:val="%1"/>
      <w:numFmt w:val="lowerLetter"/>
      <w:start w:val="1"/>
    </w:lvl>
    <w:lvl w:ilvl="1">
      <w:lvlJc w:val="left"/>
      <w:lvlText w:val="(%2)"/>
      <w:numFmt w:val="lowerRoman"/>
      <w:start w:val="3"/>
    </w:lvl>
  </w:abstractNum>
  <w:abstractNum w:abstractNumId="80">
    <w:nsid w:val="215641AF"/>
    <w:multiLevelType w:val="hybridMultilevel"/>
    <w:lvl w:ilvl="0">
      <w:lvlJc w:val="left"/>
      <w:lvlText w:val="(%1)"/>
      <w:numFmt w:val="lowerLetter"/>
      <w:start w:val="4"/>
    </w:lvl>
    <w:lvl w:ilvl="1">
      <w:lvlJc w:val="left"/>
      <w:lvlText w:val="(%2)"/>
      <w:numFmt w:val="lowerRoman"/>
      <w:start w:val="1"/>
    </w:lvl>
  </w:abstractNum>
  <w:abstractNum w:abstractNumId="81">
    <w:nsid w:val="53280662"/>
    <w:multiLevelType w:val="hybridMultilevel"/>
    <w:lvl w:ilvl="0">
      <w:lvlJc w:val="left"/>
      <w:lvlText w:val="%1"/>
      <w:numFmt w:val="lowerLetter"/>
      <w:start w:val="1"/>
    </w:lvl>
    <w:lvl w:ilvl="1">
      <w:lvlJc w:val="left"/>
      <w:lvlText w:val="(%2)"/>
      <w:numFmt w:val="lowerLetter"/>
      <w:start w:val="35"/>
    </w:lvl>
  </w:abstractNum>
  <w:abstractNum w:abstractNumId="82">
    <w:nsid w:val="46B24DBC"/>
    <w:multiLevelType w:val="hybridMultilevel"/>
    <w:lvl w:ilvl="0">
      <w:lvlJc w:val="left"/>
      <w:lvlText w:val="(%1)"/>
      <w:numFmt w:val="lowerLetter"/>
      <w:start w:val="5"/>
    </w:lvl>
    <w:lvl w:ilvl="1">
      <w:lvlJc w:val="left"/>
      <w:lvlText w:val="(%2)"/>
      <w:numFmt w:val="lowerLetter"/>
      <w:start w:val="9"/>
    </w:lvl>
  </w:abstractNum>
  <w:abstractNum w:abstractNumId="83">
    <w:nsid w:val="75B52783"/>
    <w:multiLevelType w:val="hybridMultilevel"/>
    <w:lvl w:ilvl="0">
      <w:lvlJc w:val="left"/>
      <w:lvlText w:val="(%1)"/>
      <w:numFmt w:val="lowerRoman"/>
      <w:start w:val="2"/>
    </w:lvl>
  </w:abstractNum>
  <w:abstractNum w:abstractNumId="84">
    <w:nsid w:val="57CE66B4"/>
    <w:multiLevelType w:val="hybridMultilevel"/>
    <w:lvl w:ilvl="0">
      <w:lvlJc w:val="left"/>
      <w:lvlText w:val="(%1)"/>
      <w:numFmt w:val="decimal"/>
      <w:start w:val="1"/>
    </w:lvl>
  </w:abstractNum>
  <w:abstractNum w:abstractNumId="85">
    <w:nsid w:val="67A70B69"/>
    <w:multiLevelType w:val="hybridMultilevel"/>
    <w:lvl w:ilvl="0">
      <w:lvlJc w:val="left"/>
      <w:lvlText w:val="(%1)"/>
      <w:numFmt w:val="lowerRoman"/>
      <w:start w:val="3"/>
    </w:lvl>
  </w:abstractNum>
  <w:abstractNum w:abstractNumId="86">
    <w:nsid w:val="5953172F"/>
    <w:multiLevelType w:val="hybridMultilevel"/>
    <w:lvl w:ilvl="0">
      <w:lvlJc w:val="left"/>
      <w:lvlText w:val="%1"/>
      <w:numFmt w:val="lowerLetter"/>
      <w:start w:val="1"/>
    </w:lvl>
    <w:lvl w:ilvl="1">
      <w:lvlJc w:val="left"/>
      <w:lvlText w:val="(%2)"/>
      <w:numFmt w:val="lowerRoman"/>
      <w:start w:val="6"/>
    </w:lvl>
  </w:abstractNum>
  <w:abstractNum w:abstractNumId="87">
    <w:nsid w:val="27EDFE3A"/>
    <w:multiLevelType w:val="hybridMultilevel"/>
    <w:lvl w:ilvl="0">
      <w:lvlJc w:val="left"/>
      <w:lvlText w:val="(%1)"/>
      <w:numFmt w:val="lowerLetter"/>
      <w:start w:val="6"/>
    </w:lvl>
    <w:lvl w:ilvl="1">
      <w:lvlJc w:val="left"/>
      <w:lvlText w:val="%2"/>
      <w:numFmt w:val="lowerRoman"/>
      <w:start w:val="1"/>
    </w:lvl>
  </w:abstractNum>
  <w:abstractNum w:abstractNumId="88">
    <w:nsid w:val="52AC7DFF"/>
    <w:multiLevelType w:val="hybridMultilevel"/>
    <w:lvl w:ilvl="0">
      <w:lvlJc w:val="left"/>
      <w:lvlText w:val="(%1)"/>
      <w:numFmt w:val="lowerLetter"/>
      <w:start w:val="1"/>
    </w:lvl>
  </w:abstractNum>
  <w:abstractNum w:abstractNumId="89">
    <w:nsid w:val="C4C3AF"/>
    <w:multiLevelType w:val="hybridMultilevel"/>
    <w:lvl w:ilvl="0">
      <w:lvlJc w:val="left"/>
      <w:lvlText w:val="(%1)"/>
      <w:numFmt w:val="lowerLetter"/>
      <w:start w:val="6"/>
    </w:lvl>
  </w:abstractNum>
  <w:abstractNum w:abstractNumId="90">
    <w:nsid w:val="44380727"/>
    <w:multiLevelType w:val="hybridMultilevel"/>
    <w:lvl w:ilvl="0">
      <w:lvlJc w:val="left"/>
      <w:lvlText w:val="(%1)"/>
      <w:numFmt w:val="lowerLetter"/>
      <w:start w:val="1"/>
    </w:lvl>
    <w:lvl w:ilvl="1">
      <w:lvlJc w:val="left"/>
      <w:lvlText w:val="(%2)"/>
      <w:numFmt w:val="lowerRoman"/>
      <w:start w:val="1"/>
    </w:lvl>
  </w:abstractNum>
  <w:abstractNum w:abstractNumId="91">
    <w:nsid w:val="6C053B16"/>
    <w:multiLevelType w:val="hybridMultilevel"/>
    <w:lvl w:ilvl="0">
      <w:lvlJc w:val="left"/>
      <w:lvlText w:val="(%1)"/>
      <w:numFmt w:val="lowerLetter"/>
      <w:start w:val="1"/>
    </w:lvl>
  </w:abstractNum>
  <w:abstractNum w:abstractNumId="92">
    <w:nsid w:val="4F294393"/>
    <w:multiLevelType w:val="hybridMultilevel"/>
    <w:lvl w:ilvl="0">
      <w:lvlJc w:val="left"/>
      <w:lvlText w:val="(%1)"/>
      <w:numFmt w:val="lowerLetter"/>
      <w:start w:val="3"/>
    </w:lvl>
  </w:abstractNum>
  <w:abstractNum w:abstractNumId="93">
    <w:nsid w:val="5243BFAC"/>
    <w:multiLevelType w:val="hybridMultilevel"/>
    <w:lvl w:ilvl="0">
      <w:lvlJc w:val="left"/>
      <w:lvlText w:val="(%1)"/>
      <w:numFmt w:val="lowerLetter"/>
      <w:start w:val="1"/>
    </w:lvl>
  </w:abstractNum>
  <w:abstractNum w:abstractNumId="94">
    <w:nsid w:val="425EB207"/>
    <w:multiLevelType w:val="hybridMultilevel"/>
    <w:lvl w:ilvl="0">
      <w:lvlJc w:val="left"/>
      <w:lvlText w:val="(%1)"/>
      <w:numFmt w:val="lowerLetter"/>
      <w:start w:val="2"/>
    </w:lvl>
    <w:lvl w:ilvl="1">
      <w:lvlJc w:val="left"/>
      <w:lvlText w:val="(%2)"/>
      <w:numFmt w:val="lowerRoman"/>
      <w:start w:val="1"/>
    </w:lvl>
  </w:abstractNum>
  <w:abstractNum w:abstractNumId="95">
    <w:nsid w:val="334A6F1F"/>
    <w:multiLevelType w:val="hybridMultilevel"/>
    <w:lvl w:ilvl="0">
      <w:lvlJc w:val="left"/>
      <w:lvlText w:val="(%1)"/>
      <w:numFmt w:val="lowerLetter"/>
      <w:start w:val="7"/>
    </w:lvl>
  </w:abstractNum>
  <w:abstractNum w:abstractNumId="96">
    <w:nsid w:val="2E5B12B8"/>
    <w:multiLevelType w:val="hybridMultilevel"/>
    <w:lvl w:ilvl="0">
      <w:lvlJc w:val="left"/>
      <w:lvlText w:val="(%1)"/>
      <w:numFmt w:val="lowerRoman"/>
      <w:start w:val="1"/>
    </w:lvl>
  </w:abstractNum>
  <w:abstractNum w:abstractNumId="97">
    <w:nsid w:val="5C03D76D"/>
    <w:multiLevelType w:val="hybridMultilevel"/>
    <w:lvl w:ilvl="0">
      <w:lvlJc w:val="left"/>
      <w:lvlText w:val="(%1)"/>
      <w:numFmt w:val="decimal"/>
      <w:start w:val="1"/>
    </w:lvl>
  </w:abstractNum>
  <w:abstractNum w:abstractNumId="98">
    <w:nsid w:val="66A48D11"/>
    <w:multiLevelType w:val="hybridMultilevel"/>
    <w:lvl w:ilvl="0">
      <w:lvlJc w:val="left"/>
      <w:lvlText w:val="%1."/>
      <w:numFmt w:val="decimal"/>
      <w:start w:val="1"/>
    </w:lvl>
  </w:abstractNum>
  <w:abstractNum w:abstractNumId="99">
    <w:nsid w:val="56C28E34"/>
    <w:multiLevelType w:val="hybridMultilevel"/>
    <w:lvl w:ilvl="0">
      <w:lvlJc w:val="left"/>
      <w:lvlText w:val="%1."/>
      <w:numFmt w:val="decimal"/>
      <w:start w:val="4"/>
    </w:lvl>
  </w:abstractNum>
  <w:abstractNum w:abstractNumId="100">
    <w:nsid w:val="13916F2D"/>
    <w:multiLevelType w:val="hybridMultilevel"/>
    <w:lvl w:ilvl="0">
      <w:lvlJc w:val="left"/>
      <w:lvlText w:val="%1."/>
      <w:numFmt w:val="decimal"/>
      <w:start w:val="14"/>
    </w:lvl>
  </w:abstractNum>
  <w:abstractNum w:abstractNumId="101">
    <w:nsid w:val="435D38D"/>
    <w:multiLevelType w:val="hybridMultilevel"/>
    <w:lvl w:ilvl="0">
      <w:lvlJc w:val="left"/>
      <w:lvlText w:val="☐"/>
      <w:numFmt w:val="bullet"/>
      <w:start w:val="1"/>
    </w:lvl>
  </w:abstractNum>
  <w:abstractNum w:abstractNumId="102">
    <w:nsid w:val="822C0EF"/>
    <w:multiLevelType w:val="hybridMultilevel"/>
    <w:lvl w:ilvl="0">
      <w:lvlJc w:val="left"/>
      <w:lvlText w:val="(%1)"/>
      <w:numFmt w:val="decimal"/>
      <w:start w:val="1"/>
    </w:lvl>
  </w:abstractNum>
  <w:abstractNum w:abstractNumId="103">
    <w:nsid w:val="57C5BB4F"/>
    <w:multiLevelType w:val="hybridMultilevel"/>
    <w:lvl w:ilvl="0">
      <w:lvlJc w:val="left"/>
      <w:lvlText w:val="(%1)"/>
      <w:numFmt w:val="decimal"/>
      <w:start w:val="6"/>
    </w:lvl>
  </w:abstractNum>
  <w:abstractNum w:abstractNumId="104">
    <w:nsid w:val="1803D089"/>
    <w:multiLevelType w:val="hybridMultilevel"/>
    <w:lvl w:ilvl="0">
      <w:lvlJc w:val="left"/>
      <w:lvlText w:val="(%1)"/>
      <w:numFmt w:val="decimal"/>
      <w:start w:val="1"/>
    </w:lvl>
  </w:abstractNum>
  <w:abstractNum w:abstractNumId="105">
    <w:nsid w:val="4F3A06D4"/>
    <w:multiLevelType w:val="hybridMultilevel"/>
    <w:lvl w:ilvl="0">
      <w:lvlJc w:val="left"/>
      <w:lvlText w:val="%1."/>
      <w:numFmt w:val="decimal"/>
      <w:start w:val="1"/>
    </w:lvl>
  </w:abstractNum>
  <w:abstractNum w:abstractNumId="106">
    <w:nsid w:val="59A377B6"/>
    <w:multiLevelType w:val="hybridMultilevel"/>
    <w:lvl w:ilvl="0">
      <w:lvlJc w:val="left"/>
      <w:lvlText w:val="%1."/>
      <w:numFmt w:val="decimal"/>
      <w:start w:val="4"/>
    </w:lvl>
  </w:abstractNum>
  <w:abstractNum w:abstractNumId="107">
    <w:nsid w:val="48AEB063"/>
    <w:multiLevelType w:val="hybridMultilevel"/>
    <w:lvl w:ilvl="0">
      <w:lvlJc w:val="left"/>
      <w:lvlText w:val="%1."/>
      <w:numFmt w:val="decimal"/>
      <w:start w:val="14"/>
    </w:lvl>
  </w:abstractNum>
  <w:abstractNum w:abstractNumId="108">
    <w:nsid w:val="24E135"/>
    <w:multiLevelType w:val="hybridMultilevel"/>
    <w:lvl w:ilvl="0">
      <w:lvlJc w:val="left"/>
      <w:lvlText w:val="☐"/>
      <w:numFmt w:val="bullet"/>
      <w:start w:val="1"/>
    </w:lvl>
  </w:abstractNum>
  <w:abstractNum w:abstractNumId="109">
    <w:nsid w:val="BB13C1"/>
    <w:multiLevelType w:val="hybridMultilevel"/>
    <w:lvl w:ilvl="0">
      <w:lvlJc w:val="left"/>
      <w:lvlText w:val="(%1)"/>
      <w:numFmt w:val="lowerLetter"/>
      <w:start w:val="1"/>
    </w:lvl>
  </w:abstractNum>
  <w:abstractNum w:abstractNumId="110">
    <w:nsid w:val="271210C7"/>
    <w:multiLevelType w:val="hybridMultilevel"/>
    <w:lvl w:ilvl="0">
      <w:lvlJc w:val="left"/>
      <w:lvlText w:val="(%1)"/>
      <w:numFmt w:val="lowerRoman"/>
      <w:start w:val="1"/>
    </w:lvl>
  </w:abstractNum>
  <w:abstractNum w:abstractNumId="111">
    <w:nsid w:val="217B22E4"/>
    <w:multiLevelType w:val="hybridMultilevel"/>
    <w:lvl w:ilvl="0">
      <w:lvlJc w:val="left"/>
      <w:lvlText w:val="(%1)"/>
      <w:numFmt w:val="lowerRoman"/>
      <w:start w:val="5"/>
    </w:lvl>
  </w:abstractNum>
  <w:abstractNum w:abstractNumId="112">
    <w:nsid w:val="53E31A24"/>
    <w:multiLevelType w:val="hybridMultilevel"/>
    <w:lvl w:ilvl="0">
      <w:lvlJc w:val="left"/>
      <w:lvlText w:val="(%1)"/>
      <w:numFmt w:val="decimal"/>
      <w:start w:val="1"/>
    </w:lvl>
  </w:abstractNum>
  <w:abstractNum w:abstractNumId="113">
    <w:nsid w:val="6DC45E83"/>
    <w:multiLevelType w:val="hybridMultilevel"/>
    <w:lvl w:ilvl="0">
      <w:lvlJc w:val="left"/>
      <w:lvlText w:val="(%1)"/>
      <w:numFmt w:val="lowerRoman"/>
      <w:start w:val="6"/>
    </w:lvl>
  </w:abstractNum>
  <w:abstractNum w:abstractNumId="114">
    <w:nsid w:val="17304A67"/>
    <w:multiLevelType w:val="hybridMultilevel"/>
    <w:lvl w:ilvl="0">
      <w:lvlJc w:val="left"/>
      <w:lvlText w:val="(%1)"/>
      <w:numFmt w:val="lowerLetter"/>
      <w:start w:val="2"/>
    </w:lvl>
  </w:abstractNum>
  <w:abstractNum w:abstractNumId="115">
    <w:nsid w:val="2BB180D8"/>
    <w:multiLevelType w:val="hybridMultilevel"/>
    <w:lvl w:ilvl="0">
      <w:lvlJc w:val="left"/>
      <w:lvlText w:val="(%1)"/>
      <w:numFmt w:val="lowerLetter"/>
      <w:start w:val="3"/>
    </w:lvl>
  </w:abstractNum>
  <w:abstractNum w:abstractNumId="116">
    <w:nsid w:val="556B69ED"/>
    <w:multiLevelType w:val="hybridMultilevel"/>
    <w:lvl w:ilvl="0">
      <w:lvlJc w:val="left"/>
      <w:lvlText w:val="(%1)"/>
      <w:numFmt w:val="lowerLetter"/>
      <w:start w:val="4"/>
    </w:lvl>
  </w:abstractNum>
  <w:abstractNum w:abstractNumId="117">
    <w:nsid w:val="70836196"/>
    <w:multiLevelType w:val="hybridMultilevel"/>
    <w:lvl w:ilvl="0">
      <w:lvlJc w:val="left"/>
      <w:lvlText w:val="(%1)"/>
      <w:numFmt w:val="lowerLetter"/>
      <w:start w:val="5"/>
    </w:lvl>
  </w:abstractNum>
  <w:abstractNum w:abstractNumId="118">
    <w:nsid w:val="539F7F12"/>
    <w:multiLevelType w:val="hybridMultilevel"/>
    <w:lvl w:ilvl="0">
      <w:lvlJc w:val="left"/>
      <w:lvlText w:val="(%1)"/>
      <w:numFmt w:val="lowerLetter"/>
      <w:start w:val="1"/>
    </w:lvl>
    <w:lvl w:ilvl="1">
      <w:lvlJc w:val="left"/>
      <w:lvlText w:val="(%2)"/>
      <w:numFmt w:val="lowerRoman"/>
      <w:start w:val="1"/>
    </w:lvl>
  </w:abstractNum>
  <w:abstractNum w:abstractNumId="119">
    <w:nsid w:val="2817E7EC"/>
    <w:multiLevelType w:val="hybridMultilevel"/>
    <w:lvl w:ilvl="0">
      <w:lvlJc w:val="left"/>
      <w:lvlText w:val="(%1)"/>
      <w:numFmt w:val="lowerRoman"/>
      <w:start w:val="3"/>
    </w:lvl>
  </w:abstractNum>
  <w:abstractNum w:abstractNumId="120">
    <w:nsid w:val="71482545"/>
    <w:multiLevelType w:val="hybridMultilevel"/>
    <w:lvl w:ilvl="0">
      <w:lvlJc w:val="left"/>
      <w:lvlText w:val="(%1)"/>
      <w:numFmt w:val="lowerRoman"/>
      <w:start w:val="6"/>
    </w:lvl>
  </w:abstractNum>
  <w:abstractNum w:abstractNumId="121">
    <w:nsid w:val="17D78639"/>
    <w:multiLevelType w:val="hybridMultilevel"/>
    <w:lvl w:ilvl="0">
      <w:lvlJc w:val="left"/>
      <w:lvlText w:val="(%1)"/>
      <w:numFmt w:val="lowerRoman"/>
      <w:start w:val="10"/>
    </w:lvl>
  </w:abstractNum>
  <w:abstractNum w:abstractNumId="122">
    <w:nsid w:val="141D2302"/>
    <w:multiLevelType w:val="hybridMultilevel"/>
    <w:lvl w:ilvl="0">
      <w:lvlJc w:val="left"/>
      <w:lvlText w:val="(%1)"/>
      <w:numFmt w:val="lowerRoman"/>
      <w:start w:val="12"/>
    </w:lvl>
  </w:abstractNum>
  <w:abstractNum w:abstractNumId="123">
    <w:nsid w:val="407168D8"/>
    <w:multiLevelType w:val="hybridMultilevel"/>
    <w:lvl w:ilvl="0">
      <w:lvlJc w:val="left"/>
      <w:lvlText w:val="(%1)"/>
      <w:numFmt w:val="lowerLetter"/>
      <w:start w:val="2"/>
    </w:lvl>
  </w:abstractNum>
  <w:abstractNum w:abstractNumId="124">
    <w:nsid w:val="6A1B45E5"/>
    <w:multiLevelType w:val="hybridMultilevel"/>
    <w:lvl w:ilvl="0">
      <w:lvlJc w:val="left"/>
      <w:lvlText w:val="(%1)"/>
      <w:numFmt w:val="lowerLetter"/>
      <w:start w:val="4"/>
    </w:lvl>
  </w:abstractNum>
  <w:abstractNum w:abstractNumId="125">
    <w:nsid w:val="567BD50A"/>
    <w:multiLevelType w:val="hybridMultilevel"/>
    <w:lvl w:ilvl="0">
      <w:lvlJc w:val="left"/>
      <w:lvlText w:val="(%1)"/>
      <w:numFmt w:val="lowerLetter"/>
      <w:start w:val="1"/>
    </w:lvl>
  </w:abstractNum>
  <w:abstractNum w:abstractNumId="126">
    <w:nsid w:val="73BBD7F8"/>
    <w:multiLevelType w:val="hybridMultilevel"/>
    <w:lvl w:ilvl="0">
      <w:lvlJc w:val="left"/>
      <w:lvlText w:val="(%1)"/>
      <w:numFmt w:val="lowerLetter"/>
      <w:start w:val="2"/>
    </w:lvl>
  </w:abstractNum>
  <w:abstractNum w:abstractNumId="127">
    <w:nsid w:val="1876589D"/>
    <w:multiLevelType w:val="hybridMultilevel"/>
    <w:lvl w:ilvl="0">
      <w:lvlJc w:val="left"/>
      <w:lvlText w:val="(%1)"/>
      <w:numFmt w:val="lowerLetter"/>
      <w:start w:val="1"/>
    </w:lvl>
  </w:abstractNum>
  <w:abstractNum w:abstractNumId="128">
    <w:nsid w:val="327FAC77"/>
    <w:multiLevelType w:val="hybridMultilevel"/>
    <w:lvl w:ilvl="0">
      <w:lvlJc w:val="left"/>
      <w:lvlText w:val="(%1)"/>
      <w:numFmt w:val="lowerLetter"/>
      <w:start w:val="2"/>
    </w:lvl>
  </w:abstractNum>
  <w:abstractNum w:abstractNumId="129">
    <w:nsid w:val="5A606509"/>
    <w:multiLevelType w:val="hybridMultilevel"/>
    <w:lvl w:ilvl="0">
      <w:lvlJc w:val="left"/>
      <w:lvlText w:val="(%1)"/>
      <w:numFmt w:val="lowerLetter"/>
      <w:start w:val="4"/>
    </w:lvl>
  </w:abstractNum>
  <w:abstractNum w:abstractNumId="130">
    <w:nsid w:val="6F38E6D1"/>
    <w:multiLevelType w:val="hybridMultilevel"/>
    <w:lvl w:ilvl="0">
      <w:lvlJc w:val="left"/>
      <w:lvlText w:val="(%1)"/>
      <w:numFmt w:val="lowerLetter"/>
      <w:start w:val="6"/>
    </w:lvl>
  </w:abstractNum>
  <w:abstractNum w:abstractNumId="131">
    <w:nsid w:val="46111BA5"/>
    <w:multiLevelType w:val="hybridMultilevel"/>
    <w:lvl w:ilvl="0">
      <w:lvlJc w:val="left"/>
      <w:lvlText w:val="(%1)"/>
      <w:numFmt w:val="lowerLetter"/>
      <w:start w:val="1"/>
    </w:lvl>
  </w:abstractNum>
  <w:abstractNum w:abstractNumId="132">
    <w:nsid w:val="5E963896"/>
    <w:multiLevelType w:val="hybridMultilevel"/>
    <w:lvl w:ilvl="0">
      <w:lvlJc w:val="left"/>
      <w:lvlText w:val="(%1)"/>
      <w:numFmt w:val="lowerLetter"/>
      <w:start w:val="3"/>
    </w:lvl>
  </w:abstractNum>
  <w:abstractNum w:abstractNumId="133">
    <w:nsid w:val="775BA7C1"/>
    <w:multiLevelType w:val="hybridMultilevel"/>
    <w:lvl w:ilvl="0">
      <w:lvlJc w:val="left"/>
      <w:lvlText w:val="(%1)"/>
      <w:numFmt w:val="lowerLetter"/>
      <w:start w:val="7"/>
    </w:lvl>
  </w:abstractNum>
  <w:abstractNum w:abstractNumId="134">
    <w:nsid w:val="1DD6D6F4"/>
    <w:multiLevelType w:val="hybridMultilevel"/>
    <w:lvl w:ilvl="0">
      <w:lvlJc w:val="left"/>
      <w:lvlText w:val="(%1)"/>
      <w:numFmt w:val="lowerRoman"/>
      <w:start w:val="3"/>
    </w:lvl>
  </w:abstractNum>
  <w:abstractNum w:abstractNumId="135">
    <w:nsid w:val="769A091F"/>
    <w:multiLevelType w:val="hybridMultilevel"/>
    <w:lvl w:ilvl="0">
      <w:lvlJc w:val="left"/>
      <w:lvlText w:val="1"/>
      <w:numFmt w:val="bullet"/>
      <w:start w:val="1"/>
    </w:lvl>
  </w:abstractNum>
  <w:abstractNum w:abstractNumId="136">
    <w:nsid w:val="4695AE95"/>
    <w:multiLevelType w:val="hybridMultilevel"/>
    <w:lvl w:ilvl="0">
      <w:lvlJc w:val="left"/>
      <w:lvlText w:val="(%1)"/>
      <w:numFmt w:val="lowerLetter"/>
      <w:start w:val="1"/>
    </w:lvl>
  </w:abstractNum>
  <w:abstractNum w:abstractNumId="137">
    <w:nsid w:val="777A4EAA"/>
    <w:multiLevelType w:val="hybridMultilevel"/>
    <w:lvl w:ilvl="0">
      <w:lvlJc w:val="left"/>
      <w:lvlText w:val="(%1)"/>
      <w:numFmt w:val="lowerLetter"/>
      <w:start w:val="2"/>
    </w:lvl>
  </w:abstractNum>
  <w:abstractNum w:abstractNumId="138">
    <w:nsid w:val="3F48B982"/>
    <w:multiLevelType w:val="hybridMultilevel"/>
    <w:lvl w:ilvl="0">
      <w:lvlJc w:val="left"/>
      <w:lvlText w:val="(%1)"/>
      <w:numFmt w:val="lowerLetter"/>
      <w:start w:val="3"/>
    </w:lvl>
  </w:abstractNum>
  <w:abstractNum w:abstractNumId="139">
    <w:nsid w:val="46BA8FCA"/>
    <w:multiLevelType w:val="hybridMultilevel"/>
    <w:lvl w:ilvl="0">
      <w:lvlJc w:val="left"/>
      <w:lvlText w:val="(%1)"/>
      <w:numFmt w:val="lowerLetter"/>
      <w:start w:val="25"/>
    </w:lvl>
    <w:lvl w:ilvl="1">
      <w:lvlJc w:val="left"/>
      <w:lvlText w:val="(%2)"/>
      <w:numFmt w:val="lowerLetter"/>
      <w:start w:val="2"/>
    </w:lvl>
  </w:abstractNum>
  <w:abstractNum w:abstractNumId="140">
    <w:nsid w:val="7835626C"/>
    <w:multiLevelType w:val="hybridMultilevel"/>
    <w:lvl w:ilvl="0">
      <w:lvlJc w:val="left"/>
      <w:lvlText w:val="(%1)"/>
      <w:numFmt w:val="lowerLetter"/>
      <w:start w:val="2"/>
    </w:lvl>
  </w:abstractNum>
  <w:abstractNum w:abstractNumId="141">
    <w:nsid w:val="665ACA49"/>
    <w:multiLevelType w:val="hybridMultilevel"/>
    <w:lvl w:ilvl="0">
      <w:lvlJc w:val="left"/>
      <w:lvlText w:val="(%1)"/>
      <w:numFmt w:val="lowerLetter"/>
      <w:start w:val="2"/>
    </w:lvl>
  </w:abstractNum>
  <w:abstractNum w:abstractNumId="142">
    <w:nsid w:val="6835B2AE"/>
    <w:multiLevelType w:val="hybridMultilevel"/>
    <w:lvl w:ilvl="0">
      <w:lvlJc w:val="left"/>
      <w:lvlText w:val="(%1)"/>
      <w:numFmt w:val="lowerRoman"/>
      <w:start w:val="2"/>
    </w:lvl>
  </w:abstractNum>
  <w:abstractNum w:abstractNumId="143">
    <w:nsid w:val="4C187C90"/>
    <w:multiLevelType w:val="hybridMultilevel"/>
    <w:lvl w:ilvl="0">
      <w:lvlJc w:val="left"/>
      <w:lvlText w:val="(%1)"/>
      <w:numFmt w:val="decimal"/>
      <w:start w:val="2"/>
    </w:lvl>
    <w:lvl w:ilvl="1">
      <w:lvlJc w:val="left"/>
      <w:lvlText w:val="(%2)"/>
      <w:numFmt w:val="lowerRoman"/>
      <w:start w:val="3"/>
    </w:lvl>
  </w:abstractNum>
  <w:abstractNum w:abstractNumId="144">
    <w:nsid w:val="541F28CD"/>
    <w:multiLevelType w:val="hybridMultilevel"/>
    <w:lvl w:ilvl="0">
      <w:lvlJc w:val="left"/>
      <w:lvlText w:val="(%1)"/>
      <w:numFmt w:val="lowerLetter"/>
      <w:start w:val="1"/>
    </w:lvl>
  </w:abstractNum>
  <w:abstractNum w:abstractNumId="145">
    <w:nsid w:val="7F65FD16"/>
    <w:multiLevelType w:val="hybridMultilevel"/>
    <w:lvl w:ilvl="0">
      <w:lvlJc w:val="left"/>
      <w:lvlText w:val="(%1)"/>
      <w:numFmt w:val="lowerLetter"/>
      <w:start w:val="4"/>
    </w:lvl>
  </w:abstractNum>
  <w:abstractNum w:abstractNumId="146">
    <w:nsid w:val="77C9FD68"/>
    <w:multiLevelType w:val="hybridMultilevel"/>
    <w:lvl w:ilvl="0">
      <w:lvlJc w:val="left"/>
      <w:lvlText w:val="(%1)"/>
      <w:numFmt w:val="lowerLetter"/>
      <w:start w:val="3"/>
    </w:lvl>
  </w:abstractNum>
  <w:abstractNum w:abstractNumId="147">
    <w:nsid w:val="298A92BA"/>
    <w:multiLevelType w:val="hybridMultilevel"/>
    <w:lvl w:ilvl="0">
      <w:lvlJc w:val="left"/>
      <w:lvlText w:val="%1"/>
      <w:numFmt w:val="upperLetter"/>
      <w:start w:val="1"/>
    </w:lvl>
    <w:lvl w:ilvl="1">
      <w:lvlJc w:val="left"/>
      <w:lvlText w:val="(%2)"/>
      <w:numFmt w:val="lowerLetter"/>
      <w:start w:val="1"/>
    </w:lvl>
  </w:abstractNum>
  <w:abstractNum w:abstractNumId="148">
    <w:nsid w:val="6FE95EAC"/>
    <w:multiLevelType w:val="hybridMultilevel"/>
    <w:lvl w:ilvl="0">
      <w:lvlJc w:val="left"/>
      <w:lvlText w:val="(%1)"/>
      <w:numFmt w:val="upperLetter"/>
      <w:start w:val="1"/>
    </w:lvl>
    <w:lvl w:ilvl="1">
      <w:lvlJc w:val="left"/>
      <w:lvlText w:val="(%2)"/>
      <w:numFmt w:val="lowerLetter"/>
      <w:start w:val="2"/>
    </w:lvl>
  </w:abstractNum>
  <w:abstractNum w:abstractNumId="149">
    <w:nsid w:val="4B697C7A"/>
    <w:multiLevelType w:val="hybridMultilevel"/>
    <w:lvl w:ilvl="0">
      <w:lvlJc w:val="left"/>
      <w:lvlText w:val="(%1)"/>
      <w:numFmt w:val="lowerLetter"/>
      <w:start w:val="5"/>
    </w:lvl>
  </w:abstractNum>
  <w:abstractNum w:abstractNumId="150">
    <w:nsid w:val="51A27AA6"/>
    <w:multiLevelType w:val="hybridMultilevel"/>
    <w:lvl w:ilvl="0">
      <w:lvlJc w:val="left"/>
      <w:lvlText w:val="(%1)"/>
      <w:numFmt w:val="lowerLetter"/>
      <w:start w:val="1"/>
    </w:lvl>
  </w:abstractNum>
  <w:abstractNum w:abstractNumId="151">
    <w:nsid w:val="613183F2"/>
    <w:multiLevelType w:val="hybridMultilevel"/>
    <w:lvl w:ilvl="0">
      <w:lvlJc w:val="left"/>
      <w:lvlText w:val="(%1)"/>
      <w:numFmt w:val="lowerLetter"/>
      <w:start w:val="5"/>
    </w:lvl>
  </w:abstractNum>
  <w:abstractNum w:abstractNumId="152">
    <w:nsid w:val="634102B4"/>
    <w:multiLevelType w:val="hybridMultilevel"/>
    <w:lvl w:ilvl="0">
      <w:lvlJc w:val="left"/>
      <w:lvlText w:val="(%1)"/>
      <w:numFmt w:val="lowerLetter"/>
      <w:start w:val="1"/>
    </w:lvl>
  </w:abstractNum>
  <w:abstractNum w:abstractNumId="153">
    <w:nsid w:val="65BF9DA8"/>
    <w:multiLevelType w:val="hybridMultilevel"/>
    <w:lvl w:ilvl="0">
      <w:lvlJc w:val="left"/>
      <w:lvlText w:val="(%1)"/>
      <w:numFmt w:val="lowerLetter"/>
      <w:start w:val="1"/>
    </w:lvl>
  </w:abstractNum>
  <w:abstractNum w:abstractNumId="154">
    <w:nsid w:val="21A2ECCA"/>
    <w:multiLevelType w:val="hybridMultilevel"/>
    <w:lvl w:ilvl="0">
      <w:lvlJc w:val="left"/>
      <w:lvlText w:val="(%1)"/>
      <w:numFmt w:val="lowerLetter"/>
      <w:start w:val="2"/>
    </w:lvl>
  </w:abstractNum>
  <w:abstractNum w:abstractNumId="155">
    <w:nsid w:val="4D5C4899"/>
    <w:multiLevelType w:val="hybridMultilevel"/>
    <w:lvl w:ilvl="0">
      <w:lvlJc w:val="left"/>
      <w:lvlText w:val="(%1)"/>
      <w:numFmt w:val="decimal"/>
      <w:start w:val="1"/>
    </w:lvl>
    <w:lvl w:ilvl="1">
      <w:lvlJc w:val="left"/>
      <w:lvlText w:val="(%2)"/>
      <w:numFmt w:val="lowerLetter"/>
      <w:start w:val="1"/>
    </w:lvl>
  </w:abstractNum>
  <w:abstractNum w:abstractNumId="156">
    <w:nsid w:val="3C3B72B2"/>
    <w:multiLevelType w:val="hybridMultilevel"/>
    <w:lvl w:ilvl="0">
      <w:lvlJc w:val="left"/>
      <w:lvlText w:val="(%1)"/>
      <w:numFmt w:val="lowerLetter"/>
      <w:start w:val="1"/>
    </w:lvl>
  </w:abstractNum>
  <w:abstractNum w:abstractNumId="157">
    <w:nsid w:val="155EC4C2"/>
    <w:multiLevelType w:val="hybridMultilevel"/>
    <w:lvl w:ilvl="0">
      <w:lvlJc w:val="left"/>
      <w:lvlText w:val="(%1)"/>
      <w:numFmt w:val="lowerLetter"/>
      <w:start w:val="1"/>
    </w:lvl>
    <w:lvl w:ilvl="1">
      <w:lvlJc w:val="left"/>
      <w:lvlText w:val="(%2)"/>
      <w:numFmt w:val="lowerRoman"/>
      <w:start w:val="1"/>
    </w:lvl>
  </w:abstractNum>
  <w:abstractNum w:abstractNumId="158">
    <w:nsid w:val="65D2A137"/>
    <w:multiLevelType w:val="hybridMultilevel"/>
    <w:lvl w:ilvl="0">
      <w:lvlJc w:val="left"/>
      <w:lvlText w:val="(%1)"/>
      <w:numFmt w:val="lowerRoman"/>
      <w:start w:val="7"/>
    </w:lvl>
  </w:abstractNum>
  <w:abstractNum w:abstractNumId="159">
    <w:nsid w:val="6EBB1F2A"/>
    <w:multiLevelType w:val="hybridMultilevel"/>
    <w:lvl w:ilvl="0">
      <w:lvlJc w:val="left"/>
      <w:lvlText w:val="(%1)"/>
      <w:numFmt w:val="lowerLetter"/>
      <w:start w:val="2"/>
    </w:lvl>
    <w:lvl w:ilvl="1">
      <w:lvlJc w:val="left"/>
      <w:lvlText w:val="(%2)"/>
      <w:numFmt w:val="lowerRoman"/>
      <w:start w:val="1"/>
    </w:lvl>
  </w:abstractNum>
  <w:abstractNum w:abstractNumId="160">
    <w:nsid w:val="6FBF29CB"/>
    <w:multiLevelType w:val="hybridMultilevel"/>
    <w:lvl w:ilvl="0">
      <w:lvlJc w:val="left"/>
      <w:lvlText w:val="(%1)"/>
      <w:numFmt w:val="decimal"/>
      <w:start w:val="1"/>
    </w:lvl>
  </w:abstractNum>
  <w:abstractNum w:abstractNumId="161">
    <w:nsid w:val="550B8808"/>
    <w:multiLevelType w:val="hybridMultilevel"/>
    <w:lvl w:ilvl="0">
      <w:lvlJc w:val="left"/>
      <w:lvlText w:val="(%1)"/>
      <w:numFmt w:val="lowerRoman"/>
      <w:start w:val="7"/>
    </w:lvl>
  </w:abstractNum>
  <w:abstractNum w:abstractNumId="162">
    <w:nsid w:val="34CC3ACF"/>
    <w:multiLevelType w:val="hybridMultilevel"/>
    <w:lvl w:ilvl="0">
      <w:lvlJc w:val="left"/>
      <w:lvlText w:val="(%1)"/>
      <w:numFmt w:val="lowerLetter"/>
      <w:start w:val="1"/>
    </w:lvl>
  </w:abstractNum>
  <w:abstractNum w:abstractNumId="163">
    <w:nsid w:val="4E556261"/>
    <w:multiLevelType w:val="hybridMultilevel"/>
    <w:lvl w:ilvl="0">
      <w:lvlJc w:val="left"/>
      <w:lvlText w:val="(%1)"/>
      <w:numFmt w:val="lowerRoman"/>
      <w:start w:val="1"/>
    </w:lvl>
  </w:abstractNum>
  <w:abstractNum w:abstractNumId="164">
    <w:nsid w:val="4C672FC9"/>
    <w:multiLevelType w:val="hybridMultilevel"/>
    <w:lvl w:ilvl="0">
      <w:lvlJc w:val="left"/>
      <w:lvlText w:val="(%1)"/>
      <w:numFmt w:val="lowerLetter"/>
      <w:start w:val="2"/>
    </w:lvl>
  </w:abstractNum>
  <w:abstractNum w:abstractNumId="165">
    <w:nsid w:val="52A311C3"/>
    <w:multiLevelType w:val="hybridMultilevel"/>
    <w:lvl w:ilvl="0">
      <w:lvlJc w:val="left"/>
      <w:lvlText w:val="(%1)"/>
      <w:numFmt w:val="lowerLetter"/>
      <w:start w:val="3"/>
    </w:lvl>
  </w:abstractNum>
  <w:abstractNum w:abstractNumId="166">
    <w:nsid w:val="44EF6B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7">
    <w:nsid w:val="12FCDE5E"/>
    <w:multiLevelType w:val="hybridMultilevel"/>
    <w:lvl w:ilvl="0">
      <w:lvlJc w:val="left"/>
      <w:lvlText w:val="(%1)"/>
      <w:numFmt w:val="upperLetter"/>
      <w:start w:val="3"/>
    </w:lvl>
  </w:abstractNum>
  <w:abstractNum w:abstractNumId="168">
    <w:nsid w:val="4A1D606E"/>
    <w:multiLevelType w:val="hybridMultilevel"/>
    <w:lvl w:ilvl="0">
      <w:lvlJc w:val="left"/>
      <w:lvlText w:val="(%1)"/>
      <w:numFmt w:val="lowerLetter"/>
      <w:start w:val="2"/>
    </w:lvl>
  </w:abstractNum>
  <w:abstractNum w:abstractNumId="169">
    <w:nsid w:val="4382503"/>
    <w:multiLevelType w:val="hybridMultilevel"/>
    <w:lvl w:ilvl="0">
      <w:lvlJc w:val="left"/>
      <w:lvlText w:val="(%1)"/>
      <w:numFmt w:val="lowerLetter"/>
      <w:start w:val="1"/>
    </w:lvl>
  </w:abstractNum>
  <w:abstractNum w:abstractNumId="170">
    <w:nsid w:val="59B76E28"/>
    <w:multiLevelType w:val="hybridMultilevel"/>
    <w:lvl w:ilvl="0">
      <w:lvlJc w:val="left"/>
      <w:lvlText w:val="(%1)"/>
      <w:numFmt w:val="lowerLetter"/>
      <w:start w:val="5"/>
    </w:lvl>
  </w:abstractNum>
  <w:abstractNum w:abstractNumId="171">
    <w:nsid w:val="4252C2DA"/>
    <w:multiLevelType w:val="hybridMultilevel"/>
    <w:lvl w:ilvl="0">
      <w:lvlJc w:val="left"/>
      <w:lvlText w:val="(%1)"/>
      <w:numFmt w:val="lowerLetter"/>
      <w:start w:val="1"/>
    </w:lvl>
  </w:abstractNum>
  <w:abstractNum w:abstractNumId="172">
    <w:nsid w:val="6A92EF4C"/>
    <w:multiLevelType w:val="hybridMultilevel"/>
    <w:lvl w:ilvl="0">
      <w:lvlJc w:val="left"/>
      <w:lvlText w:val="(%1)"/>
      <w:numFmt w:val="lowerLetter"/>
      <w:start w:val="1"/>
    </w:lvl>
  </w:abstractNum>
  <w:abstractNum w:abstractNumId="173">
    <w:nsid w:val="41ED20D7"/>
    <w:multiLevelType w:val="hybridMultilevel"/>
    <w:lvl w:ilvl="0">
      <w:lvlJc w:val="left"/>
      <w:lvlText w:val="(%1)"/>
      <w:numFmt w:val="lowerLetter"/>
      <w:start w:val="1"/>
    </w:lvl>
  </w:abstractNum>
  <w:abstractNum w:abstractNumId="174">
    <w:nsid w:val="E6B3F6A"/>
    <w:multiLevelType w:val="hybridMultilevel"/>
    <w:lvl w:ilvl="0">
      <w:lvlJc w:val="left"/>
      <w:lvlText w:val="(%1)"/>
      <w:numFmt w:val="lowerLetter"/>
      <w:start w:val="2"/>
    </w:lvl>
  </w:abstractNum>
  <w:abstractNum w:abstractNumId="175">
    <w:nsid w:val="3EB21819"/>
    <w:multiLevelType w:val="hybridMultilevel"/>
    <w:lvl w:ilvl="0">
      <w:lvlJc w:val="left"/>
      <w:lvlText w:val="(%1)"/>
      <w:numFmt w:val="lowerLetter"/>
      <w:start w:val="1"/>
    </w:lvl>
  </w:abstractNum>
  <w:abstractNum w:abstractNumId="176">
    <w:nsid w:val="41531DED"/>
    <w:multiLevelType w:val="hybridMultilevel"/>
    <w:lvl w:ilvl="0">
      <w:lvlJc w:val="left"/>
      <w:lvlText w:val="(%1)"/>
      <w:numFmt w:val="upperLetter"/>
      <w:start w:val="3"/>
    </w:lvl>
    <w:lvl w:ilvl="1">
      <w:lvlJc w:val="left"/>
      <w:lvlText w:val="(%2)"/>
      <w:numFmt w:val="lowerLetter"/>
      <w:start w:val="2"/>
    </w:lvl>
  </w:abstractNum>
  <w:abstractNum w:abstractNumId="177">
    <w:nsid w:val="6353CD2"/>
    <w:multiLevelType w:val="hybridMultilevel"/>
    <w:lvl w:ilvl="0">
      <w:lvlJc w:val="left"/>
      <w:lvlText w:val="(%1)"/>
      <w:numFmt w:val="lowerLetter"/>
      <w:start w:val="4"/>
    </w:lvl>
    <w:lvl w:ilvl="1">
      <w:lvlJc w:val="left"/>
      <w:lvlText w:val="(%2)"/>
      <w:numFmt w:val="lowerRoman"/>
      <w:start w:val="1"/>
    </w:lvl>
  </w:abstractNum>
  <w:abstractNum w:abstractNumId="178">
    <w:nsid w:val="683CAAD3"/>
    <w:multiLevelType w:val="hybridMultilevel"/>
    <w:lvl w:ilvl="0">
      <w:lvlJc w:val="left"/>
      <w:lvlText w:val="(%1)"/>
      <w:numFmt w:val="lowerRoman"/>
      <w:start w:val="2"/>
    </w:lvl>
  </w:abstractNum>
  <w:abstractNum w:abstractNumId="179">
    <w:nsid w:val="313C7C99"/>
    <w:multiLevelType w:val="hybridMultilevel"/>
    <w:lvl w:ilvl="0">
      <w:lvlJc w:val="left"/>
      <w:lvlText w:val="(%1)"/>
      <w:numFmt w:val="lowerLetter"/>
      <w:start w:val="6"/>
    </w:lvl>
  </w:abstractNum>
  <w:abstractNum w:abstractNumId="180">
    <w:nsid w:val="519EB94C"/>
    <w:multiLevelType w:val="hybridMultilevel"/>
    <w:lvl w:ilvl="0">
      <w:lvlJc w:val="left"/>
      <w:lvlText w:val="(%1)"/>
      <w:numFmt w:val="lowerLetter"/>
      <w:start w:val="7"/>
    </w:lvl>
  </w:abstractNum>
  <w:abstractNum w:abstractNumId="181">
    <w:nsid w:val="39DF2579"/>
    <w:multiLevelType w:val="hybridMultilevel"/>
    <w:lvl w:ilvl="0">
      <w:lvlJc w:val="left"/>
      <w:lvlText w:val="(%1)"/>
      <w:numFmt w:val="lowerLetter"/>
      <w:start w:val="8"/>
    </w:lvl>
    <w:lvl w:ilvl="1">
      <w:lvlJc w:val="left"/>
      <w:lvlText w:val="(%2)"/>
      <w:numFmt w:val="lowerLetter"/>
      <w:start w:val="35"/>
    </w:lvl>
  </w:abstractNum>
  <w:abstractNum w:abstractNumId="182">
    <w:nsid w:val="126E008B"/>
    <w:multiLevelType w:val="hybridMultilevel"/>
    <w:lvl w:ilvl="0">
      <w:lvlJc w:val="left"/>
      <w:lvlText w:val="(%1)"/>
      <w:numFmt w:val="lowerLetter"/>
      <w:start w:val="12"/>
    </w:lvl>
  </w:abstractNum>
  <w:abstractNum w:abstractNumId="183">
    <w:nsid w:val="34DFBC00"/>
    <w:multiLevelType w:val="hybridMultilevel"/>
    <w:lvl w:ilvl="0">
      <w:lvlJc w:val="left"/>
      <w:lvlText w:val="(%1)"/>
      <w:numFmt w:val="lowerLetter"/>
      <w:start w:val="1"/>
    </w:lvl>
  </w:abstractNum>
  <w:abstractNum w:abstractNumId="184">
    <w:nsid w:val="1F9EC322"/>
    <w:multiLevelType w:val="hybridMultilevel"/>
    <w:lvl w:ilvl="0">
      <w:lvlJc w:val="left"/>
      <w:lvlText w:val="(%1)"/>
      <w:numFmt w:val="lowerLetter"/>
      <w:start w:val="1"/>
    </w:lvl>
  </w:abstractNum>
  <w:abstractNum w:abstractNumId="185">
    <w:nsid w:val="3410ED56"/>
    <w:multiLevelType w:val="hybridMultilevel"/>
    <w:lvl w:ilvl="0">
      <w:lvlJc w:val="left"/>
      <w:lvlText w:val="(%1)"/>
      <w:numFmt w:val="lowerLetter"/>
      <w:start w:val="1"/>
    </w:lvl>
  </w:abstractNum>
  <w:abstractNum w:abstractNumId="186">
    <w:nsid w:val="23C049A"/>
    <w:multiLevelType w:val="hybridMultilevel"/>
    <w:lvl w:ilvl="0">
      <w:lvlJc w:val="left"/>
      <w:lvlText w:val="(%1)"/>
      <w:numFmt w:val="lowerLetter"/>
      <w:start w:val="1"/>
    </w:lvl>
  </w:abstractNum>
  <w:abstractNum w:abstractNumId="187">
    <w:nsid w:val="5BDA35D4"/>
    <w:multiLevelType w:val="hybridMultilevel"/>
    <w:lvl w:ilvl="0">
      <w:lvlJc w:val="left"/>
      <w:lvlText w:val="(%1)"/>
      <w:numFmt w:val="lowerLetter"/>
      <w:start w:val="1"/>
    </w:lvl>
  </w:abstractNum>
  <w:abstractNum w:abstractNumId="188">
    <w:nsid w:val="496FB218"/>
    <w:multiLevelType w:val="hybridMultilevel"/>
    <w:lvl w:ilvl="0">
      <w:lvlJc w:val="left"/>
      <w:lvlText w:val="%1"/>
      <w:numFmt w:val="upperLetter"/>
      <w:start w:val="1"/>
    </w:lvl>
    <w:lvl w:ilvl="1">
      <w:lvlJc w:val="left"/>
      <w:lvlText w:val="(%2)"/>
      <w:numFmt w:val="lowerLetter"/>
      <w:start w:val="2"/>
    </w:lvl>
  </w:abstractNum>
  <w:abstractNum w:abstractNumId="189">
    <w:nsid w:val="680EA5D1"/>
    <w:multiLevelType w:val="hybridMultilevel"/>
    <w:lvl w:ilvl="0">
      <w:lvlJc w:val="left"/>
      <w:lvlText w:val="(%1)"/>
      <w:numFmt w:val="upperLetter"/>
      <w:start w:val="5"/>
    </w:lvl>
    <w:lvl w:ilvl="1">
      <w:lvlJc w:val="left"/>
      <w:lvlText w:val="(%2)"/>
      <w:numFmt w:val="lowerLetter"/>
      <w:start w:val="3"/>
    </w:lvl>
  </w:abstractNum>
  <w:abstractNum w:abstractNumId="190">
    <w:nsid w:val="4A9554FE"/>
    <w:multiLevelType w:val="hybridMultilevel"/>
    <w:lvl w:ilvl="0">
      <w:lvlJc w:val="left"/>
      <w:lvlText w:val="(%1)"/>
      <w:numFmt w:val="decimal"/>
      <w:start w:val="2"/>
    </w:lvl>
  </w:abstractNum>
  <w:abstractNum w:abstractNumId="191">
    <w:nsid w:val="392EDBE4"/>
    <w:multiLevelType w:val="hybridMultilevel"/>
    <w:lvl w:ilvl="0">
      <w:lvlJc w:val="left"/>
      <w:lvlText w:val="(%1)"/>
      <w:numFmt w:val="lowerLetter"/>
      <w:start w:val="1"/>
    </w:lvl>
  </w:abstractNum>
  <w:abstractNum w:abstractNumId="192">
    <w:nsid w:val="3D1A2DD9"/>
    <w:multiLevelType w:val="hybridMultilevel"/>
    <w:lvl w:ilvl="0">
      <w:lvlJc w:val="left"/>
      <w:lvlText w:val="(%1)"/>
      <w:numFmt w:val="lowerLetter"/>
      <w:start w:val="3"/>
    </w:lvl>
  </w:abstractNum>
  <w:abstractNum w:abstractNumId="193">
    <w:nsid w:val="7F618FCD"/>
    <w:multiLevelType w:val="hybridMultilevel"/>
    <w:lvl w:ilvl="0">
      <w:lvlJc w:val="left"/>
      <w:lvlText w:val="(%1)"/>
      <w:numFmt w:val="lowerLetter"/>
      <w:start w:val="1"/>
    </w:lvl>
  </w:abstractNum>
  <w:abstractNum w:abstractNumId="194">
    <w:nsid w:val="7843E45"/>
    <w:multiLevelType w:val="hybridMultilevel"/>
    <w:lvl w:ilvl="0">
      <w:lvlJc w:val="left"/>
      <w:lvlText w:val="(%1)"/>
      <w:numFmt w:val="lowerLetter"/>
      <w:start w:val="1"/>
    </w:lvl>
  </w:abstractNum>
  <w:abstractNum w:abstractNumId="195">
    <w:nsid w:val="9815DA3"/>
    <w:multiLevelType w:val="hybridMultilevel"/>
    <w:lvl w:ilvl="0">
      <w:lvlJc w:val="left"/>
      <w:lvlText w:val="(%1)"/>
      <w:numFmt w:val="lowerLetter"/>
      <w:start w:val="1"/>
    </w:lvl>
  </w:abstractNum>
  <w:abstractNum w:abstractNumId="196">
    <w:nsid w:val="5204A191"/>
    <w:multiLevelType w:val="hybridMultilevel"/>
    <w:lvl w:ilvl="0">
      <w:lvlJc w:val="left"/>
      <w:lvlText w:val="%1"/>
      <w:numFmt w:val="lowerLetter"/>
      <w:start w:val="1"/>
    </w:lvl>
    <w:lvl w:ilvl="1">
      <w:lvlJc w:val="left"/>
      <w:lvlText w:val="(%2)"/>
      <w:numFmt w:val="lowerLetter"/>
      <w:start w:val="3"/>
    </w:lvl>
  </w:abstractNum>
  <w:abstractNum w:abstractNumId="197">
    <w:nsid w:val="4C73A9C6"/>
    <w:multiLevelType w:val="hybridMultilevel"/>
    <w:lvl w:ilvl="0">
      <w:lvlJc w:val="left"/>
      <w:lvlText w:val="(%1)"/>
      <w:numFmt w:val="lowerLetter"/>
      <w:start w:val="9"/>
    </w:lvl>
    <w:lvl w:ilvl="1">
      <w:lvlJc w:val="left"/>
      <w:lvlText w:val="%2"/>
      <w:numFmt w:val="lowerLetter"/>
      <w:start w:val="1"/>
    </w:lvl>
  </w:abstractNum>
  <w:abstractNum w:abstractNumId="198">
    <w:nsid w:val="1C7E3C01"/>
    <w:multiLevelType w:val="hybridMultilevel"/>
    <w:lvl w:ilvl="0">
      <w:lvlJc w:val="left"/>
      <w:lvlText w:val="(%1)"/>
      <w:numFmt w:val="lowerLetter"/>
      <w:start w:val="1"/>
    </w:lvl>
  </w:abstractNum>
  <w:abstractNum w:abstractNumId="199">
    <w:nsid w:val="1C2201FF"/>
    <w:multiLevelType w:val="hybridMultilevel"/>
    <w:lvl w:ilvl="0">
      <w:lvlJc w:val="left"/>
      <w:lvlText w:val="%1"/>
      <w:numFmt w:val="decimal"/>
      <w:start w:val="1"/>
    </w:lvl>
    <w:lvl w:ilvl="1">
      <w:lvlJc w:val="left"/>
      <w:lvlText w:val="(%2)"/>
      <w:numFmt w:val="lowerLetter"/>
      <w:start w:val="4"/>
    </w:lvl>
  </w:abstractNum>
  <w:abstractNum w:abstractNumId="200">
    <w:nsid w:val="50ABCEC9"/>
    <w:multiLevelType w:val="hybridMultilevel"/>
    <w:lvl w:ilvl="0">
      <w:lvlJc w:val="left"/>
      <w:lvlText w:val="(%1)"/>
      <w:numFmt w:val="decimal"/>
      <w:start w:val="1"/>
    </w:lvl>
    <w:lvl w:ilvl="1">
      <w:lvlJc w:val="left"/>
      <w:lvlText w:val="%2"/>
      <w:numFmt w:val="lowerLetter"/>
      <w:start w:val="1"/>
    </w:lvl>
  </w:abstractNum>
  <w:abstractNum w:abstractNumId="201">
    <w:nsid w:val="7635AA2A"/>
    <w:multiLevelType w:val="hybridMultilevel"/>
    <w:lvl w:ilvl="0">
      <w:lvlJc w:val="left"/>
      <w:lvlText w:val="(%1)"/>
      <w:numFmt w:val="lowerLetter"/>
      <w:start w:val="5"/>
    </w:lvl>
  </w:abstractNum>
  <w:abstractNum w:abstractNumId="202">
    <w:nsid w:val="5E74C4D9"/>
    <w:multiLevelType w:val="hybridMultilevel"/>
    <w:lvl w:ilvl="0">
      <w:lvlJc w:val="left"/>
      <w:lvlText w:val="(%1)"/>
      <w:numFmt w:val="lowerLetter"/>
      <w:start w:val="1"/>
    </w:lvl>
    <w:lvl w:ilvl="1">
      <w:lvlJc w:val="left"/>
      <w:lvlText w:val="(%2)"/>
      <w:numFmt w:val="lowerRoman"/>
      <w:start w:val="1"/>
    </w:lvl>
  </w:abstractNum>
  <w:abstractNum w:abstractNumId="203">
    <w:nsid w:val="3B3EBE15"/>
    <w:multiLevelType w:val="hybridMultilevel"/>
    <w:lvl w:ilvl="0">
      <w:lvlJc w:val="left"/>
      <w:lvlText w:val="(%1)"/>
      <w:numFmt w:val="lowerRoman"/>
      <w:start w:val="1"/>
    </w:lvl>
  </w:abstractNum>
  <w:abstractNum w:abstractNumId="204">
    <w:nsid w:val="3822CB01"/>
    <w:multiLevelType w:val="hybridMultilevel"/>
    <w:lvl w:ilvl="0">
      <w:lvlJc w:val="left"/>
      <w:lvlText w:val="(%1)"/>
      <w:numFmt w:val="lowerLetter"/>
      <w:start w:val="1"/>
    </w:lvl>
  </w:abstractNum>
  <w:abstractNum w:abstractNumId="205">
    <w:nsid w:val="6CE00443"/>
    <w:multiLevelType w:val="hybridMultilevel"/>
    <w:lvl w:ilvl="0">
      <w:lvlJc w:val="left"/>
      <w:lvlText w:val="(%1)"/>
      <w:numFmt w:val="lowerLetter"/>
      <w:start w:val="4"/>
    </w:lvl>
  </w:abstractNum>
  <w:abstractNum w:abstractNumId="206">
    <w:nsid w:val="79F0D62F"/>
    <w:multiLevelType w:val="hybridMultilevel"/>
    <w:lvl w:ilvl="0">
      <w:lvlJc w:val="left"/>
      <w:lvlText w:val="(%1)"/>
      <w:numFmt w:val="lowerLetter"/>
      <w:start w:val="1"/>
    </w:lvl>
  </w:abstractNum>
  <w:abstractNum w:abstractNumId="207">
    <w:nsid w:val="7975E8EE"/>
    <w:multiLevelType w:val="hybridMultilevel"/>
    <w:lvl w:ilvl="0">
      <w:lvlJc w:val="left"/>
      <w:lvlText w:val="(%1)"/>
      <w:numFmt w:val="lowerLetter"/>
      <w:start w:val="1"/>
    </w:lvl>
    <w:lvl w:ilvl="1">
      <w:lvlJc w:val="left"/>
      <w:lvlText w:val="(%2)"/>
      <w:numFmt w:val="lowerLetter"/>
      <w:start w:val="9"/>
    </w:lvl>
  </w:abstractNum>
  <w:abstractNum w:abstractNumId="208">
    <w:nsid w:val="73154115"/>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209">
    <w:nsid w:val="622D810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10">
    <w:nsid w:val="2AB26587"/>
    <w:multiLevelType w:val="hybridMultilevel"/>
    <w:lvl w:ilvl="0">
      <w:lvlJc w:val="left"/>
      <w:lvlText w:val="(%1)"/>
      <w:numFmt w:val="lowerLetter"/>
      <w:start w:val="4"/>
    </w:lvl>
    <w:lvl w:ilvl="1">
      <w:lvlJc w:val="left"/>
      <w:lvlText w:val="(%2)"/>
      <w:numFmt w:val="lowerLetter"/>
      <w:start w:val="9"/>
    </w:lvl>
  </w:abstractNum>
  <w:abstractNum w:abstractNumId="211">
    <w:nsid w:val="44B3FA61"/>
    <w:multiLevelType w:val="hybridMultilevel"/>
    <w:lvl w:ilvl="0">
      <w:lvlJc w:val="left"/>
      <w:lvlText w:val="(%1)"/>
      <w:numFmt w:val="lowerRoman"/>
      <w:start w:val="2"/>
    </w:lvl>
    <w:lvl w:ilvl="1">
      <w:lvlJc w:val="left"/>
      <w:lvlText w:val="(%2)"/>
      <w:numFmt w:val="upperLetter"/>
      <w:start w:val="1"/>
    </w:lvl>
  </w:abstractNum>
  <w:abstractNum w:abstractNumId="212">
    <w:nsid w:val="1C0CA67C"/>
    <w:multiLevelType w:val="hybridMultilevel"/>
    <w:lvl w:ilvl="0">
      <w:lvlJc w:val="left"/>
      <w:lvlText w:val="(%1)"/>
      <w:numFmt w:val="decimal"/>
      <w:start w:val="1"/>
    </w:lvl>
  </w:abstractNum>
  <w:abstractNum w:abstractNumId="213">
    <w:nsid w:val="3D20661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14">
    <w:nsid w:val="7993B66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15">
    <w:nsid w:val="3BAB699E"/>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16">
    <w:nsid w:val="71315369"/>
    <w:multiLevelType w:val="hybridMultilevel"/>
    <w:lvl w:ilvl="0">
      <w:lvlJc w:val="left"/>
      <w:lvlText w:val="(%1)"/>
      <w:numFmt w:val="lowerLetter"/>
      <w:start w:val="1"/>
    </w:lvl>
  </w:abstractNum>
  <w:abstractNum w:abstractNumId="217">
    <w:nsid w:val="7BCFBAFC"/>
    <w:multiLevelType w:val="hybridMultilevel"/>
    <w:lvl w:ilvl="0">
      <w:lvlJc w:val="left"/>
      <w:lvlText w:val="(%1)"/>
      <w:numFmt w:val="lowerLetter"/>
      <w:start w:val="3"/>
    </w:lvl>
  </w:abstractNum>
  <w:abstractNum w:abstractNumId="218">
    <w:nsid w:val="17859F72"/>
    <w:multiLevelType w:val="hybridMultilevel"/>
    <w:lvl w:ilvl="0">
      <w:lvlJc w:val="left"/>
      <w:lvlText w:val="(%1)"/>
      <w:numFmt w:val="lowerLetter"/>
      <w:start w:val="4"/>
    </w:lvl>
  </w:abstractNum>
  <w:abstractNum w:abstractNumId="219">
    <w:nsid w:val="3AA10581"/>
    <w:multiLevelType w:val="hybridMultilevel"/>
    <w:lvl w:ilvl="0">
      <w:lvlJc w:val="left"/>
      <w:lvlText w:val="(%1)"/>
      <w:numFmt w:val="lowerLetter"/>
      <w:start w:val="5"/>
    </w:lvl>
  </w:abstractNum>
  <w:abstractNum w:abstractNumId="220">
    <w:nsid w:val="63DE60CD"/>
    <w:multiLevelType w:val="hybridMultilevel"/>
    <w:lvl w:ilvl="0">
      <w:lvlJc w:val="left"/>
      <w:lvlText w:val="%1"/>
      <w:numFmt w:val="upperLetter"/>
      <w:start w:val="1"/>
    </w:lvl>
    <w:lvl w:ilvl="1">
      <w:lvlJc w:val="left"/>
      <w:lvlText w:val="(%2)"/>
      <w:numFmt w:val="lowerLetter"/>
      <w:start w:val="1"/>
    </w:lvl>
  </w:abstractNum>
  <w:abstractNum w:abstractNumId="221">
    <w:nsid w:val="621AF471"/>
    <w:multiLevelType w:val="hybridMultilevel"/>
    <w:lvl w:ilvl="0">
      <w:lvlJc w:val="left"/>
      <w:lvlText w:val="(%1)"/>
      <w:numFmt w:val="upperLetter"/>
      <w:start w:val="35"/>
    </w:lvl>
    <w:lvl w:ilvl="1">
      <w:lvlJc w:val="left"/>
      <w:lvlText w:val="(%2)"/>
      <w:numFmt w:val="lowerLetter"/>
      <w:start w:val="2"/>
    </w:lvl>
  </w:abstractNum>
  <w:abstractNum w:abstractNumId="222">
    <w:nsid w:val="73CFE165"/>
    <w:multiLevelType w:val="hybridMultilevel"/>
    <w:lvl w:ilvl="0">
      <w:lvlJc w:val="left"/>
      <w:lvlText w:val="(%1)"/>
      <w:numFmt w:val="lowerLetter"/>
      <w:start w:val="1"/>
    </w:lvl>
  </w:abstractNum>
  <w:abstractNum w:abstractNumId="223">
    <w:nsid w:val="20F88EA6"/>
    <w:multiLevelType w:val="hybridMultilevel"/>
    <w:lvl w:ilvl="0">
      <w:lvlJc w:val="left"/>
      <w:lvlText w:val="(%1)"/>
      <w:numFmt w:val="lowerLetter"/>
      <w:start w:val="8"/>
    </w:lvl>
  </w:abstractNum>
  <w:abstractNum w:abstractNumId="224">
    <w:nsid w:val="617C843E"/>
    <w:multiLevelType w:val="hybridMultilevel"/>
    <w:lvl w:ilvl="0">
      <w:lvlJc w:val="left"/>
      <w:lvlText w:val="(%1)"/>
      <w:numFmt w:val="lowerLetter"/>
      <w:start w:val="1"/>
    </w:lvl>
  </w:abstractNum>
  <w:abstractNum w:abstractNumId="225">
    <w:nsid w:val="7B541FAB"/>
    <w:multiLevelType w:val="hybridMultilevel"/>
    <w:lvl w:ilvl="0">
      <w:lvlJc w:val="left"/>
      <w:lvlText w:val="(%1)"/>
      <w:numFmt w:val="lowerLetter"/>
      <w:start w:val="1"/>
    </w:lvl>
  </w:abstractNum>
  <w:abstractNum w:abstractNumId="226">
    <w:nsid w:val="2A79EC49"/>
    <w:multiLevelType w:val="hybridMultilevel"/>
    <w:lvl w:ilvl="0">
      <w:lvlJc w:val="left"/>
      <w:lvlText w:val="(%1)"/>
      <w:numFmt w:val="lowerLetter"/>
      <w:start w:val="1"/>
    </w:lvl>
  </w:abstractNum>
  <w:abstractNum w:abstractNumId="227">
    <w:nsid w:val="338125CF"/>
    <w:multiLevelType w:val="hybridMultilevel"/>
    <w:lvl w:ilvl="0">
      <w:lvlJc w:val="left"/>
      <w:lvlText w:val="(%1)"/>
      <w:numFmt w:val="lowerLetter"/>
      <w:start w:val="5"/>
    </w:lvl>
  </w:abstractNum>
  <w:abstractNum w:abstractNumId="228">
    <w:nsid w:val="47C7C971"/>
    <w:multiLevelType w:val="hybridMultilevel"/>
    <w:lvl w:ilvl="0">
      <w:lvlJc w:val="left"/>
      <w:lvlText w:val="(%1)"/>
      <w:numFmt w:val="lowerLetter"/>
      <w:start w:val="1"/>
    </w:lvl>
  </w:abstractNum>
  <w:abstractNum w:abstractNumId="229">
    <w:nsid w:val="46F8284B"/>
    <w:multiLevelType w:val="hybridMultilevel"/>
    <w:lvl w:ilvl="0">
      <w:lvlJc w:val="left"/>
      <w:lvlText w:val="(%1)"/>
      <w:numFmt w:val="lowerLetter"/>
      <w:start w:val="1"/>
    </w:lvl>
  </w:abstractNum>
  <w:abstractNum w:abstractNumId="230">
    <w:nsid w:val="4FA327CE"/>
    <w:multiLevelType w:val="hybridMultilevel"/>
    <w:lvl w:ilvl="0">
      <w:lvlJc w:val="left"/>
      <w:lvlText w:val="%1"/>
      <w:numFmt w:val="lowerLetter"/>
      <w:start w:val="1"/>
    </w:lvl>
    <w:lvl w:ilvl="1">
      <w:lvlJc w:val="left"/>
      <w:lvlText w:val="(%2)"/>
      <w:numFmt w:val="lowerLetter"/>
      <w:start w:val="4"/>
    </w:lvl>
  </w:abstractNum>
  <w:abstractNum w:abstractNumId="231">
    <w:nsid w:val="1873983A"/>
    <w:multiLevelType w:val="hybridMultilevel"/>
    <w:lvl w:ilvl="0">
      <w:lvlJc w:val="left"/>
      <w:lvlText w:val="(%1)"/>
      <w:numFmt w:val="lowerLetter"/>
      <w:start w:val="5"/>
    </w:lvl>
    <w:lvl w:ilvl="1">
      <w:lvlJc w:val="left"/>
      <w:lvlText w:val="(%2)"/>
      <w:numFmt w:val="lowerLetter"/>
      <w:start w:val="6"/>
    </w:lvl>
  </w:abstractNum>
  <w:abstractNum w:abstractNumId="232">
    <w:nsid w:val="3D2DD275"/>
    <w:multiLevelType w:val="hybridMultilevel"/>
    <w:lvl w:ilvl="0">
      <w:lvlJc w:val="left"/>
      <w:lvlText w:val="(%1)"/>
      <w:numFmt w:val="lowerLetter"/>
      <w:start w:val="1"/>
    </w:lvl>
  </w:abstractNum>
  <w:abstractNum w:abstractNumId="233">
    <w:nsid w:val="2E17ECA7"/>
    <w:multiLevelType w:val="hybridMultilevel"/>
    <w:lvl w:ilvl="0">
      <w:lvlJc w:val="left"/>
      <w:lvlText w:val="(%1)"/>
      <w:numFmt w:val="lowerLetter"/>
      <w:start w:val="5"/>
    </w:lvl>
  </w:abstractNum>
  <w:abstractNum w:abstractNumId="234">
    <w:nsid w:val="53B2564F"/>
    <w:multiLevelType w:val="hybridMultilevel"/>
    <w:lvl w:ilvl="0">
      <w:lvlJc w:val="left"/>
      <w:lvlText w:val="(%1)"/>
      <w:numFmt w:val="lowerLetter"/>
      <w:start w:val="11"/>
    </w:lvl>
  </w:abstractNum>
  <w:abstractNum w:abstractNumId="235">
    <w:nsid w:val="75509D76"/>
    <w:multiLevelType w:val="hybridMultilevel"/>
    <w:lvl w:ilvl="0">
      <w:lvlJc w:val="left"/>
      <w:lvlText w:val="(%1)"/>
      <w:numFmt w:val="lowerLetter"/>
      <w:start w:val="1"/>
    </w:lvl>
  </w:abstractNum>
  <w:abstractNum w:abstractNumId="236">
    <w:nsid w:val="1AF7F0EA"/>
    <w:multiLevelType w:val="hybridMultilevel"/>
    <w:lvl w:ilvl="0">
      <w:lvlJc w:val="left"/>
      <w:lvlText w:val="(%1)"/>
      <w:numFmt w:val="lowerLetter"/>
      <w:start w:val="1"/>
    </w:lvl>
  </w:abstractNum>
  <w:abstractNum w:abstractNumId="237">
    <w:nsid w:val="4DA32C7E"/>
    <w:multiLevelType w:val="hybridMultilevel"/>
    <w:lvl w:ilvl="0">
      <w:lvlJc w:val="left"/>
      <w:lvlText w:val="(%1)"/>
      <w:numFmt w:val="lowerLetter"/>
      <w:start w:val="3"/>
    </w:lvl>
  </w:abstractNum>
  <w:abstractNum w:abstractNumId="238">
    <w:nsid w:val="6EC68664"/>
    <w:multiLevelType w:val="hybridMultilevel"/>
    <w:lvl w:ilvl="0">
      <w:lvlJc w:val="left"/>
      <w:lvlText w:val="(%1)"/>
      <w:numFmt w:val="lowerLetter"/>
      <w:start w:val="1"/>
    </w:lvl>
  </w:abstractNum>
  <w:abstractNum w:abstractNumId="239">
    <w:nsid w:val="E0D31FF"/>
    <w:multiLevelType w:val="hybridMultilevel"/>
    <w:lvl w:ilvl="0">
      <w:lvlJc w:val="left"/>
      <w:lvlText w:val="(%1)"/>
      <w:numFmt w:val="lowerLetter"/>
      <w:start w:val="1"/>
    </w:lvl>
  </w:abstractNum>
  <w:abstractNum w:abstractNumId="240">
    <w:nsid w:val="2FD0AD81"/>
    <w:multiLevelType w:val="hybridMultilevel"/>
    <w:lvl w:ilvl="0">
      <w:lvlJc w:val="left"/>
      <w:lvlText w:val="(%1)"/>
      <w:numFmt w:val="lowerLetter"/>
      <w:start w:val="4"/>
    </w:lvl>
  </w:abstractNum>
  <w:abstractNum w:abstractNumId="241">
    <w:nsid w:val="1978EBEB"/>
    <w:multiLevelType w:val="hybridMultilevel"/>
    <w:lvl w:ilvl="0">
      <w:lvlJc w:val="left"/>
      <w:lvlText w:val="(%1)"/>
      <w:numFmt w:val="lowerLetter"/>
      <w:start w:val="1"/>
    </w:lvl>
  </w:abstractNum>
  <w:abstractNum w:abstractNumId="242">
    <w:nsid w:val="52C12C61"/>
    <w:multiLevelType w:val="hybridMultilevel"/>
    <w:lvl w:ilvl="0">
      <w:lvlJc w:val="left"/>
      <w:lvlText w:val="(%1)"/>
      <w:numFmt w:val="lowerLetter"/>
      <w:start w:val="25"/>
    </w:lvl>
    <w:lvl w:ilvl="1">
      <w:lvlJc w:val="left"/>
      <w:lvlText w:val="(%2)"/>
      <w:numFmt w:val="lowerLetter"/>
      <w:start w:val="3"/>
    </w:lvl>
  </w:abstractNum>
  <w:abstractNum w:abstractNumId="243">
    <w:nsid w:val="4BDD53FD"/>
    <w:multiLevelType w:val="hybridMultilevel"/>
    <w:lvl w:ilvl="0">
      <w:lvlJc w:val="left"/>
      <w:lvlText w:val="(%1)"/>
      <w:numFmt w:val="lowerLetter"/>
      <w:start w:val="5"/>
    </w:lvl>
  </w:abstractNum>
  <w:abstractNum w:abstractNumId="244">
    <w:nsid w:val="569951FE"/>
    <w:multiLevelType w:val="hybridMultilevel"/>
    <w:lvl w:ilvl="0">
      <w:lvlJc w:val="left"/>
      <w:lvlText w:val="(%1)"/>
      <w:numFmt w:val="lowerLetter"/>
      <w:start w:val="1"/>
    </w:lvl>
  </w:abstractNum>
  <w:abstractNum w:abstractNumId="245">
    <w:nsid w:val="4C54E2C3"/>
    <w:multiLevelType w:val="hybridMultilevel"/>
    <w:lvl w:ilvl="0">
      <w:lvlJc w:val="left"/>
      <w:lvlText w:val="(%1)"/>
      <w:numFmt w:val="lowerLetter"/>
      <w:start w:val="1"/>
    </w:lvl>
  </w:abstractNum>
  <w:abstractNum w:abstractNumId="246">
    <w:nsid w:val="788BD9B"/>
    <w:multiLevelType w:val="hybridMultilevel"/>
    <w:lvl w:ilvl="0">
      <w:lvlJc w:val="left"/>
      <w:lvlText w:val="(%1)"/>
      <w:numFmt w:val="lowerLetter"/>
      <w:start w:val="1"/>
    </w:lvl>
  </w:abstractNum>
  <w:abstractNum w:abstractNumId="247">
    <w:nsid w:val="47CAA567"/>
    <w:multiLevelType w:val="hybridMultilevel"/>
    <w:lvl w:ilvl="0">
      <w:lvlJc w:val="left"/>
      <w:lvlText w:val="(%1)"/>
      <w:numFmt w:val="lowerLetter"/>
      <w:start w:val="2"/>
    </w:lvl>
  </w:abstractNum>
  <w:abstractNum w:abstractNumId="248">
    <w:nsid w:val="48249DBF"/>
    <w:multiLevelType w:val="hybridMultilevel"/>
    <w:lvl w:ilvl="0">
      <w:lvlJc w:val="left"/>
      <w:lvlText w:val="(%1)"/>
      <w:numFmt w:val="lowerRoman"/>
      <w:start w:val="1"/>
    </w:lvl>
  </w:abstractNum>
  <w:abstractNum w:abstractNumId="249">
    <w:nsid w:val="1F0E5D0D"/>
    <w:multiLevelType w:val="hybridMultilevel"/>
    <w:lvl w:ilvl="0">
      <w:lvlJc w:val="left"/>
      <w:lvlText w:val="%1"/>
      <w:numFmt w:val="lowerLetter"/>
      <w:start w:val="1"/>
    </w:lvl>
    <w:lvl w:ilvl="1">
      <w:lvlJc w:val="left"/>
      <w:lvlText w:val="(%2)"/>
      <w:numFmt w:val="lowerRoman"/>
      <w:start w:val="4"/>
    </w:lvl>
  </w:abstractNum>
  <w:abstractNum w:abstractNumId="250">
    <w:nsid w:val="26BAAE9"/>
    <w:multiLevelType w:val="hybridMultilevel"/>
    <w:lvl w:ilvl="0">
      <w:lvlJc w:val="left"/>
      <w:lvlText w:val="(%1)"/>
      <w:numFmt w:val="lowerLetter"/>
      <w:start w:val="2"/>
    </w:lvl>
    <w:lvl w:ilvl="1">
      <w:lvlJc w:val="left"/>
      <w:lvlText w:val="%2"/>
      <w:numFmt w:val="lowerRoman"/>
      <w:start w:val="1"/>
    </w:lvl>
  </w:abstractNum>
  <w:abstractNum w:abstractNumId="251">
    <w:nsid w:val="2C02FE8C"/>
    <w:multiLevelType w:val="hybridMultilevel"/>
    <w:lvl w:ilvl="0">
      <w:lvlJc w:val="left"/>
      <w:lvlText w:val="(%1)"/>
      <w:numFmt w:val="lowerLetter"/>
      <w:start w:val="1"/>
    </w:lvl>
  </w:abstractNum>
  <w:abstractNum w:abstractNumId="252">
    <w:nsid w:val="129517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3">
    <w:nsid w:val="763B8C4E"/>
    <w:multiLevelType w:val="hybridMultilevel"/>
    <w:lvl w:ilvl="0">
      <w:lvlJc w:val="left"/>
      <w:lvlText w:val="(%1)"/>
      <w:numFmt w:val="lowerLetter"/>
      <w:start w:val="26"/>
    </w:lvl>
    <w:lvl w:ilvl="1">
      <w:lvlJc w:val="left"/>
      <w:lvlText w:val="(%2)"/>
      <w:numFmt w:val="lowerLetter"/>
      <w:start w:val="2"/>
    </w:lvl>
    <w:lvl w:ilvl="2">
      <w:lvlJc w:val="left"/>
      <w:lvlText w:val="(%3)"/>
      <w:numFmt w:val="lowerRoman"/>
      <w:start w:val="1"/>
    </w:lvl>
  </w:abstractNum>
  <w:abstractNum w:abstractNumId="254">
    <w:nsid w:val="4CFB8D32"/>
    <w:multiLevelType w:val="hybridMultilevel"/>
    <w:lvl w:ilvl="0">
      <w:lvlJc w:val="left"/>
      <w:lvlText w:val="(%1)"/>
      <w:numFmt w:val="lowerLetter"/>
      <w:start w:val="5"/>
    </w:lvl>
  </w:abstractNum>
  <w:abstractNum w:abstractNumId="255">
    <w:nsid w:val="62A5D5B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56">
    <w:nsid w:val="718FABF9"/>
    <w:multiLevelType w:val="hybridMultilevel"/>
    <w:lvl w:ilvl="0">
      <w:lvlJc w:val="left"/>
      <w:lvlText w:val="(%1)"/>
      <w:numFmt w:val="lowerRoman"/>
      <w:start w:val="2"/>
    </w:lvl>
    <w:lvl w:ilvl="1">
      <w:lvlJc w:val="left"/>
      <w:lvlText w:val="(%2)"/>
      <w:numFmt w:val="upperLetter"/>
      <w:start w:val="1"/>
    </w:lvl>
  </w:abstractNum>
  <w:abstractNum w:abstractNumId="257">
    <w:nsid w:val="7775797C"/>
    <w:multiLevelType w:val="hybridMultilevel"/>
    <w:lvl w:ilvl="0">
      <w:lvlJc w:val="left"/>
      <w:lvlText w:val="(%1)"/>
      <w:numFmt w:val="lowerLetter"/>
      <w:start w:val="3"/>
    </w:lvl>
  </w:abstractNum>
  <w:abstractNum w:abstractNumId="258">
    <w:nsid w:val="1626FB8C"/>
    <w:multiLevelType w:val="hybridMultilevel"/>
    <w:lvl w:ilvl="0">
      <w:lvlJc w:val="left"/>
      <w:lvlText w:val="(%1)"/>
      <w:numFmt w:val="lowerLetter"/>
      <w:start w:val="4"/>
    </w:lvl>
  </w:abstractNum>
  <w:abstractNum w:abstractNumId="259">
    <w:nsid w:val="3957756A"/>
    <w:multiLevelType w:val="hybridMultilevel"/>
    <w:lvl w:ilvl="0">
      <w:lvlJc w:val="left"/>
      <w:lvlText w:val="(%1)"/>
      <w:numFmt w:val="lowerLetter"/>
      <w:start w:val="5"/>
    </w:lvl>
  </w:abstractNum>
  <w:abstractNum w:abstractNumId="260">
    <w:nsid w:val="3E6DA1C7"/>
    <w:multiLevelType w:val="hybridMultilevel"/>
    <w:lvl w:ilvl="0">
      <w:lvlJc w:val="left"/>
      <w:lvlText w:val="(%1)"/>
      <w:numFmt w:val="lowerLetter"/>
      <w:start w:val="6"/>
    </w:lvl>
  </w:abstractNum>
  <w:abstractNum w:abstractNumId="261">
    <w:nsid w:val="65CA235B"/>
    <w:multiLevelType w:val="hybridMultilevel"/>
    <w:lvl w:ilvl="0">
      <w:lvlJc w:val="left"/>
      <w:lvlText w:val="(%1)"/>
      <w:numFmt w:val="lowerLetter"/>
      <w:start w:val="1"/>
    </w:lvl>
    <w:lvl w:ilvl="1">
      <w:lvlJc w:val="left"/>
      <w:lvlText w:val="(%2)"/>
      <w:numFmt w:val="lowerLetter"/>
      <w:start w:val="9"/>
    </w:lvl>
  </w:abstractNum>
  <w:abstractNum w:abstractNumId="262">
    <w:nsid w:val="51CB0DA4"/>
    <w:multiLevelType w:val="hybridMultilevel"/>
    <w:lvl w:ilvl="0">
      <w:lvlJc w:val="left"/>
      <w:lvlText w:val="(%1)"/>
      <w:numFmt w:val="lowerRoman"/>
      <w:start w:val="2"/>
    </w:lvl>
  </w:abstractNum>
  <w:abstractNum w:abstractNumId="263">
    <w:nsid w:val="7B9B743C"/>
    <w:multiLevelType w:val="hybridMultilevel"/>
    <w:lvl w:ilvl="0">
      <w:lvlJc w:val="left"/>
      <w:lvlText w:val="(%1)"/>
      <w:numFmt w:val="lowerLetter"/>
      <w:start w:val="2"/>
    </w:lvl>
  </w:abstractNum>
  <w:abstractNum w:abstractNumId="264">
    <w:nsid w:val="13E21002"/>
    <w:multiLevelType w:val="hybridMultilevel"/>
    <w:lvl w:ilvl="0">
      <w:lvlJc w:val="left"/>
      <w:lvlText w:val="(%1)"/>
      <w:numFmt w:val="lowerLetter"/>
      <w:start w:val="3"/>
    </w:lvl>
  </w:abstractNum>
  <w:abstractNum w:abstractNumId="265">
    <w:nsid w:val="257D63F4"/>
    <w:multiLevelType w:val="hybridMultilevel"/>
    <w:lvl w:ilvl="0">
      <w:lvlJc w:val="left"/>
      <w:lvlText w:val="(%1)"/>
      <w:numFmt w:val="lowerLetter"/>
      <w:start w:val="4"/>
    </w:lvl>
  </w:abstractNum>
  <w:abstractNum w:abstractNumId="266">
    <w:nsid w:val="70EC11B2"/>
    <w:multiLevelType w:val="hybridMultilevel"/>
    <w:lvl w:ilvl="0">
      <w:lvlJc w:val="left"/>
      <w:lvlText w:val="(%1)"/>
      <w:numFmt w:val="lowerLetter"/>
      <w:start w:val="1"/>
    </w:lvl>
    <w:lvl w:ilvl="1">
      <w:lvlJc w:val="left"/>
      <w:lvlText w:val="(%2)"/>
      <w:numFmt w:val="lowerRoman"/>
      <w:start w:val="1"/>
    </w:lvl>
  </w:abstractNum>
  <w:abstractNum w:abstractNumId="267">
    <w:nsid w:val="2EDA00ED"/>
    <w:multiLevelType w:val="hybridMultilevel"/>
    <w:lvl w:ilvl="0">
      <w:lvlJc w:val="left"/>
      <w:lvlText w:val="(%1)"/>
      <w:numFmt w:val="lowerLetter"/>
      <w:start w:val="1"/>
    </w:lvl>
  </w:abstractNum>
  <w:abstractNum w:abstractNumId="268">
    <w:nsid w:val="73209072"/>
    <w:multiLevelType w:val="hybridMultilevel"/>
    <w:lvl w:ilvl="0">
      <w:lvlJc w:val="left"/>
      <w:lvlText w:val="(%1)"/>
      <w:numFmt w:val="lowerLetter"/>
      <w:start w:val="1"/>
    </w:lvl>
  </w:abstractNum>
  <w:abstractNum w:abstractNumId="269">
    <w:nsid w:val="5FB29816"/>
    <w:multiLevelType w:val="hybridMultilevel"/>
    <w:lvl w:ilvl="0">
      <w:lvlJc w:val="left"/>
      <w:lvlText w:val="(%1)"/>
      <w:numFmt w:val="lowerLetter"/>
      <w:start w:val="2"/>
    </w:lvl>
  </w:abstractNum>
  <w:abstractNum w:abstractNumId="270">
    <w:nsid w:val="3CE732EC"/>
    <w:multiLevelType w:val="hybridMultilevel"/>
    <w:lvl w:ilvl="0">
      <w:lvlJc w:val="left"/>
      <w:lvlText w:val="(%1)"/>
      <w:numFmt w:val="lowerLetter"/>
      <w:start w:val="1"/>
    </w:lvl>
  </w:abstractNum>
  <w:abstractNum w:abstractNumId="271">
    <w:nsid w:val="22F13DF3"/>
    <w:multiLevelType w:val="hybridMultilevel"/>
    <w:lvl w:ilvl="0">
      <w:lvlJc w:val="left"/>
      <w:lvlText w:val="(%1)"/>
      <w:numFmt w:val="lowerLetter"/>
      <w:start w:val="2"/>
    </w:lvl>
  </w:abstractNum>
  <w:abstractNum w:abstractNumId="272">
    <w:nsid w:val="792B8401"/>
    <w:multiLevelType w:val="hybridMultilevel"/>
    <w:lvl w:ilvl="0">
      <w:lvlJc w:val="left"/>
      <w:lvlText w:val="["/>
      <w:numFmt w:val="bullet"/>
      <w:start w:val="1"/>
    </w:lvl>
  </w:abstractNum>
  <w:abstractNum w:abstractNumId="273">
    <w:nsid w:val="FA85F4D"/>
    <w:multiLevelType w:val="hybridMultilevel"/>
    <w:lvl w:ilvl="0">
      <w:lvlJc w:val="left"/>
      <w:lvlText w:val="["/>
      <w:numFmt w:val="bullet"/>
      <w:start w:val="1"/>
    </w:lvl>
  </w:abstractNum>
  <w:abstractNum w:abstractNumId="274">
    <w:nsid w:val="6ECE91F0"/>
    <w:multiLevelType w:val="hybridMultilevel"/>
    <w:lvl w:ilvl="0">
      <w:lvlJc w:val="left"/>
      <w:lvlText w:val="•"/>
      <w:numFmt w:val="bullet"/>
      <w:start w:val="1"/>
    </w:lvl>
  </w:abstractNum>
  <w:abstractNum w:abstractNumId="275">
    <w:nsid w:val="4FC4D600"/>
    <w:multiLevelType w:val="hybridMultilevel"/>
    <w:lvl w:ilvl="0">
      <w:lvlJc w:val="left"/>
      <w:lvlText w:val="•"/>
      <w:numFmt w:val="bullet"/>
      <w:start w:val="1"/>
    </w:lvl>
  </w:abstractNum>
  <w:abstractNum w:abstractNumId="276">
    <w:nsid w:val="5BFD4210"/>
    <w:multiLevelType w:val="hybridMultilevel"/>
    <w:lvl w:ilvl="0">
      <w:lvlJc w:val="left"/>
      <w:lvlText w:val="•"/>
      <w:numFmt w:val="bullet"/>
      <w:start w:val="1"/>
    </w:lvl>
  </w:abstractNum>
  <w:abstractNum w:abstractNumId="277">
    <w:nsid w:val="76574F8B"/>
    <w:multiLevelType w:val="hybridMultilevel"/>
    <w:lvl w:ilvl="0">
      <w:lvlJc w:val="left"/>
      <w:lvlText w:val="•"/>
      <w:numFmt w:val="bullet"/>
      <w:start w:val="1"/>
    </w:lvl>
  </w:abstractNum>
  <w:abstractNum w:abstractNumId="278">
    <w:nsid w:val="178F7B67"/>
    <w:multiLevelType w:val="hybridMultilevel"/>
    <w:lvl w:ilvl="0">
      <w:lvlJc w:val="left"/>
      <w:lvlText w:val="•"/>
      <w:numFmt w:val="bullet"/>
      <w:start w:val="1"/>
    </w:lvl>
  </w:abstractNum>
  <w:abstractNum w:abstractNumId="279">
    <w:nsid w:val="2421DFCF"/>
    <w:multiLevelType w:val="hybridMultilevel"/>
    <w:lvl w:ilvl="0">
      <w:lvlJc w:val="left"/>
      <w:lvlText w:val="•"/>
      <w:numFmt w:val="bullet"/>
      <w:start w:val="1"/>
    </w:lvl>
  </w:abstractNum>
  <w:abstractNum w:abstractNumId="280">
    <w:nsid w:val="1565AC99"/>
    <w:multiLevelType w:val="hybridMultilevel"/>
    <w:lvl w:ilvl="0">
      <w:lvlJc w:val="left"/>
      <w:lvlText w:val="•"/>
      <w:numFmt w:val="bullet"/>
      <w:start w:val="1"/>
    </w:lvl>
  </w:abstractNum>
  <w:abstractNum w:abstractNumId="281">
    <w:nsid w:val="19FB2650"/>
    <w:multiLevelType w:val="hybridMultilevel"/>
    <w:lvl w:ilvl="0">
      <w:lvlJc w:val="left"/>
      <w:lvlText w:val="•"/>
      <w:numFmt w:val="bullet"/>
      <w:start w:val="1"/>
    </w:lvl>
  </w:abstractNum>
  <w:abstractNum w:abstractNumId="282">
    <w:nsid w:val="5024DE5B"/>
    <w:multiLevelType w:val="hybridMultilevel"/>
    <w:lvl w:ilvl="0">
      <w:lvlJc w:val="left"/>
      <w:lvlText w:val="•"/>
      <w:numFmt w:val="bullet"/>
      <w:start w:val="1"/>
    </w:lvl>
  </w:abstractNum>
  <w:abstractNum w:abstractNumId="283">
    <w:nsid w:val="168EFE17"/>
    <w:multiLevelType w:val="hybridMultilevel"/>
    <w:lvl w:ilvl="0">
      <w:lvlJc w:val="left"/>
      <w:lvlText w:val="•"/>
      <w:numFmt w:val="bullet"/>
      <w:start w:val="1"/>
    </w:lvl>
  </w:abstractNum>
  <w:abstractNum w:abstractNumId="284">
    <w:nsid w:val="1036B29F"/>
    <w:multiLevelType w:val="hybridMultilevel"/>
    <w:lvl w:ilvl="0">
      <w:lvlJc w:val="left"/>
      <w:lvlText w:val="•"/>
      <w:numFmt w:val="bullet"/>
      <w:start w:val="1"/>
    </w:lvl>
  </w:abstractNum>
  <w:abstractNum w:abstractNumId="285">
    <w:nsid w:val="1D206B8E"/>
    <w:multiLevelType w:val="hybridMultilevel"/>
    <w:lvl w:ilvl="0">
      <w:lvlJc w:val="left"/>
      <w:lvlText w:val="•"/>
      <w:numFmt w:val="bullet"/>
      <w:start w:val="1"/>
    </w:lvl>
  </w:abstractNum>
  <w:abstractNum w:abstractNumId="286">
    <w:nsid w:val="7934D3D4"/>
    <w:multiLevelType w:val="hybridMultilevel"/>
    <w:lvl w:ilvl="0">
      <w:lvlJc w:val="left"/>
      <w:lvlText w:val="["/>
      <w:numFmt w:val="bullet"/>
      <w:start w:val="1"/>
    </w:lvl>
  </w:abstractNum>
  <w:abstractNum w:abstractNumId="287">
    <w:nsid w:val="1C65E98"/>
    <w:multiLevelType w:val="hybridMultilevel"/>
    <w:lvl w:ilvl="0">
      <w:lvlJc w:val="left"/>
      <w:lvlText w:val="•"/>
      <w:numFmt w:val="bullet"/>
      <w:start w:val="1"/>
    </w:lvl>
  </w:abstractNum>
  <w:abstractNum w:abstractNumId="288">
    <w:nsid w:val="1495E50A"/>
    <w:multiLevelType w:val="hybridMultilevel"/>
    <w:lvl w:ilvl="0">
      <w:lvlJc w:val="left"/>
      <w:lvlText w:val="•"/>
      <w:numFmt w:val="bullet"/>
      <w:start w:val="1"/>
    </w:lvl>
  </w:abstractNum>
  <w:abstractNum w:abstractNumId="289">
    <w:nsid w:val="F5BCF61"/>
    <w:multiLevelType w:val="hybridMultilevel"/>
    <w:lvl w:ilvl="0">
      <w:lvlJc w:val="left"/>
      <w:lvlText w:val="•"/>
      <w:numFmt w:val="bullet"/>
      <w:start w:val="1"/>
    </w:lvl>
  </w:abstractNum>
  <w:abstractNum w:abstractNumId="290">
    <w:nsid w:val="3B1DD403"/>
    <w:multiLevelType w:val="hybridMultilevel"/>
    <w:lvl w:ilvl="0">
      <w:lvlJc w:val="left"/>
      <w:lvlText w:val="•"/>
      <w:numFmt w:val="bullet"/>
      <w:start w:val="1"/>
    </w:lvl>
  </w:abstractNum>
  <w:abstractNum w:abstractNumId="291">
    <w:nsid w:val="530386D1"/>
    <w:multiLevelType w:val="hybridMultilevel"/>
    <w:lvl w:ilvl="0">
      <w:lvlJc w:val="left"/>
      <w:lvlText w:val="(%1)"/>
      <w:numFmt w:val="decimal"/>
      <w:start w:val="1"/>
    </w:lvl>
  </w:abstractNum>
  <w:abstractNum w:abstractNumId="292">
    <w:nsid w:val="7525F2BC"/>
    <w:multiLevelType w:val="hybridMultilevel"/>
    <w:lvl w:ilvl="0">
      <w:lvlJc w:val="left"/>
      <w:lvlText w:val="(%1)"/>
      <w:numFmt w:val="decimal"/>
      <w:start w:val="1"/>
    </w:lvl>
  </w:abstractNum>
  <w:abstractNum w:abstractNumId="293">
    <w:nsid w:val="CE8E1A7"/>
    <w:multiLevelType w:val="hybridMultilevel"/>
    <w:lvl w:ilvl="0">
      <w:lvlJc w:val="left"/>
      <w:lvlText w:val="•"/>
      <w:numFmt w:val="bullet"/>
      <w:start w:val="1"/>
    </w:lvl>
  </w:abstractNum>
  <w:abstractNum w:abstractNumId="294">
    <w:nsid w:val="4E9EFB0D"/>
    <w:multiLevelType w:val="hybridMultilevel"/>
    <w:lvl w:ilvl="0">
      <w:lvlJc w:val="left"/>
      <w:lvlText w:val="•"/>
      <w:numFmt w:val="bullet"/>
      <w:start w:val="1"/>
    </w:lvl>
  </w:abstractNum>
  <w:abstractNum w:abstractNumId="295">
    <w:nsid w:val="90802BE"/>
    <w:multiLevelType w:val="hybridMultilevel"/>
    <w:lvl w:ilvl="0">
      <w:lvlJc w:val="left"/>
      <w:lvlText w:val="•"/>
      <w:numFmt w:val="bullet"/>
      <w:start w:val="1"/>
    </w:lvl>
  </w:abstractNum>
  <w:abstractNum w:abstractNumId="296">
    <w:nsid w:val="3266459B"/>
    <w:multiLevelType w:val="hybridMultilevel"/>
    <w:lvl w:ilvl="0">
      <w:lvlJc w:val="left"/>
      <w:lvlText w:val="•"/>
      <w:numFmt w:val="bullet"/>
      <w:start w:val="1"/>
    </w:lvl>
  </w:abstractNum>
  <w:abstractNum w:abstractNumId="297">
    <w:nsid w:val="3F8B0CBF"/>
    <w:multiLevelType w:val="hybridMultilevel"/>
    <w:lvl w:ilvl="0">
      <w:lvlJc w:val="left"/>
      <w:lvlText w:val="•"/>
      <w:numFmt w:val="bullet"/>
      <w:start w:val="1"/>
    </w:lvl>
  </w:abstractNum>
  <w:abstractNum w:abstractNumId="298">
    <w:nsid w:val="37E203AB"/>
    <w:multiLevelType w:val="hybridMultilevel"/>
    <w:lvl w:ilvl="0">
      <w:lvlJc w:val="left"/>
      <w:lvlText w:val="•"/>
      <w:numFmt w:val="bullet"/>
      <w:start w:val="1"/>
    </w:lvl>
  </w:abstractNum>
  <w:abstractNum w:abstractNumId="299">
    <w:nsid w:val="2586D60E"/>
    <w:multiLevelType w:val="hybridMultilevel"/>
    <w:lvl w:ilvl="0">
      <w:lvlJc w:val="left"/>
      <w:lvlText w:val="•"/>
      <w:numFmt w:val="bullet"/>
      <w:start w:val="1"/>
    </w:lvl>
  </w:abstractNum>
  <w:abstractNum w:abstractNumId="300">
    <w:nsid w:val="1F3DA4D5"/>
    <w:multiLevelType w:val="hybridMultilevel"/>
    <w:lvl w:ilvl="0">
      <w:lvlJc w:val="left"/>
      <w:lvlText w:val="•"/>
      <w:numFmt w:val="bullet"/>
      <w:start w:val="1"/>
    </w:lvl>
  </w:abstractNum>
  <w:abstractNum w:abstractNumId="301">
    <w:nsid w:val="74C93698"/>
    <w:multiLevelType w:val="hybridMultilevel"/>
    <w:lvl w:ilvl="0">
      <w:lvlJc w:val="left"/>
      <w:lvlText w:val="•"/>
      <w:numFmt w:val="bullet"/>
      <w:start w:val="1"/>
    </w:lvl>
  </w:abstractNum>
  <w:abstractNum w:abstractNumId="302">
    <w:nsid w:val="48781401"/>
    <w:multiLevelType w:val="hybridMultilevel"/>
    <w:lvl w:ilvl="0">
      <w:lvlJc w:val="left"/>
      <w:lvlText w:val="•"/>
      <w:numFmt w:val="bullet"/>
      <w:start w:val="1"/>
    </w:lvl>
  </w:abstractNum>
  <w:abstractNum w:abstractNumId="303">
    <w:nsid w:val="186928D6"/>
    <w:multiLevelType w:val="hybridMultilevel"/>
    <w:lvl w:ilvl="0">
      <w:lvlJc w:val="left"/>
      <w:lvlText w:val="•"/>
      <w:numFmt w:val="bullet"/>
      <w:start w:val="1"/>
    </w:lvl>
  </w:abstractNum>
  <w:abstractNum w:abstractNumId="304">
    <w:nsid w:val="47195E5"/>
    <w:multiLevelType w:val="hybridMultilevel"/>
    <w:lvl w:ilvl="0">
      <w:lvlJc w:val="left"/>
      <w:lvlText w:val="•"/>
      <w:numFmt w:val="bullet"/>
      <w:start w:val="1"/>
    </w:lvl>
  </w:abstractNum>
  <w:abstractNum w:abstractNumId="305">
    <w:nsid w:val="3746A5F2"/>
    <w:multiLevelType w:val="hybridMultilevel"/>
    <w:lvl w:ilvl="0">
      <w:lvlJc w:val="left"/>
      <w:lvlText w:val="•"/>
      <w:numFmt w:val="bullet"/>
      <w:start w:val="1"/>
    </w:lvl>
  </w:abstractNum>
  <w:abstractNum w:abstractNumId="306">
    <w:nsid w:val="682DFED6"/>
    <w:multiLevelType w:val="hybridMultilevel"/>
    <w:lvl w:ilvl="0">
      <w:lvlJc w:val="left"/>
      <w:lvlText w:val="•"/>
      <w:numFmt w:val="bullet"/>
      <w:start w:val="1"/>
    </w:lvl>
  </w:abstractNum>
  <w:abstractNum w:abstractNumId="307">
    <w:nsid w:val="606ED7F6"/>
    <w:multiLevelType w:val="hybridMultilevel"/>
    <w:lvl w:ilvl="0">
      <w:lvlJc w:val="left"/>
      <w:lvlText w:val="•"/>
      <w:numFmt w:val="bullet"/>
      <w:start w:val="1"/>
    </w:lvl>
  </w:abstractNum>
  <w:abstractNum w:abstractNumId="308">
    <w:nsid w:val="2D9DF57D"/>
    <w:multiLevelType w:val="hybridMultilevel"/>
    <w:lvl w:ilvl="0">
      <w:lvlJc w:val="left"/>
      <w:lvlText w:val="•"/>
      <w:numFmt w:val="bullet"/>
      <w:start w:val="1"/>
    </w:lvl>
  </w:abstractNum>
  <w:abstractNum w:abstractNumId="309">
    <w:nsid w:val="7FBD7A3E"/>
    <w:multiLevelType w:val="hybridMultilevel"/>
    <w:lvl w:ilvl="0">
      <w:lvlJc w:val="left"/>
      <w:lvlText w:val="•"/>
      <w:numFmt w:val="bullet"/>
      <w:start w:val="1"/>
    </w:lvl>
  </w:abstractNum>
  <w:abstractNum w:abstractNumId="310">
    <w:nsid w:val="490B7C5"/>
    <w:multiLevelType w:val="hybridMultilevel"/>
    <w:lvl w:ilvl="0">
      <w:lvlJc w:val="left"/>
      <w:lvlText w:val="(%1)"/>
      <w:numFmt w:val="lowerLetter"/>
      <w:start w:val="1"/>
    </w:lvl>
  </w:abstractNum>
  <w:abstractNum w:abstractNumId="311">
    <w:nsid w:val="4303A216"/>
    <w:multiLevelType w:val="hybridMultilevel"/>
    <w:lvl w:ilvl="0">
      <w:lvlJc w:val="left"/>
      <w:lvlText w:val="(%1)"/>
      <w:numFmt w:val="lowerLetter"/>
      <w:start w:val="3"/>
    </w:lvl>
  </w:abstractNum>
  <w:abstractNum w:abstractNumId="312">
    <w:nsid w:val="19B8A08E"/>
    <w:multiLevelType w:val="hybridMultilevel"/>
    <w:lvl w:ilvl="0">
      <w:lvlJc w:val="left"/>
      <w:lvlText w:val="(%1)"/>
      <w:numFmt w:val="lowerLetter"/>
      <w:start w:val="4"/>
    </w:lvl>
  </w:abstractNum>
  <w:abstractNum w:abstractNumId="313">
    <w:nsid w:val="54B59621"/>
    <w:multiLevelType w:val="hybridMultilevel"/>
    <w:lvl w:ilvl="0">
      <w:lvlJc w:val="left"/>
      <w:lvlText w:val="(%1)"/>
      <w:numFmt w:val="lowerLetter"/>
      <w:start w:val="8"/>
    </w:lvl>
  </w:abstractNum>
  <w:abstractNum w:abstractNumId="314">
    <w:nsid w:val="5992A02E"/>
    <w:multiLevelType w:val="hybridMultilevel"/>
    <w:lvl w:ilvl="0">
      <w:lvlJc w:val="left"/>
      <w:lvlText w:val="(%1)"/>
      <w:numFmt w:val="lowerLetter"/>
      <w:start w:val="13"/>
    </w:lvl>
  </w:abstractNum>
  <w:abstractNum w:abstractNumId="315">
    <w:nsid w:val="29EF532D"/>
    <w:multiLevelType w:val="hybridMultilevel"/>
    <w:lvl w:ilvl="0">
      <w:lvlJc w:val="left"/>
      <w:lvlText w:val="•"/>
      <w:numFmt w:val="bullet"/>
      <w:start w:val="1"/>
    </w:lvl>
  </w:abstractNum>
  <w:abstractNum w:abstractNumId="316">
    <w:nsid w:val="71D601AF"/>
    <w:multiLevelType w:val="hybridMultilevel"/>
    <w:lvl w:ilvl="0">
      <w:lvlJc w:val="left"/>
      <w:lvlText w:val="•"/>
      <w:numFmt w:val="bullet"/>
      <w:start w:val="1"/>
    </w:lvl>
  </w:abstractNum>
  <w:abstractNum w:abstractNumId="317">
    <w:nsid w:val="52C77402"/>
    <w:multiLevelType w:val="hybridMultilevel"/>
    <w:lvl w:ilvl="0">
      <w:lvlJc w:val="left"/>
      <w:lvlText w:val="•"/>
      <w:numFmt w:val="bullet"/>
      <w:start w:val="1"/>
    </w:lvl>
  </w:abstractNum>
  <w:abstractNum w:abstractNumId="318">
    <w:nsid w:val="2BB5B1C6"/>
    <w:multiLevelType w:val="hybridMultilevel"/>
    <w:lvl w:ilvl="0">
      <w:lvlJc w:val="left"/>
      <w:lvlText w:val="•"/>
      <w:numFmt w:val="bullet"/>
      <w:start w:val="1"/>
    </w:lvl>
  </w:abstractNum>
  <w:abstractNum w:abstractNumId="319">
    <w:nsid w:val="66BE6B9"/>
    <w:multiLevelType w:val="hybridMultilevel"/>
    <w:lvl w:ilvl="0">
      <w:lvlJc w:val="left"/>
      <w:lvlText w:val="(%1)"/>
      <w:numFmt w:val="decimal"/>
      <w:start w:val="1"/>
    </w:lvl>
  </w:abstractNum>
  <w:abstractNum w:abstractNumId="320">
    <w:nsid w:val="62234363"/>
    <w:multiLevelType w:val="hybridMultilevel"/>
    <w:lvl w:ilvl="0">
      <w:lvlJc w:val="left"/>
      <w:lvlText w:val="(%1)"/>
      <w:numFmt w:val="decimal"/>
      <w:start w:val="1"/>
    </w:lvl>
  </w:abstractNum>
  <w:abstractNum w:abstractNumId="321">
    <w:nsid w:val="66D385C9"/>
    <w:multiLevelType w:val="hybridMultilevel"/>
    <w:lvl w:ilvl="0">
      <w:lvlJc w:val="left"/>
      <w:lvlText w:val="(%1)"/>
      <w:numFmt w:val="decimal"/>
      <w:start w:val="1"/>
    </w:lvl>
  </w:abstractNum>
  <w:abstractNum w:abstractNumId="322">
    <w:nsid w:val="596F6D8A"/>
    <w:multiLevelType w:val="hybridMultilevel"/>
    <w:lvl w:ilvl="0">
      <w:lvlJc w:val="left"/>
      <w:lvlText w:val="(%1)"/>
      <w:numFmt w:val="lowerRoman"/>
      <w:start w:val="1"/>
    </w:lvl>
  </w:abstractNum>
  <w:abstractNum w:abstractNumId="323">
    <w:nsid w:val="5749361F"/>
    <w:multiLevelType w:val="hybridMultilevel"/>
    <w:lvl w:ilvl="0">
      <w:lvlJc w:val="left"/>
      <w:lvlText w:val="•"/>
      <w:numFmt w:val="bullet"/>
      <w:start w:val="1"/>
    </w:lvl>
  </w:abstractNum>
  <w:abstractNum w:abstractNumId="324">
    <w:nsid w:val="73BC6770"/>
    <w:multiLevelType w:val="hybridMultilevel"/>
    <w:lvl w:ilvl="0">
      <w:lvlJc w:val="left"/>
      <w:lvlText w:val="•"/>
      <w:numFmt w:val="bullet"/>
      <w:start w:val="1"/>
    </w:lvl>
  </w:abstractNum>
  <w:abstractNum w:abstractNumId="325">
    <w:nsid w:val="280E6897"/>
    <w:multiLevelType w:val="hybridMultilevel"/>
    <w:lvl w:ilvl="0">
      <w:lvlJc w:val="left"/>
      <w:lvlText w:val="•"/>
      <w:numFmt w:val="bullet"/>
      <w:start w:val="1"/>
    </w:lvl>
  </w:abstractNum>
  <w:abstractNum w:abstractNumId="326">
    <w:nsid w:val="605138DE"/>
    <w:multiLevelType w:val="hybridMultilevel"/>
    <w:lvl w:ilvl="0">
      <w:lvlJc w:val="left"/>
      <w:lvlText w:val="•"/>
      <w:numFmt w:val="bullet"/>
      <w:start w:val="1"/>
    </w:lvl>
    <w:lvl w:ilvl="1">
      <w:lvlJc w:val="left"/>
      <w:lvlText w:val="◦"/>
      <w:numFmt w:val="bullet"/>
      <w:start w:val="1"/>
    </w:lvl>
  </w:abstractNum>
  <w:abstractNum w:abstractNumId="327">
    <w:nsid w:val="2622AD0C"/>
    <w:multiLevelType w:val="hybridMultilevel"/>
    <w:lvl w:ilvl="0">
      <w:lvlJc w:val="left"/>
      <w:lvlText w:val="•"/>
      <w:numFmt w:val="bullet"/>
      <w:start w:val="1"/>
    </w:lvl>
  </w:abstractNum>
  <w:abstractNum w:abstractNumId="328">
    <w:nsid w:val="67997556"/>
    <w:multiLevelType w:val="hybridMultilevel"/>
    <w:lvl w:ilvl="0">
      <w:lvlJc w:val="left"/>
      <w:lvlText w:val="•"/>
      <w:numFmt w:val="bullet"/>
      <w:start w:val="1"/>
    </w:lvl>
  </w:abstractNum>
  <w:abstractNum w:abstractNumId="329">
    <w:nsid w:val="18333C89"/>
    <w:multiLevelType w:val="hybridMultilevel"/>
    <w:lvl w:ilvl="0">
      <w:lvlJc w:val="left"/>
      <w:lvlText w:val="•"/>
      <w:numFmt w:val="bullet"/>
      <w:start w:val="1"/>
    </w:lvl>
  </w:abstractNum>
  <w:abstractNum w:abstractNumId="330">
    <w:nsid w:val="4BA9831A"/>
    <w:multiLevelType w:val="hybridMultilevel"/>
    <w:lvl w:ilvl="0">
      <w:lvlJc w:val="left"/>
      <w:lvlText w:val="•"/>
      <w:numFmt w:val="bullet"/>
      <w:start w:val="1"/>
    </w:lvl>
  </w:abstractNum>
  <w:abstractNum w:abstractNumId="331">
    <w:nsid w:val="6D71A2B"/>
    <w:multiLevelType w:val="hybridMultilevel"/>
    <w:lvl w:ilvl="0">
      <w:lvlJc w:val="left"/>
      <w:lvlText w:val="•"/>
      <w:numFmt w:val="bullet"/>
      <w:start w:val="1"/>
    </w:lvl>
  </w:abstractNum>
  <w:abstractNum w:abstractNumId="332">
    <w:nsid w:val="CFC7321"/>
    <w:multiLevelType w:val="hybridMultilevel"/>
    <w:lvl w:ilvl="0">
      <w:lvlJc w:val="left"/>
      <w:lvlText w:val="•"/>
      <w:numFmt w:val="bullet"/>
      <w:start w:val="1"/>
    </w:lvl>
  </w:abstractNum>
  <w:abstractNum w:abstractNumId="333">
    <w:nsid w:val="1421971B"/>
    <w:multiLevelType w:val="hybridMultilevel"/>
    <w:lvl w:ilvl="0">
      <w:lvlJc w:val="left"/>
      <w:lvlText w:val="•"/>
      <w:numFmt w:val="bullet"/>
      <w:start w:val="1"/>
    </w:lvl>
  </w:abstractNum>
  <w:abstractNum w:abstractNumId="334">
    <w:nsid w:val="1F404301"/>
    <w:multiLevelType w:val="hybridMultilevel"/>
    <w:lvl w:ilvl="0">
      <w:lvlJc w:val="left"/>
      <w:lvlText w:val="•"/>
      <w:numFmt w:val="bullet"/>
      <w:start w:val="1"/>
    </w:lvl>
  </w:abstractNum>
  <w:abstractNum w:abstractNumId="335">
    <w:nsid w:val="116E0907"/>
    <w:multiLevelType w:val="hybridMultilevel"/>
    <w:lvl w:ilvl="0">
      <w:lvlJc w:val="left"/>
      <w:lvlText w:val="(%1)"/>
      <w:numFmt w:val="lowerRoman"/>
      <w:start w:val="5"/>
    </w:lvl>
  </w:abstractNum>
  <w:abstractNum w:abstractNumId="336">
    <w:nsid w:val="4B683D0D"/>
    <w:multiLevelType w:val="hybridMultilevel"/>
    <w:lvl w:ilvl="0">
      <w:lvlJc w:val="left"/>
      <w:lvlText w:val="▪"/>
      <w:numFmt w:val="bullet"/>
      <w:start w:val="1"/>
    </w:lvl>
  </w:abstractNum>
  <w:abstractNum w:abstractNumId="337">
    <w:nsid w:val="76E41D8"/>
    <w:multiLevelType w:val="hybridMultilevel"/>
    <w:lvl w:ilvl="0">
      <w:lvlJc w:val="left"/>
      <w:lvlText w:val="•"/>
      <w:numFmt w:val="bullet"/>
      <w:start w:val="1"/>
    </w:lvl>
    <w:lvl w:ilvl="1">
      <w:lvlJc w:val="left"/>
      <w:lvlText w:val="◦"/>
      <w:numFmt w:val="bullet"/>
      <w:start w:val="1"/>
    </w:lvl>
  </w:abstractNum>
  <w:abstractNum w:abstractNumId="338">
    <w:nsid w:val="71DCE0FD"/>
    <w:multiLevelType w:val="hybridMultilevel"/>
    <w:lvl w:ilvl="0">
      <w:lvlJc w:val="left"/>
      <w:lvlText w:val="•"/>
      <w:numFmt w:val="bullet"/>
      <w:start w:val="1"/>
    </w:lvl>
  </w:abstractNum>
  <w:abstractNum w:abstractNumId="339">
    <w:nsid w:val="7906328B"/>
    <w:multiLevelType w:val="hybridMultilevel"/>
    <w:lvl w:ilvl="0">
      <w:lvlJc w:val="left"/>
      <w:lvlText w:val="•"/>
      <w:numFmt w:val="bullet"/>
      <w:start w:val="1"/>
    </w:lvl>
  </w:abstractNum>
  <w:abstractNum w:abstractNumId="340">
    <w:nsid w:val="72BBC16"/>
    <w:multiLevelType w:val="hybridMultilevel"/>
    <w:lvl w:ilvl="0">
      <w:lvlJc w:val="left"/>
      <w:lvlText w:val="•"/>
      <w:numFmt w:val="bullet"/>
      <w:start w:val="1"/>
    </w:lvl>
  </w:abstractNum>
  <w:abstractNum w:abstractNumId="341">
    <w:nsid w:val="766D98C2"/>
    <w:multiLevelType w:val="hybridMultilevel"/>
    <w:lvl w:ilvl="0">
      <w:lvlJc w:val="left"/>
      <w:lvlText w:val="•"/>
      <w:numFmt w:val="bullet"/>
      <w:start w:val="1"/>
    </w:lvl>
  </w:abstractNum>
  <w:abstractNum w:abstractNumId="342">
    <w:nsid w:val="3C09D4A1"/>
    <w:multiLevelType w:val="hybridMultilevel"/>
    <w:lvl w:ilvl="0">
      <w:lvlJc w:val="left"/>
      <w:lvlText w:val="•"/>
      <w:numFmt w:val="bullet"/>
      <w:start w:val="1"/>
    </w:lvl>
  </w:abstractNum>
  <w:abstractNum w:abstractNumId="343">
    <w:nsid w:val="20E45CA4"/>
    <w:multiLevelType w:val="hybridMultilevel"/>
    <w:lvl w:ilvl="0">
      <w:lvlJc w:val="left"/>
      <w:lvlText w:val="•"/>
      <w:numFmt w:val="bullet"/>
      <w:start w:val="1"/>
    </w:lvl>
  </w:abstractNum>
  <w:abstractNum w:abstractNumId="344">
    <w:nsid w:val="4B232EE3"/>
    <w:multiLevelType w:val="hybridMultilevel"/>
    <w:lvl w:ilvl="0">
      <w:lvlJc w:val="left"/>
      <w:lvlText w:val="(%1)"/>
      <w:numFmt w:val="decimal"/>
      <w:start w:val="1"/>
    </w:lvl>
  </w:abstractNum>
  <w:abstractNum w:abstractNumId="345">
    <w:nsid w:val="159C74CF"/>
    <w:multiLevelType w:val="hybridMultilevel"/>
    <w:lvl w:ilvl="0">
      <w:lvlJc w:val="left"/>
      <w:lvlText w:val="•"/>
      <w:numFmt w:val="bullet"/>
      <w:start w:val="1"/>
    </w:lvl>
  </w:abstractNum>
  <w:abstractNum w:abstractNumId="346">
    <w:nsid w:val="4AD3AFD2"/>
    <w:multiLevelType w:val="hybridMultilevel"/>
    <w:lvl w:ilvl="0">
      <w:lvlJc w:val="left"/>
      <w:lvlText w:val="%1."/>
      <w:numFmt w:val="decimal"/>
      <w:start w:val="1"/>
    </w:lvl>
  </w:abstractNum>
  <w:abstractNum w:abstractNumId="347">
    <w:nsid w:val="3CF93092"/>
    <w:multiLevelType w:val="hybridMultilevel"/>
    <w:lvl w:ilvl="0">
      <w:lvlJc w:val="left"/>
      <w:lvlText w:val="%1."/>
      <w:numFmt w:val="decimal"/>
      <w:start w:val="2"/>
    </w:lvl>
  </w:abstractNum>
  <w:abstractNum w:abstractNumId="348">
    <w:nsid w:val="6863E8D2"/>
    <w:multiLevelType w:val="hybridMultilevel"/>
    <w:lvl w:ilvl="0">
      <w:lvlJc w:val="left"/>
      <w:lvlText w:val="•"/>
      <w:numFmt w:val="bullet"/>
      <w:start w:val="1"/>
    </w:lvl>
  </w:abstractNum>
  <w:abstractNum w:abstractNumId="349">
    <w:nsid w:val="76896198"/>
    <w:multiLevelType w:val="hybridMultilevel"/>
    <w:lvl w:ilvl="0">
      <w:lvlJc w:val="left"/>
      <w:lvlText w:val="%1."/>
      <w:numFmt w:val="decimal"/>
      <w:start w:val="3"/>
    </w:lvl>
  </w:abstractNum>
  <w:abstractNum w:abstractNumId="350">
    <w:nsid w:val="4365174B"/>
    <w:multiLevelType w:val="hybridMultilevel"/>
    <w:lvl w:ilvl="0">
      <w:lvlJc w:val="left"/>
      <w:lvlText w:val="%1."/>
      <w:numFmt w:val="decimal"/>
      <w:start w:val="4"/>
    </w:lvl>
  </w:abstractNum>
  <w:abstractNum w:abstractNumId="351">
    <w:nsid w:val="4A872C35"/>
    <w:multiLevelType w:val="hybridMultilevel"/>
    <w:lvl w:ilvl="0">
      <w:lvlJc w:val="left"/>
      <w:lvlText w:val="%1."/>
      <w:numFmt w:val="decimal"/>
      <w:start w:val="5"/>
    </w:lvl>
  </w:abstractNum>
  <w:abstractNum w:abstractNumId="352">
    <w:nsid w:val="5D5CE761"/>
    <w:multiLevelType w:val="hybridMultilevel"/>
    <w:lvl w:ilvl="0">
      <w:lvlJc w:val="left"/>
      <w:lvlText w:val="%1."/>
      <w:numFmt w:val="decimal"/>
      <w:start w:val="19"/>
    </w:lvl>
  </w:abstractNum>
  <w:abstractNum w:abstractNumId="353">
    <w:nsid w:val="1CD484D5"/>
    <w:multiLevelType w:val="hybridMultilevel"/>
    <w:lvl w:ilvl="0">
      <w:lvlJc w:val="left"/>
      <w:lvlText w:val="%1."/>
      <w:numFmt w:val="decimal"/>
      <w:start w:val="7"/>
    </w:lvl>
  </w:abstractNum>
  <w:abstractNum w:abstractNumId="354">
    <w:nsid w:val="21D06255"/>
    <w:multiLevelType w:val="hybridMultilevel"/>
    <w:lvl w:ilvl="0">
      <w:lvlJc w:val="left"/>
      <w:lvlText w:val="%1."/>
      <w:numFmt w:val="decimal"/>
      <w:start w:val="8"/>
    </w:lvl>
  </w:abstractNum>
  <w:abstractNum w:abstractNumId="355">
    <w:nsid w:val="51194ED1"/>
    <w:multiLevelType w:val="hybridMultilevel"/>
    <w:lvl w:ilvl="0">
      <w:lvlJc w:val="left"/>
      <w:lvlText w:val="•"/>
      <w:numFmt w:val="bullet"/>
      <w:start w:val="1"/>
    </w:lvl>
  </w:abstractNum>
  <w:abstractNum w:abstractNumId="356">
    <w:nsid w:val="44E2ED6C"/>
    <w:multiLevelType w:val="hybridMultilevel"/>
    <w:lvl w:ilvl="0">
      <w:lvlJc w:val="left"/>
      <w:lvlText w:val="%1."/>
      <w:numFmt w:val="decimal"/>
      <w:start w:val="11"/>
    </w:lvl>
  </w:abstractNum>
  <w:abstractNum w:abstractNumId="357">
    <w:nsid w:val="2219B33"/>
    <w:multiLevelType w:val="hybridMultilevel"/>
    <w:lvl w:ilvl="0">
      <w:lvlJc w:val="left"/>
      <w:lvlText w:val="%1."/>
      <w:numFmt w:val="decimal"/>
      <w:start w:val="12"/>
    </w:lvl>
  </w:abstractNum>
  <w:abstractNum w:abstractNumId="358">
    <w:nsid w:val="773BFBDD"/>
    <w:multiLevelType w:val="hybridMultilevel"/>
    <w:lvl w:ilvl="0">
      <w:lvlJc w:val="left"/>
      <w:lvlText w:val="(%1)"/>
      <w:numFmt w:val="decimal"/>
      <w:start w:val="1"/>
    </w:lvl>
  </w:abstractNum>
  <w:abstractNum w:abstractNumId="359">
    <w:nsid w:val="2C7C62C2"/>
    <w:multiLevelType w:val="hybridMultilevel"/>
    <w:lvl w:ilvl="0">
      <w:lvlJc w:val="left"/>
      <w:lvlText w:val="(%1)"/>
      <w:numFmt w:val="decimal"/>
      <w:start w:val="1"/>
    </w:lvl>
  </w:abstractNum>
  <w:abstractNum w:abstractNumId="360">
    <w:nsid w:val="1A54D7BC"/>
    <w:multiLevelType w:val="hybridMultilevel"/>
    <w:lvl w:ilvl="0">
      <w:lvlJc w:val="left"/>
      <w:lvlText w:val="%1."/>
      <w:numFmt w:val="decimal"/>
      <w:start w:val="13"/>
    </w:lvl>
  </w:abstractNum>
  <w:abstractNum w:abstractNumId="361">
    <w:nsid w:val="42E57EF7"/>
    <w:multiLevelType w:val="hybridMultilevel"/>
    <w:lvl w:ilvl="0">
      <w:lvlJc w:val="left"/>
      <w:lvlText w:val="%1."/>
      <w:numFmt w:val="decimal"/>
      <w:start w:val="14"/>
    </w:lvl>
  </w:abstractNum>
  <w:abstractNum w:abstractNumId="362">
    <w:nsid w:val="33537CED"/>
    <w:multiLevelType w:val="hybridMultilevel"/>
    <w:lvl w:ilvl="0">
      <w:lvlJc w:val="left"/>
      <w:lvlText w:val="(%1)"/>
      <w:numFmt w:val="decimal"/>
      <w:start w:val="1"/>
    </w:lvl>
  </w:abstractNum>
  <w:abstractNum w:abstractNumId="363">
    <w:nsid w:val="27514ADE"/>
    <w:multiLevelType w:val="hybridMultilevel"/>
    <w:lvl w:ilvl="0">
      <w:lvlJc w:val="left"/>
      <w:lvlText w:val="%1."/>
      <w:numFmt w:val="decimal"/>
      <w:start w:val="15"/>
    </w:lvl>
  </w:abstractNum>
  <w:abstractNum w:abstractNumId="364">
    <w:nsid w:val="57071613"/>
    <w:multiLevelType w:val="hybridMultilevel"/>
    <w:lvl w:ilvl="0">
      <w:lvlJc w:val="left"/>
      <w:lvlText w:val="%1."/>
      <w:numFmt w:val="decimal"/>
      <w:start w:val="1"/>
    </w:lvl>
  </w:abstractNum>
  <w:abstractNum w:abstractNumId="365">
    <w:nsid w:val="5293BFEF"/>
    <w:multiLevelType w:val="hybridMultilevel"/>
    <w:lvl w:ilvl="0">
      <w:lvlJc w:val="left"/>
      <w:lvlText w:val="%1."/>
      <w:numFmt w:val="decimal"/>
      <w:start w:val="2"/>
    </w:lvl>
  </w:abstractNum>
  <w:abstractNum w:abstractNumId="366">
    <w:nsid w:val="38BF53E5"/>
    <w:multiLevelType w:val="hybridMultilevel"/>
    <w:lvl w:ilvl="0">
      <w:lvlJc w:val="left"/>
      <w:lvlText w:val="•"/>
      <w:numFmt w:val="bullet"/>
      <w:start w:val="1"/>
    </w:lvl>
  </w:abstractNum>
  <w:abstractNum w:abstractNumId="367">
    <w:nsid w:val="226F5320"/>
    <w:multiLevelType w:val="hybridMultilevel"/>
    <w:lvl w:ilvl="0">
      <w:lvlJc w:val="left"/>
      <w:lvlText w:val="%1."/>
      <w:numFmt w:val="decimal"/>
      <w:start w:val="3"/>
    </w:lvl>
  </w:abstractNum>
  <w:abstractNum w:abstractNumId="368">
    <w:nsid w:val="5A0201C7"/>
    <w:multiLevelType w:val="hybridMultilevel"/>
    <w:lvl w:ilvl="0">
      <w:lvlJc w:val="left"/>
      <w:lvlText w:val="%1."/>
      <w:numFmt w:val="decimal"/>
      <w:start w:val="4"/>
    </w:lvl>
  </w:abstractNum>
  <w:abstractNum w:abstractNumId="369">
    <w:nsid w:val="2A9C34E2"/>
    <w:multiLevelType w:val="hybridMultilevel"/>
    <w:lvl w:ilvl="0">
      <w:lvlJc w:val="left"/>
      <w:lvlText w:val="(%1)"/>
      <w:numFmt w:val="decimal"/>
      <w:start w:val="1"/>
    </w:lvl>
  </w:abstractNum>
  <w:abstractNum w:abstractNumId="370">
    <w:nsid w:val="1B7585AB"/>
    <w:multiLevelType w:val="hybridMultilevel"/>
    <w:lvl w:ilvl="0">
      <w:lvlJc w:val="left"/>
      <w:lvlText w:val="%1."/>
      <w:numFmt w:val="decimal"/>
      <w:start w:val="5"/>
    </w:lvl>
  </w:abstractNum>
  <w:abstractNum w:abstractNumId="371">
    <w:nsid w:val="612DBDDD"/>
    <w:multiLevelType w:val="hybridMultilevel"/>
    <w:lvl w:ilvl="0">
      <w:lvlJc w:val="left"/>
      <w:lvlText w:val="•"/>
      <w:numFmt w:val="bullet"/>
      <w:start w:val="1"/>
    </w:lvl>
  </w:abstractNum>
  <w:abstractNum w:abstractNumId="372">
    <w:nsid w:val="2109CDA4"/>
    <w:multiLevelType w:val="hybridMultilevel"/>
    <w:lvl w:ilvl="0">
      <w:lvlJc w:val="left"/>
      <w:lvlText w:val="%1."/>
      <w:numFmt w:val="decimal"/>
      <w:start w:val="7"/>
    </w:lvl>
  </w:abstractNum>
  <w:abstractNum w:abstractNumId="373">
    <w:nsid w:val="577F5A4D"/>
    <w:multiLevelType w:val="hybridMultilevel"/>
    <w:lvl w:ilvl="0">
      <w:lvlJc w:val="left"/>
      <w:lvlText w:val="%1."/>
      <w:numFmt w:val="decimal"/>
      <w:start w:val="8"/>
    </w:lvl>
  </w:abstractNum>
  <w:abstractNum w:abstractNumId="374">
    <w:nsid w:val="2121A81"/>
    <w:multiLevelType w:val="hybridMultilevel"/>
    <w:lvl w:ilvl="0">
      <w:lvlJc w:val="left"/>
      <w:lvlText w:val="%1"/>
      <w:numFmt w:val="decimal"/>
      <w:start w:val="1"/>
    </w:lvl>
    <w:lvl w:ilvl="1">
      <w:lvlJc w:val="left"/>
      <w:lvlText w:val="(%2)"/>
      <w:numFmt w:val="decimal"/>
      <w:start w:val="1"/>
    </w:lvl>
  </w:abstractNum>
  <w:abstractNum w:abstractNumId="375">
    <w:nsid w:val="6C2CFC88"/>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jpe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jpe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jpe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jpeg"/><Relationship Id="rId410" Type="http://schemas.openxmlformats.org/officeDocument/2006/relationships/image" Target="media/image394.jpeg"/><Relationship Id="rId411" Type="http://schemas.openxmlformats.org/officeDocument/2006/relationships/image" Target="media/image395.jpeg"/><Relationship Id="rId412" Type="http://schemas.openxmlformats.org/officeDocument/2006/relationships/image" Target="media/image396.png"/><Relationship Id="rId14" Type="http://schemas.openxmlformats.org/officeDocument/2006/relationships/hyperlink" Target="https://www.sec.gov/Archives/edgar/data/1852244/000162828021011851/exhibit101-form10.htm" TargetMode="External"/><Relationship Id="rId15" Type="http://schemas.openxmlformats.org/officeDocument/2006/relationships/hyperlink" Target="https://www.sec.gov/Archives/edgar/data/1852244/000162828021011851/exhibit104-form10.htm" TargetMode="External"/><Relationship Id="rId16" Type="http://schemas.openxmlformats.org/officeDocument/2006/relationships/hyperlink" Target="https://www.sec.gov/Archives/edgar/data/1852244/000162828021011851/exhibit105-form10.htm" TargetMode="External"/><Relationship Id="rId17" Type="http://schemas.openxmlformats.org/officeDocument/2006/relationships/hyperlink" Target="https://www.sec.gov/Archives/edgar/data/1852244/000162828021011851/exhibit106-form10.htm" TargetMode="External"/><Relationship Id="rId18" Type="http://schemas.openxmlformats.org/officeDocument/2006/relationships/hyperlink" Target="https://www.sec.gov/Archives/edgar/data/1852244/000162828021011851/exhibit107-form10.htm" TargetMode="External"/><Relationship Id="rId19" Type="http://schemas.openxmlformats.org/officeDocument/2006/relationships/hyperlink" Target="https://www.sec.gov/Archives/edgar/data/1852244/000162828021011851/exhibit108-form10.htm" TargetMode="External"/><Relationship Id="rId20" Type="http://schemas.openxmlformats.org/officeDocument/2006/relationships/hyperlink" Target="https://www.sec.gov/Archives/edgar/data/1852244/000162828021011851/exhibit109-form10.htm" TargetMode="External"/><Relationship Id="rId21" Type="http://schemas.openxmlformats.org/officeDocument/2006/relationships/hyperlink" Target="https://www.sec.gov/Archives/edgar/data/1852244/000162828021011851/exhibit1010-form10.htm" TargetMode="External"/><Relationship Id="rId22" Type="http://schemas.openxmlformats.org/officeDocument/2006/relationships/hyperlink" Target="https://www.sec.gov/Archives/edgar/data/1852244/000162828021011851/exhibit1011-form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2021-07-07T16:29:44Z</dcterms:created>
  <dcterms:modified xsi:type="dcterms:W3CDTF">2021-07-07T16:29:44Z</dcterms:modified>
</cp:coreProperties>
</file>