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10-K</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4" w:lineRule="exact"/>
        <w:rPr>
          <w:sz w:val="24"/>
          <w:szCs w:val="24"/>
          <w:color w:val="auto"/>
        </w:rPr>
      </w:pPr>
    </w:p>
    <w:p>
      <w:pPr>
        <w:ind w:left="480" w:hanging="461"/>
        <w:spacing w:after="0"/>
        <w:tabs>
          <w:tab w:leader="none" w:pos="480" w:val="left"/>
        </w:tabs>
        <w:numPr>
          <w:ilvl w:val="0"/>
          <w:numId w:val="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ind w:left="500" w:hanging="481"/>
        <w:spacing w:after="0" w:line="225" w:lineRule="auto"/>
        <w:tabs>
          <w:tab w:leader="none" w:pos="500" w:val="left"/>
        </w:tabs>
        <w:numPr>
          <w:ilvl w:val="0"/>
          <w:numId w:val="2"/>
        </w:numPr>
        <w:rPr>
          <w:rFonts w:ascii="MS PGothic" w:cs="MS PGothic" w:eastAsia="MS PGothic" w:hAnsi="MS PGothic"/>
          <w:sz w:val="28"/>
          <w:szCs w:val="28"/>
          <w:color w:val="auto"/>
          <w:highlight w:val="black"/>
          <w:vertAlign w:val="superscript"/>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001-40470</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3250565</wp:posOffset>
            </wp:positionH>
            <wp:positionV relativeFrom="paragraph">
              <wp:posOffset>5715</wp:posOffset>
            </wp:positionV>
            <wp:extent cx="673735" cy="269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735" cy="26924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GXO Logistics, Inc.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4060" w:type="dxa"/>
            <w:vAlign w:val="bottom"/>
          </w:tcPr>
          <w:p>
            <w:pPr>
              <w:jc w:val="center"/>
              <w:ind w:left="144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0" w:type="dxa"/>
            <w:vAlign w:val="bottom"/>
          </w:tcPr>
          <w:p>
            <w:pPr>
              <w:jc w:val="right"/>
              <w:ind w:right="2369"/>
              <w:spacing w:after="0"/>
              <w:rPr>
                <w:sz w:val="20"/>
                <w:szCs w:val="20"/>
                <w:color w:val="auto"/>
              </w:rPr>
            </w:pPr>
            <w:r>
              <w:rPr>
                <w:rFonts w:ascii="Times New Roman" w:cs="Times New Roman" w:eastAsia="Times New Roman" w:hAnsi="Times New Roman"/>
                <w:sz w:val="14"/>
                <w:szCs w:val="14"/>
                <w:b w:val="1"/>
                <w:bCs w:val="1"/>
                <w:color w:val="auto"/>
              </w:rPr>
              <w:t>86-2098312</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260" w:type="dxa"/>
            <w:vAlign w:val="bottom"/>
            <w:gridSpan w:val="6"/>
          </w:tcPr>
          <w:p>
            <w:pPr>
              <w:jc w:val="center"/>
              <w:ind w:right="16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000" w:type="dxa"/>
            <w:vAlign w:val="bottom"/>
          </w:tcPr>
          <w:p>
            <w:pPr>
              <w:jc w:val="center"/>
              <w:ind w:right="1509"/>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tcPr>
          <w:p>
            <w:pPr>
              <w:jc w:val="center"/>
              <w:ind w:left="1449"/>
              <w:spacing w:after="0"/>
              <w:rPr>
                <w:sz w:val="20"/>
                <w:szCs w:val="20"/>
                <w:color w:val="auto"/>
              </w:rPr>
            </w:pPr>
            <w:r>
              <w:rPr>
                <w:rFonts w:ascii="Times New Roman" w:cs="Times New Roman" w:eastAsia="Times New Roman" w:hAnsi="Times New Roman"/>
                <w:sz w:val="14"/>
                <w:szCs w:val="14"/>
                <w:b w:val="1"/>
                <w:bCs w:val="1"/>
                <w:color w:val="auto"/>
                <w:w w:val="99"/>
              </w:rPr>
              <w:t>Two American Lane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0" w:type="dxa"/>
            <w:vAlign w:val="bottom"/>
            <w:vMerge w:val="restart"/>
          </w:tcPr>
          <w:p>
            <w:pPr>
              <w:jc w:val="right"/>
              <w:ind w:right="2549"/>
              <w:spacing w:after="0"/>
              <w:rPr>
                <w:sz w:val="20"/>
                <w:szCs w:val="20"/>
                <w:color w:val="auto"/>
              </w:rPr>
            </w:pPr>
            <w:r>
              <w:rPr>
                <w:rFonts w:ascii="Times New Roman" w:cs="Times New Roman" w:eastAsia="Times New Roman" w:hAnsi="Times New Roman"/>
                <w:sz w:val="14"/>
                <w:szCs w:val="14"/>
                <w:b w:val="1"/>
                <w:bCs w:val="1"/>
                <w:color w:val="auto"/>
              </w:rPr>
              <w:t>06831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60" w:type="dxa"/>
            <w:vAlign w:val="bottom"/>
            <w:vMerge w:val="restart"/>
          </w:tcPr>
          <w:p>
            <w:pPr>
              <w:jc w:val="center"/>
              <w:ind w:left="1449"/>
              <w:spacing w:after="0"/>
              <w:rPr>
                <w:sz w:val="20"/>
                <w:szCs w:val="20"/>
                <w:color w:val="auto"/>
              </w:rPr>
            </w:pPr>
            <w:r>
              <w:rPr>
                <w:rFonts w:ascii="Times New Roman" w:cs="Times New Roman" w:eastAsia="Times New Roman" w:hAnsi="Times New Roman"/>
                <w:sz w:val="14"/>
                <w:szCs w:val="14"/>
                <w:b w:val="1"/>
                <w:bCs w:val="1"/>
                <w:color w:val="auto"/>
              </w:rPr>
              <w:t>Greenwich, Connecticut</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0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060" w:type="dxa"/>
            <w:vAlign w:val="bottom"/>
          </w:tcPr>
          <w:p>
            <w:pPr>
              <w:jc w:val="center"/>
              <w:ind w:left="144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0" w:type="dxa"/>
            <w:vAlign w:val="bottom"/>
          </w:tcPr>
          <w:p>
            <w:pPr>
              <w:jc w:val="center"/>
              <w:ind w:right="1509"/>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2720" w:type="dxa"/>
            <w:vAlign w:val="bottom"/>
            <w:gridSpan w:val="3"/>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(203) 489-1287</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20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4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2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406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rPr>
              <w:t>Title of each class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color w:val="auto"/>
              </w:rPr>
              <w:t>Trading Symbol(s)</w:t>
            </w:r>
          </w:p>
        </w:tc>
        <w:tc>
          <w:tcPr>
            <w:tcW w:w="4000" w:type="dxa"/>
            <w:vAlign w:val="bottom"/>
          </w:tcPr>
          <w:p>
            <w:pPr>
              <w:jc w:val="center"/>
              <w:ind w:right="329"/>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060" w:type="dxa"/>
            <w:vAlign w:val="bottom"/>
            <w:tcBorders>
              <w:top w:val="single" w:sz="8" w:color="auto"/>
            </w:tcBorders>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3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GXO</w:t>
            </w: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4000" w:type="dxa"/>
            <w:vAlign w:val="bottom"/>
            <w:tcBorders>
              <w:top w:val="single" w:sz="8" w:color="auto"/>
            </w:tcBorders>
          </w:tcPr>
          <w:p>
            <w:pPr>
              <w:jc w:val="center"/>
              <w:ind w:right="329"/>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bl>
    <w:p>
      <w:pPr>
        <w:spacing w:after="0" w:line="245"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p>
      <w:pPr>
        <w:spacing w:after="0" w:line="20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20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Wingdings" w:cs="Wingdings" w:eastAsia="Wingdings" w:hAnsi="Wingdings"/>
          <w:sz w:val="14"/>
          <w:szCs w:val="14"/>
          <w:b w:val="1"/>
          <w:bCs w:val="1"/>
          <w:color w:val="auto"/>
          <w:highlight w:val="black"/>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x</w:t>
      </w:r>
    </w:p>
    <w:p>
      <w:pPr>
        <w:spacing w:after="0" w:line="200" w:lineRule="exact"/>
        <w:rPr>
          <w:sz w:val="24"/>
          <w:szCs w:val="24"/>
          <w:color w:val="auto"/>
        </w:rPr>
      </w:pPr>
    </w:p>
    <w:p>
      <w:pPr>
        <w:ind w:right="80" w:firstLine="318"/>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145" w:lineRule="exact"/>
        <w:rPr>
          <w:sz w:val="24"/>
          <w:szCs w:val="24"/>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145" w:lineRule="exact"/>
        <w:rPr>
          <w:sz w:val="24"/>
          <w:szCs w:val="24"/>
          <w:color w:val="auto"/>
        </w:rPr>
      </w:pPr>
    </w:p>
    <w:p>
      <w:pPr>
        <w:ind w:right="340" w:firstLine="318"/>
        <w:spacing w:after="0" w:line="27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800" w:type="dxa"/>
        <w:tblCellMar>
          <w:top w:w="0" w:type="dxa"/>
          <w:left w:w="0" w:type="dxa"/>
          <w:bottom w:w="0" w:type="dxa"/>
          <w:right w:w="0" w:type="dxa"/>
        </w:tblCellMar>
      </w:tblPr>
      <w:tr>
        <w:trPr>
          <w:trHeight w:val="195"/>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40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Accelerated filer</w:t>
            </w:r>
          </w:p>
        </w:tc>
      </w:tr>
      <w:tr>
        <w:trPr>
          <w:trHeight w:val="155"/>
        </w:trPr>
        <w:tc>
          <w:tcPr>
            <w:tcW w:w="3740" w:type="dxa"/>
            <w:vAlign w:val="bottom"/>
          </w:tcPr>
          <w:p>
            <w:pPr>
              <w:jc w:val="right"/>
              <w:ind w:right="529"/>
              <w:spacing w:after="0"/>
              <w:rPr>
                <w:sz w:val="20"/>
                <w:szCs w:val="20"/>
                <w:color w:val="auto"/>
              </w:rPr>
            </w:pPr>
            <w:r>
              <w:rPr>
                <w:rFonts w:ascii="Wingdings" w:cs="Wingdings" w:eastAsia="Wingdings" w:hAnsi="Wingdings"/>
                <w:sz w:val="14"/>
                <w:szCs w:val="14"/>
                <w:b w:val="1"/>
                <w:bCs w:val="1"/>
                <w:color w:val="auto"/>
                <w:highlight w:val="black"/>
              </w:rPr>
              <w:t>x</w:t>
            </w:r>
          </w:p>
        </w:tc>
        <w:tc>
          <w:tcPr>
            <w:tcW w:w="4060" w:type="dxa"/>
            <w:vAlign w:val="bottom"/>
          </w:tcPr>
          <w:p>
            <w:pPr>
              <w:ind w:left="3940"/>
              <w:spacing w:after="0"/>
              <w:rPr>
                <w:sz w:val="20"/>
                <w:szCs w:val="20"/>
                <w:color w:val="auto"/>
              </w:rPr>
            </w:pPr>
            <w:r>
              <w:rPr>
                <w:rFonts w:ascii="Wingdings" w:cs="Wingdings" w:eastAsia="Wingdings" w:hAnsi="Wingdings"/>
                <w:sz w:val="14"/>
                <w:szCs w:val="14"/>
                <w:b w:val="1"/>
                <w:bCs w:val="1"/>
                <w:color w:val="auto"/>
                <w:highlight w:val="black"/>
                <w:w w:val="79"/>
              </w:rPr>
              <w:t>o</w:t>
            </w:r>
          </w:p>
        </w:tc>
      </w:tr>
      <w:tr>
        <w:trPr>
          <w:trHeight w:val="227"/>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40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Smaller reporting company</w:t>
            </w:r>
          </w:p>
        </w:tc>
      </w:tr>
      <w:tr>
        <w:trPr>
          <w:trHeight w:val="155"/>
        </w:trPr>
        <w:tc>
          <w:tcPr>
            <w:tcW w:w="3740" w:type="dxa"/>
            <w:vAlign w:val="bottom"/>
          </w:tcPr>
          <w:p>
            <w:pPr>
              <w:jc w:val="right"/>
              <w:ind w:right="529"/>
              <w:spacing w:after="0"/>
              <w:rPr>
                <w:sz w:val="20"/>
                <w:szCs w:val="20"/>
                <w:color w:val="auto"/>
              </w:rPr>
            </w:pPr>
            <w:r>
              <w:rPr>
                <w:rFonts w:ascii="Wingdings" w:cs="Wingdings" w:eastAsia="Wingdings" w:hAnsi="Wingdings"/>
                <w:sz w:val="14"/>
                <w:szCs w:val="14"/>
                <w:b w:val="1"/>
                <w:bCs w:val="1"/>
                <w:color w:val="auto"/>
                <w:highlight w:val="black"/>
              </w:rPr>
              <w:t>o</w:t>
            </w:r>
          </w:p>
        </w:tc>
        <w:tc>
          <w:tcPr>
            <w:tcW w:w="4060" w:type="dxa"/>
            <w:vAlign w:val="bottom"/>
          </w:tcPr>
          <w:p>
            <w:pPr>
              <w:ind w:left="3940"/>
              <w:spacing w:after="0"/>
              <w:rPr>
                <w:sz w:val="20"/>
                <w:szCs w:val="20"/>
                <w:color w:val="auto"/>
              </w:rPr>
            </w:pPr>
            <w:r>
              <w:rPr>
                <w:rFonts w:ascii="Wingdings" w:cs="Wingdings" w:eastAsia="Wingdings" w:hAnsi="Wingdings"/>
                <w:sz w:val="14"/>
                <w:szCs w:val="14"/>
                <w:b w:val="1"/>
                <w:bCs w:val="1"/>
                <w:color w:val="auto"/>
                <w:highlight w:val="black"/>
                <w:w w:val="79"/>
              </w:rPr>
              <w:t>o</w:t>
            </w:r>
          </w:p>
        </w:tc>
      </w:tr>
      <w:tr>
        <w:trPr>
          <w:trHeight w:val="227"/>
        </w:trPr>
        <w:tc>
          <w:tcPr>
            <w:tcW w:w="3740" w:type="dxa"/>
            <w:vAlign w:val="bottom"/>
          </w:tcPr>
          <w:p>
            <w:pPr>
              <w:spacing w:after="0"/>
              <w:rPr>
                <w:sz w:val="19"/>
                <w:szCs w:val="19"/>
                <w:color w:val="auto"/>
              </w:rPr>
            </w:pPr>
          </w:p>
        </w:tc>
        <w:tc>
          <w:tcPr>
            <w:tcW w:w="40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Emerging growth company</w:t>
            </w:r>
          </w:p>
        </w:tc>
      </w:tr>
      <w:tr>
        <w:trPr>
          <w:trHeight w:val="155"/>
        </w:trPr>
        <w:tc>
          <w:tcPr>
            <w:tcW w:w="3740" w:type="dxa"/>
            <w:vAlign w:val="bottom"/>
          </w:tcPr>
          <w:p>
            <w:pPr>
              <w:spacing w:after="0"/>
              <w:rPr>
                <w:sz w:val="13"/>
                <w:szCs w:val="13"/>
                <w:color w:val="auto"/>
              </w:rPr>
            </w:pPr>
          </w:p>
        </w:tc>
        <w:tc>
          <w:tcPr>
            <w:tcW w:w="4060" w:type="dxa"/>
            <w:vAlign w:val="bottom"/>
          </w:tcPr>
          <w:p>
            <w:pPr>
              <w:ind w:left="3940"/>
              <w:spacing w:after="0"/>
              <w:rPr>
                <w:sz w:val="20"/>
                <w:szCs w:val="20"/>
                <w:color w:val="auto"/>
              </w:rPr>
            </w:pPr>
            <w:r>
              <w:rPr>
                <w:rFonts w:ascii="Wingdings" w:cs="Wingdings" w:eastAsia="Wingdings" w:hAnsi="Wingdings"/>
                <w:sz w:val="14"/>
                <w:szCs w:val="14"/>
                <w:b w:val="1"/>
                <w:bCs w:val="1"/>
                <w:color w:val="auto"/>
                <w:highlight w:val="black"/>
                <w:w w:val="79"/>
              </w:rPr>
              <w:t>o</w:t>
            </w:r>
          </w:p>
        </w:tc>
      </w:tr>
    </w:tbl>
    <w:p>
      <w:pPr>
        <w:spacing w:after="0" w:line="276" w:lineRule="exact"/>
        <w:rPr>
          <w:sz w:val="24"/>
          <w:szCs w:val="24"/>
          <w:color w:val="auto"/>
        </w:rPr>
      </w:pPr>
    </w:p>
    <w:p>
      <w:pPr>
        <w:ind w:right="480" w:firstLine="318"/>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highlight w:val="black"/>
        </w:rPr>
        <w:t>o</w:t>
      </w:r>
    </w:p>
    <w:p>
      <w:pPr>
        <w:spacing w:after="0" w:line="145" w:lineRule="exact"/>
        <w:rPr>
          <w:sz w:val="24"/>
          <w:szCs w:val="24"/>
          <w:color w:val="auto"/>
        </w:rPr>
      </w:pPr>
    </w:p>
    <w:p>
      <w:pPr>
        <w:ind w:right="420" w:firstLine="318"/>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highlight w:val="black"/>
        </w:rPr>
        <w:t>x</w:t>
      </w:r>
    </w:p>
    <w:p>
      <w:pPr>
        <w:spacing w:after="0" w:line="145" w:lineRule="exact"/>
        <w:rPr>
          <w:sz w:val="24"/>
          <w:szCs w:val="24"/>
          <w:color w:val="auto"/>
        </w:rPr>
      </w:pPr>
    </w:p>
    <w:p>
      <w:pPr>
        <w:ind w:right="40" w:firstLine="318"/>
        <w:spacing w:after="0" w:line="287"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highlight w:val="black"/>
        </w:rPr>
        <w:t>o</w:t>
      </w:r>
    </w:p>
    <w:p>
      <w:pPr>
        <w:spacing w:after="0" w:line="145" w:lineRule="exact"/>
        <w:rPr>
          <w:sz w:val="24"/>
          <w:szCs w:val="24"/>
          <w:color w:val="auto"/>
        </w:rPr>
      </w:pPr>
    </w:p>
    <w:p>
      <w:pPr>
        <w:ind w:right="200" w:firstLine="318"/>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highlight w:val="black"/>
        </w:rPr>
        <w:t>o</w:t>
      </w:r>
    </w:p>
    <w:p>
      <w:pPr>
        <w:spacing w:after="0" w:line="114" w:lineRule="exact"/>
        <w:rPr>
          <w:sz w:val="24"/>
          <w:szCs w:val="24"/>
          <w:color w:val="auto"/>
        </w:rPr>
      </w:pPr>
    </w:p>
    <w:p>
      <w:pPr>
        <w:ind w:left="320"/>
        <w:spacing w:after="0" w:line="161" w:lineRule="exact"/>
        <w:tabs>
          <w:tab w:leader="none" w:pos="668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highlight w:val="black"/>
        </w:rPr>
        <w:t>x</w:t>
      </w:r>
    </w:p>
    <w:p>
      <w:pPr>
        <w:spacing w:after="0" w:line="231" w:lineRule="exact"/>
        <w:rPr>
          <w:sz w:val="24"/>
          <w:szCs w:val="24"/>
          <w:color w:val="auto"/>
        </w:rPr>
      </w:pPr>
    </w:p>
    <w:p>
      <w:pPr>
        <w:ind w:right="160" w:firstLine="318"/>
        <w:spacing w:after="0" w:line="287"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of the registrant was $7.3 billion as of June 30, 2023, based upon the closing price of the common stock on that date.</w:t>
      </w:r>
    </w:p>
    <w:p>
      <w:pPr>
        <w:spacing w:after="0" w:line="145"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February 12, 2024, there were 119,262,270 shares of the registrant’s common stock, par value $0.01 per share, outstanding.</w:t>
      </w:r>
    </w:p>
    <w:p>
      <w:pPr>
        <w:spacing w:after="0" w:line="19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02" w:lineRule="exact"/>
        <w:rPr>
          <w:sz w:val="24"/>
          <w:szCs w:val="24"/>
          <w:color w:val="auto"/>
        </w:rPr>
      </w:pPr>
    </w:p>
    <w:p>
      <w:pPr>
        <w:ind w:right="20" w:firstLine="318"/>
        <w:spacing w:after="0" w:line="270" w:lineRule="auto"/>
        <w:rPr>
          <w:sz w:val="20"/>
          <w:szCs w:val="20"/>
          <w:color w:val="auto"/>
        </w:rPr>
      </w:pPr>
      <w:r>
        <w:rPr>
          <w:rFonts w:ascii="Times New Roman" w:cs="Times New Roman" w:eastAsia="Times New Roman" w:hAnsi="Times New Roman"/>
          <w:sz w:val="14"/>
          <w:szCs w:val="14"/>
          <w:color w:val="auto"/>
        </w:rPr>
        <w:t>Specified portions of the registrant’s proxy statement, which will be filed with the Securities and Exchange Commission pursuant to Regulation 14A in connection with the registrant’s 2024 Annual Meeting of Stockholders (the “Proxy Statement”), are incorporated by reference into Part III of this Annual Report on Form 10-K. Except with respect to information specifically incorporated by reference in this Annual Report, the Proxy Statement is not deemed to be filed as part hereof.</w:t>
      </w:r>
    </w:p>
    <w:p>
      <w:pPr>
        <w:sectPr>
          <w:pgSz w:w="11900" w:h="16838" w:orient="portrait"/>
          <w:cols w:equalWidth="0" w:num="1">
            <w:col w:w="11280"/>
          </w:cols>
          <w:pgMar w:left="300" w:top="1279" w:right="319" w:bottom="126" w:gutter="0" w:footer="0" w:header="0"/>
        </w:sectPr>
      </w:pPr>
    </w:p>
    <w:bookmarkStart w:id="1" w:name="page2"/>
    <w:bookmarkEnd w:id="1"/>
    <w:p>
      <w:pPr>
        <w:spacing w:after="0" w:line="27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527685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180" w:type="dxa"/>
            <w:vAlign w:val="bottom"/>
            <w:gridSpan w:val="5"/>
          </w:tcPr>
          <w:p>
            <w:pPr>
              <w:jc w:val="center"/>
              <w:ind w:right="3460"/>
              <w:spacing w:after="0"/>
              <w:rPr>
                <w:sz w:val="20"/>
                <w:szCs w:val="20"/>
                <w:color w:val="auto"/>
              </w:rPr>
            </w:pPr>
            <w:r>
              <w:rPr>
                <w:rFonts w:ascii="Times New Roman" w:cs="Times New Roman" w:eastAsia="Times New Roman" w:hAnsi="Times New Roman"/>
                <w:sz w:val="14"/>
                <w:szCs w:val="14"/>
                <w:b w:val="1"/>
                <w:bCs w:val="1"/>
                <w:color w:val="auto"/>
              </w:rPr>
              <w:t>GXO Logistics, Inc.</w:t>
            </w: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760" w:type="dxa"/>
            <w:vAlign w:val="bottom"/>
            <w:gridSpan w:val="4"/>
          </w:tcPr>
          <w:p>
            <w:pPr>
              <w:jc w:val="center"/>
              <w:ind w:right="3880"/>
              <w:spacing w:after="0"/>
              <w:rPr>
                <w:sz w:val="20"/>
                <w:szCs w:val="20"/>
                <w:color w:val="auto"/>
              </w:rPr>
            </w:pPr>
            <w:r>
              <w:rPr>
                <w:rFonts w:ascii="Times New Roman" w:cs="Times New Roman" w:eastAsia="Times New Roman" w:hAnsi="Times New Roman"/>
                <w:sz w:val="14"/>
                <w:szCs w:val="14"/>
                <w:b w:val="1"/>
                <w:bCs w:val="1"/>
                <w:color w:val="auto"/>
              </w:rPr>
              <w:t>Form 10-K</w:t>
            </w: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40" w:type="dxa"/>
            <w:vAlign w:val="bottom"/>
            <w:gridSpan w:val="7"/>
          </w:tcPr>
          <w:p>
            <w:pPr>
              <w:jc w:val="center"/>
              <w:ind w:right="280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180" w:type="dxa"/>
            <w:vAlign w:val="bottom"/>
            <w:gridSpan w:val="5"/>
          </w:tcPr>
          <w:p>
            <w:pPr>
              <w:jc w:val="center"/>
              <w:ind w:right="3440"/>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13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5"/>
                <w:szCs w:val="15"/>
                <w:color w:val="auto"/>
              </w:rPr>
            </w:pPr>
          </w:p>
        </w:tc>
        <w:tc>
          <w:tcPr>
            <w:tcW w:w="9940" w:type="dxa"/>
            <w:vAlign w:val="bottom"/>
            <w:gridSpan w:val="24"/>
            <w:vMerge w:val="restart"/>
          </w:tcPr>
          <w:p>
            <w:pPr>
              <w:spacing w:after="0"/>
              <w:rPr>
                <w:sz w:val="20"/>
                <w:szCs w:val="20"/>
                <w:color w:val="auto"/>
              </w:rPr>
            </w:pPr>
            <w:r>
              <w:rPr>
                <w:rFonts w:ascii="Times New Roman" w:cs="Times New Roman" w:eastAsia="Times New Roman" w:hAnsi="Times New Roman"/>
                <w:sz w:val="14"/>
                <w:szCs w:val="14"/>
                <w:color w:val="0000FF"/>
              </w:rPr>
              <w:t>Part I</w:t>
            </w:r>
          </w:p>
        </w:tc>
        <w:tc>
          <w:tcPr>
            <w:tcW w:w="13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940" w:type="dxa"/>
            <w:vAlign w:val="bottom"/>
            <w:gridSpan w:val="24"/>
            <w:vMerge w:val="continue"/>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6"/>
              </w:rPr>
              <w:t>Item 1. Business</w:t>
            </w:r>
          </w:p>
        </w:tc>
        <w:tc>
          <w:tcPr>
            <w:tcW w:w="8620" w:type="dxa"/>
            <w:vAlign w:val="bottom"/>
            <w:gridSpan w:val="19"/>
          </w:tcPr>
          <w:p>
            <w:pPr>
              <w:spacing w:after="0"/>
              <w:rPr>
                <w:sz w:val="13"/>
                <w:szCs w:val="13"/>
                <w:color w:val="auto"/>
              </w:rPr>
            </w:pPr>
          </w:p>
        </w:tc>
        <w:tc>
          <w:tcPr>
            <w:tcW w:w="740" w:type="dxa"/>
            <w:vAlign w:val="bottom"/>
          </w:tcPr>
          <w:p>
            <w:pPr>
              <w:jc w:val="center"/>
              <w:ind w:left="529"/>
              <w:spacing w:after="0"/>
              <w:rPr>
                <w:sz w:val="20"/>
                <w:szCs w:val="20"/>
                <w:color w:val="auto"/>
              </w:rPr>
            </w:pPr>
            <w:r>
              <w:rPr>
                <w:rFonts w:ascii="Times New Roman" w:cs="Times New Roman" w:eastAsia="Times New Roman" w:hAnsi="Times New Roman"/>
                <w:sz w:val="14"/>
                <w:szCs w:val="14"/>
                <w:color w:val="0000FF"/>
                <w:w w:val="85"/>
              </w:rPr>
              <w:t>1</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w w:val="96"/>
              </w:rPr>
              <w:t>Item 1A. Risk Factors</w:t>
            </w:r>
          </w:p>
        </w:tc>
        <w:tc>
          <w:tcPr>
            <w:tcW w:w="8300" w:type="dxa"/>
            <w:vAlign w:val="bottom"/>
            <w:gridSpan w:val="17"/>
          </w:tcPr>
          <w:p>
            <w:pPr>
              <w:spacing w:after="0"/>
              <w:rPr>
                <w:sz w:val="13"/>
                <w:szCs w:val="13"/>
                <w:color w:val="auto"/>
              </w:rPr>
            </w:pPr>
          </w:p>
        </w:tc>
        <w:tc>
          <w:tcPr>
            <w:tcW w:w="740" w:type="dxa"/>
            <w:vAlign w:val="bottom"/>
          </w:tcPr>
          <w:p>
            <w:pPr>
              <w:jc w:val="center"/>
              <w:ind w:left="529"/>
              <w:spacing w:after="0"/>
              <w:rPr>
                <w:sz w:val="20"/>
                <w:szCs w:val="20"/>
                <w:color w:val="auto"/>
              </w:rPr>
            </w:pPr>
            <w:r>
              <w:rPr>
                <w:rFonts w:ascii="Times New Roman" w:cs="Times New Roman" w:eastAsia="Times New Roman" w:hAnsi="Times New Roman"/>
                <w:sz w:val="14"/>
                <w:szCs w:val="14"/>
                <w:color w:val="0000FF"/>
                <w:w w:val="85"/>
              </w:rPr>
              <w:t>6</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2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w w:val="99"/>
              </w:rPr>
              <w:t>Item 1B. Unresolved Staff Comments</w:t>
            </w:r>
          </w:p>
        </w:tc>
        <w:tc>
          <w:tcPr>
            <w:tcW w:w="7420" w:type="dxa"/>
            <w:vAlign w:val="bottom"/>
            <w:gridSpan w:val="11"/>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2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Item 1C. Cybersecurity</w:t>
            </w:r>
          </w:p>
        </w:tc>
        <w:tc>
          <w:tcPr>
            <w:tcW w:w="7420" w:type="dxa"/>
            <w:vAlign w:val="bottom"/>
            <w:gridSpan w:val="11"/>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6"/>
              </w:rPr>
              <w:t>Item 2. Properties</w:t>
            </w:r>
          </w:p>
        </w:tc>
        <w:tc>
          <w:tcPr>
            <w:tcW w:w="240" w:type="dxa"/>
            <w:vAlign w:val="bottom"/>
          </w:tcPr>
          <w:p>
            <w:pPr>
              <w:spacing w:after="0"/>
              <w:rPr>
                <w:sz w:val="13"/>
                <w:szCs w:val="13"/>
                <w:color w:val="auto"/>
              </w:rPr>
            </w:pPr>
          </w:p>
        </w:tc>
        <w:tc>
          <w:tcPr>
            <w:tcW w:w="8300" w:type="dxa"/>
            <w:vAlign w:val="bottom"/>
            <w:gridSpan w:val="17"/>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Item 3. Legal Proceedings</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Item 4. Mine Safety Disclosures</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18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Part II</w:t>
            </w:r>
          </w:p>
        </w:tc>
        <w:tc>
          <w:tcPr>
            <w:tcW w:w="1800" w:type="dxa"/>
            <w:vAlign w:val="bottom"/>
            <w:tcBorders>
              <w:top w:val="single" w:sz="8" w:color="0000FF"/>
            </w:tcBorders>
            <w:gridSpan w:val="8"/>
          </w:tcPr>
          <w:p>
            <w:pPr>
              <w:spacing w:after="0"/>
              <w:rPr>
                <w:sz w:val="13"/>
                <w:szCs w:val="13"/>
                <w:color w:val="auto"/>
              </w:rPr>
            </w:pPr>
          </w:p>
        </w:tc>
        <w:tc>
          <w:tcPr>
            <w:tcW w:w="7740" w:type="dxa"/>
            <w:vAlign w:val="bottom"/>
            <w:gridSpan w:val="13"/>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Item 5. Market for Registrant’s Common Equity, Related Stockholder Matters and Issuer Purchases of Equity Securities</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1"/>
              </w:rPr>
              <w:t>Item 6. [Reserved]</w:t>
            </w:r>
          </w:p>
        </w:tc>
        <w:tc>
          <w:tcPr>
            <w:tcW w:w="5760" w:type="dxa"/>
            <w:vAlign w:val="bottom"/>
            <w:gridSpan w:val="17"/>
          </w:tcPr>
          <w:p>
            <w:pPr>
              <w:spacing w:after="0"/>
              <w:rPr>
                <w:sz w:val="13"/>
                <w:szCs w:val="13"/>
                <w:color w:val="auto"/>
              </w:rPr>
            </w:pPr>
          </w:p>
        </w:tc>
        <w:tc>
          <w:tcPr>
            <w:tcW w:w="278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50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Item 7. Management’s Discussion and Analysis of Financial Condition and Results of Operations</w:t>
            </w:r>
          </w:p>
        </w:tc>
        <w:tc>
          <w:tcPr>
            <w:tcW w:w="4040" w:type="dxa"/>
            <w:vAlign w:val="bottom"/>
            <w:gridSpan w:val="3"/>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50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Item 7A. Quantitative and Qualitative Disclosures about Market Risk</w:t>
            </w:r>
          </w:p>
        </w:tc>
        <w:tc>
          <w:tcPr>
            <w:tcW w:w="4040" w:type="dxa"/>
            <w:vAlign w:val="bottom"/>
            <w:gridSpan w:val="3"/>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4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w w:val="99"/>
              </w:rPr>
              <w:t>Item 8. Financial Statements and Supplementary Data</w:t>
            </w:r>
          </w:p>
        </w:tc>
        <w:tc>
          <w:tcPr>
            <w:tcW w:w="860" w:type="dxa"/>
            <w:vAlign w:val="bottom"/>
            <w:gridSpan w:val="2"/>
          </w:tcPr>
          <w:p>
            <w:pPr>
              <w:spacing w:after="0"/>
              <w:rPr>
                <w:sz w:val="13"/>
                <w:szCs w:val="13"/>
                <w:color w:val="auto"/>
              </w:rPr>
            </w:pPr>
          </w:p>
        </w:tc>
        <w:tc>
          <w:tcPr>
            <w:tcW w:w="5640" w:type="dxa"/>
            <w:vAlign w:val="bottom"/>
            <w:gridSpan w:val="6"/>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Item 9. Changes in and Disagreements with Accountants on Accounting and Financial Disclosure</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50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Item 9A. Controls and Procedures</w:t>
            </w:r>
          </w:p>
        </w:tc>
        <w:tc>
          <w:tcPr>
            <w:tcW w:w="4040" w:type="dxa"/>
            <w:vAlign w:val="bottom"/>
            <w:gridSpan w:val="3"/>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Item 9B. Other Information</w:t>
            </w:r>
          </w:p>
        </w:tc>
        <w:tc>
          <w:tcPr>
            <w:tcW w:w="7640" w:type="dxa"/>
            <w:vAlign w:val="bottom"/>
            <w:gridSpan w:val="12"/>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36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Item 9C. Disclosure Regarding Foreign Jurisdictions that Prevent Inspections</w:t>
            </w:r>
          </w:p>
        </w:tc>
        <w:tc>
          <w:tcPr>
            <w:tcW w:w="5180" w:type="dxa"/>
            <w:vAlign w:val="bottom"/>
            <w:gridSpan w:val="5"/>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right w:val="single" w:sz="8" w:color="0000FF"/>
            </w:tcBorders>
            <w:gridSpan w:val="3"/>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994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Part III</w:t>
            </w: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Item 10. Directors, Executive Officers and Corporate Governance</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w w:val="98"/>
              </w:rPr>
              <w:t>Item 11. Executive Compensation</w:t>
            </w:r>
          </w:p>
        </w:tc>
        <w:tc>
          <w:tcPr>
            <w:tcW w:w="1800" w:type="dxa"/>
            <w:vAlign w:val="bottom"/>
            <w:gridSpan w:val="5"/>
          </w:tcPr>
          <w:p>
            <w:pPr>
              <w:spacing w:after="0"/>
              <w:rPr>
                <w:sz w:val="13"/>
                <w:szCs w:val="13"/>
                <w:color w:val="auto"/>
              </w:rPr>
            </w:pPr>
          </w:p>
        </w:tc>
        <w:tc>
          <w:tcPr>
            <w:tcW w:w="5840" w:type="dxa"/>
            <w:vAlign w:val="bottom"/>
            <w:gridSpan w:val="7"/>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2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Item 12. Security Ownership of Certain Beneficial Owners and Management and Related Stockholder Matters</w:t>
            </w:r>
          </w:p>
        </w:tc>
        <w:tc>
          <w:tcPr>
            <w:tcW w:w="3320" w:type="dxa"/>
            <w:vAlign w:val="bottom"/>
            <w:gridSpan w:val="2"/>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6"/>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78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Item 13. Certain Relationships and Related Transactions, and Director Independence</w:t>
            </w:r>
          </w:p>
        </w:tc>
        <w:tc>
          <w:tcPr>
            <w:tcW w:w="1440" w:type="dxa"/>
            <w:vAlign w:val="bottom"/>
            <w:gridSpan w:val="2"/>
          </w:tcPr>
          <w:p>
            <w:pPr>
              <w:spacing w:after="0"/>
              <w:rPr>
                <w:sz w:val="13"/>
                <w:szCs w:val="13"/>
                <w:color w:val="auto"/>
              </w:rPr>
            </w:pPr>
          </w:p>
        </w:tc>
        <w:tc>
          <w:tcPr>
            <w:tcW w:w="3320" w:type="dxa"/>
            <w:vAlign w:val="bottom"/>
            <w:gridSpan w:val="2"/>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6"/>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74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w w:val="99"/>
              </w:rPr>
              <w:t>Item 14. Principal Accountant Fees and Services</w:t>
            </w:r>
          </w:p>
        </w:tc>
        <w:tc>
          <w:tcPr>
            <w:tcW w:w="2040" w:type="dxa"/>
            <w:vAlign w:val="bottom"/>
            <w:gridSpan w:val="6"/>
          </w:tcPr>
          <w:p>
            <w:pPr>
              <w:spacing w:after="0"/>
              <w:rPr>
                <w:sz w:val="13"/>
                <w:szCs w:val="13"/>
                <w:color w:val="auto"/>
              </w:rPr>
            </w:pPr>
          </w:p>
        </w:tc>
        <w:tc>
          <w:tcPr>
            <w:tcW w:w="4760" w:type="dxa"/>
            <w:vAlign w:val="bottom"/>
            <w:gridSpan w:val="4"/>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right w:val="single" w:sz="8" w:color="0000FF"/>
            </w:tcBorders>
            <w:gridSpan w:val="3"/>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6"/>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80" w:type="dxa"/>
            <w:vAlign w:val="bottom"/>
            <w:gridSpan w:val="9"/>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88"/>
              </w:rPr>
              <w:t>Part IV</w:t>
            </w:r>
          </w:p>
        </w:tc>
        <w:tc>
          <w:tcPr>
            <w:tcW w:w="9540" w:type="dxa"/>
            <w:vAlign w:val="bottom"/>
            <w:gridSpan w:val="21"/>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Item 15. Exhibits and Financial Statement Schedules</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6"/>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6580" w:type="dxa"/>
            <w:vAlign w:val="bottom"/>
            <w:gridSpan w:val="9"/>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96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Item 16. Form 10-K Summary</w:t>
            </w:r>
          </w:p>
        </w:tc>
        <w:tc>
          <w:tcPr>
            <w:tcW w:w="6580" w:type="dxa"/>
            <w:vAlign w:val="bottom"/>
            <w:gridSpan w:val="9"/>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7840" w:type="dxa"/>
            <w:vAlign w:val="bottom"/>
            <w:gridSpan w:val="14"/>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73</w:t>
            </w:r>
          </w:p>
        </w:tc>
        <w:tc>
          <w:tcPr>
            <w:tcW w:w="0" w:type="dxa"/>
            <w:vAlign w:val="bottom"/>
          </w:tcPr>
          <w:p>
            <w:pPr>
              <w:spacing w:after="0"/>
              <w:rPr>
                <w:sz w:val="1"/>
                <w:szCs w:val="1"/>
                <w:color w:val="auto"/>
              </w:rPr>
            </w:pPr>
          </w:p>
        </w:tc>
      </w:tr>
      <w:tr>
        <w:trPr>
          <w:trHeight w:val="1382"/>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i w:val="1"/>
          <w:iCs w:val="1"/>
          <w:color w:val="auto"/>
        </w:rPr>
        <w:t>Cautionary Statement Regarding Forward-Looking Statements</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i w:val="1"/>
          <w:iCs w:val="1"/>
          <w:color w:val="auto"/>
        </w:rPr>
        <w:t>This Annual Report on Form 10-K (“Annual Report”), other written reports and oral statements we make from time to time contain forward-looking statements within the meaning of Section 27A of the Securities Act of 1933, as amended (the “Securities Act”), and Section 21E of the Securities Exchange Act of 1934, as amended (the “Exchange Act”).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those discussed below and the risks discussed in the Company’s other filings with the Securities and Exchange Commission (the “SEC”). All forward-looking statements set forth in this Annual Report are qualified by these cautionary statements, and there can be no assurance that the results or developments anticipated by the Company will be realized or, even if substantially realized, that they will have the expected consequence to or effects on the Company or its business or operations.</w:t>
      </w:r>
    </w:p>
    <w:p>
      <w:pPr>
        <w:spacing w:after="0" w:line="33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i w:val="1"/>
          <w:iCs w:val="1"/>
          <w:color w:val="auto"/>
        </w:rPr>
        <w:t>The following discussion should be read in conjunction with the Company’s audited Consolidated Financial Statements and corresponding notes thereto included elsewhere in this Annual Report. Forward-looking statements set forth in this Annual Report speak only as of the date hereof, and we do not undertake any obligation to update forward-looking statements to reflect subsequent events or circumstances, changes in expectations or the occurrence of unanticipated events,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796925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9" w:right="31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20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GXO Logistics, Inc., together with its subsidiaries (“GXO,” the “Company,” “our” or “we”), is the largest pure-play contract logistics provider in the world and a foremost innovator in an industry propelled by strong secular tailwinds. We provide our customers with high-value-added warehousing and distribution, order fulfillment, e-commerce, reverse logistics and other supply chain services differentiated by our ability to deliver technology-enabled, customized solutions at scale. As of December 31, 2023, our 131,000 team members operated in 974 facilities worldwide totaling 199 million square feet of space, primarily on behalf of large corporations that have outsourced their warehousing, distribution and other related activities to us.</w:t>
      </w:r>
    </w:p>
    <w:p>
      <w:pPr>
        <w:spacing w:after="0" w:line="16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Our revenue is diversified among over one thousand customers, including many multinational corporations, across numerous verticals. Our customers rely on us to move their goods, with high efficiency, through their supply chains — from the moment goods arrive at our warehouses through fulfillment and distribution, and the management of returned products. Our customer base includes many blue-chip leaders in sectors that demonstrate high growth and/or durable demand, with significant growth potential through customer outsourcing of logistics services.</w:t>
      </w:r>
    </w:p>
    <w:p>
      <w:pPr>
        <w:spacing w:after="0" w:line="157"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GXO became a standalone publicly traded company on August 2, 2021, when GXO completed its separation (the “Separation”) from XPO, Inc. (“XPO”) and began regular-way trading on the New York Stock Exchange under the ticker symbol “GXO.” GXO was incorporated as a Delaware corporation in February 2021.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Strategy</w:t>
      </w:r>
    </w:p>
    <w:p>
      <w:pPr>
        <w:spacing w:after="0" w:line="20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We design and operate the most advanced warehouse solutions in the world. Our strategy is to help our customers manage their warehouse needs for optimal efficiency, using our network of people, technology and other physical assets. We deliver value to customers in the form of technological innovations, process efficiencies, cost efficiencies and reliable outcomes. Our services are highly responsive to customer goals, such as increasing visibility in the supply chain, decreasing fulfillment times and mitigating environmental impacts, while being proactive in identifying potential improvements.</w:t>
      </w:r>
    </w:p>
    <w:p>
      <w:pPr>
        <w:spacing w:after="0" w:line="16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GXO creates short- and long-term value for customers and shareholders through our unique combination of technology, scale and expertise. Our strategy addresses growth and optimization by focusing on core verticals that demonstrate enduring demand over time and where we already have a deep presence. We expect to attract new customers and expand the services we provide to existing customers through new projects, thus earning more of their logistics spend. We integrate best practices to drive productivity, with a focus on automation and other levers of profitable growth.</w:t>
      </w:r>
    </w:p>
    <w:p>
      <w:pPr>
        <w:spacing w:after="0" w:line="157"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To aid in executing our strategy, we have instilled a culture that focuses on delivering mutually beneficial results for our customers and our company with the highest legal and ethical standards and clear policies and practices to support compliance throughout our organization.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Technology and Intellectual Property</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Contract logistics is becoming more and more complex, as changing consumer expectations and preferences continue to drive a need for faster delivery times, higher levels of returned inventory and better visibility throughout the supply chain. Traditional warehousing solutions are no longer sufficient to fill these needs. The industry needs scaled technology players, like GXO, to deliver these complex solutions.</w:t>
      </w:r>
    </w:p>
    <w:p>
      <w:pPr>
        <w:spacing w:after="0" w:line="157"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Technology is a core competitive advantage for GXO and fundamental to how we win and retain business. GXO was an early adopter of technology, and more than 30% of our warehouses are technology-enabled compared to the industry average of approximately 10%. Technology enables us to add value to our customers’ end-to-end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color w:val="auto"/>
        </w:rPr>
        <w:t>operations in terms of cost, efficiency, accuracy and environmental impact. Investments in cutting-edge technology are a major growth driver for our business.</w:t>
      </w:r>
    </w:p>
    <w:p>
      <w:pPr>
        <w:spacing w:after="0" w:line="200"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Our highly scalable warehouse management platform is built on the cloud to speed the deployment of new ways to increase efficiency and leverage our footprint. In a relatively short time, we can implement innovations across multiple geographies or take an innovation developed for one vertical and apply it to other verticals to enhance the value we offer our customers.</w:t>
      </w:r>
    </w:p>
    <w:p>
      <w:pPr>
        <w:spacing w:after="0" w:line="145"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To date, the most significant impacts of our proprietary technology are in three areas: labor and inventory management productivity, intelligent warehouse automation and predictive analytics, all of which are integrated through our proprietary warehouse management platform.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Labor and Inventory Management</w:t>
      </w:r>
    </w:p>
    <w:p>
      <w:pPr>
        <w:spacing w:after="0" w:line="20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Our productivity is driven by our comprehensive suite of intelligent tools and analytics designed to optimize labor and inventory management. This technology incorporates dynamic data science, predictive analytics and machine learning to aid decision-making. Our site managers use these tools to improve productivity in site-specific ways in a safe, disciplined and cost-effective manner.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Intelligent Warehouse Automation</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Our intelligent warehouse automation includes deployments of autonomous robots and collaborative robots (“cobots”), automated sortation systems, automated guided vehicles, goods-to-person systems and wearable devices — these are all effective ways to deliver critical improvements in speed, accuracy and productivity. Importantly, automation also enhances safety and the overall quality of employment. Our warehouse management system creates a synchronized environment across automation platforms to control these technologies holistically, providing an integrated solution.</w:t>
      </w:r>
    </w:p>
    <w:p>
      <w:pPr>
        <w:spacing w:after="0" w:line="157"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We have found that autonomous goods-to-person systems and cobots, which assist workers with the inventory picking process, can improve labor productivity. Stationary robot arms can repeat demanding tasks with greater precision than is possible manually. Robots are particularly valuable in markets with labor shortages and where wage inflation can erode customer margins.</w:t>
      </w:r>
    </w:p>
    <w:p>
      <w:pPr>
        <w:spacing w:after="0" w:line="145"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Other technologies that differentiate our logistics environments are our proprietary warehouse module for order management, which gives customers deep visibility into fulfillment flows, and our analytics dashboard, which gives customers valuable business intelligence to manage their supply chains. Our connection management software module facilitates integration with SAP, Oracle and other external systems, enabling our customers to get the maximum benefit from our technology.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Predictive Analytics</w:t>
      </w:r>
    </w:p>
    <w:p>
      <w:pPr>
        <w:spacing w:after="0" w:line="20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Our predictive analytics add significant value for customers, particularly in e-commerce and omnichannel retail, where seasonality drives high volumes through outbound and inbound logistics processes. For example, up to 30% of consumer goods bought online are returned, and this creates increased volumes at certain times of the year. We have developed analytics that predict surges in demand using a combination of historical data and customer forecasting.</w:t>
      </w:r>
    </w:p>
    <w:p>
      <w:pPr>
        <w:spacing w:after="0" w:line="15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an industry leader that invests substantially in technology, we have access to an immense amount of data, as well as the analytical processing capabilities to capitalize on that data by incorporating our learnings into customer solutions. We believe our ability to process and act upon data is a key competitive advantage and differentiator.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8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auto"/>
        </w:rPr>
        <w:t>Customers and Markets</w:t>
      </w:r>
    </w:p>
    <w:p>
      <w:pPr>
        <w:spacing w:after="0" w:line="20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 xml:space="preserve">We provide our customers with high-value-added warehousing and distribution, order fulfillment, e-commerce, reverse logistics and other supply chain services. We provide services to customers globally, including </w:t>
      </w:r>
      <w:r>
        <w:rPr>
          <w:rFonts w:ascii="Times New Roman" w:cs="Times New Roman" w:eastAsia="Times New Roman" w:hAnsi="Times New Roman"/>
          <w:sz w:val="14"/>
          <w:szCs w:val="14"/>
          <w:i w:val="1"/>
          <w:iCs w:val="1"/>
          <w:color w:val="auto"/>
        </w:rPr>
        <w:t>Fortune 100</w:t>
      </w:r>
      <w:r>
        <w:rPr>
          <w:rFonts w:ascii="Times New Roman" w:cs="Times New Roman" w:eastAsia="Times New Roman" w:hAnsi="Times New Roman"/>
          <w:sz w:val="14"/>
          <w:szCs w:val="14"/>
          <w:color w:val="auto"/>
        </w:rPr>
        <w:t xml:space="preserve"> companies in the U.S., </w:t>
      </w:r>
      <w:r>
        <w:rPr>
          <w:rFonts w:ascii="Times New Roman" w:cs="Times New Roman" w:eastAsia="Times New Roman" w:hAnsi="Times New Roman"/>
          <w:sz w:val="14"/>
          <w:szCs w:val="14"/>
          <w:i w:val="1"/>
          <w:iCs w:val="1"/>
          <w:color w:val="auto"/>
        </w:rPr>
        <w:t>Fortune Global 500</w:t>
      </w:r>
      <w:r>
        <w:rPr>
          <w:rFonts w:ascii="Times New Roman" w:cs="Times New Roman" w:eastAsia="Times New Roman" w:hAnsi="Times New Roman"/>
          <w:sz w:val="14"/>
          <w:szCs w:val="14"/>
          <w:color w:val="auto"/>
        </w:rPr>
        <w:t xml:space="preserve"> companies in the world, European multinational market leaders and other renowned global brands. The customers we serve are primarily in North America and Europe and operate in every major industry. The diversification of our customer base reduces concentration risk. In 2023, our top five customers combined accounted for approximately 17% of our total revenue, and no customer represented more than 4%.</w:t>
      </w:r>
    </w:p>
    <w:p>
      <w:pPr>
        <w:spacing w:after="0" w:line="16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Our revenue is highly diversified due to our expertise across multiple verticals, reflecting our customers’ principal industry sectors. In 2023, 42% of our revenue was from Omnichannel retail, 15% from Technology and consumer electronics, 14% from Food and beverage, 11% from Industrial and manufacturing, 11% from Consumer packaged goods, and 7% from other industries, with the vast majority of our revenue generated in the United Kingdom, the United States, the Netherlands, France, Spain and Italy.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During the fourth quarter, our business benefits from strong positioning in the e-commerce sector, where demand is characterized by surges in activity associated with the holiday season. Our revenue and profitability are typically lower in the first quarter of the calendar year relative to other quarters. This is due in part to seasonality, namely the post-holiday reduction in demand experienced by many of our customers, which leads to less use of the logistics services we provide.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operate in a highly competitive global industry with a highly fragmented marketplace where thousands of companies compete domestically and internationally. We compete based on our ability to deliver quality service, reliability, scope and scale of operations, technological capabilities, expertise and pricing.</w:t>
      </w:r>
    </w:p>
    <w:p>
      <w:pPr>
        <w:spacing w:after="0" w:line="145"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Our competitors include local, regional, national and international companies that offer services similar to those we provide. Our competitors include CEVA, DHL, DSV, GEODIS, ID Logistics, Kuehne + Nagel and Ryder. Due to the competitive nature of our marketplace, we strive daily to strengthen and expand existing business relationships and forge new relationships.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Regulations</w:t>
      </w:r>
    </w:p>
    <w:p>
      <w:pPr>
        <w:spacing w:after="0" w:line="202"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Our operations are regulated and licensed by various governmental agencies in the U.S. at the local, state, and federal levels and in other countries where we conduct business. These regulations impact us directly and indirectly when they regulate third parties with which we arrange or contract services. In addition, we are subject to a variety of other U.S. and foreign laws and regulations, including, but not limited to, the Foreign Corrupt Practices Act and other anti-bribery and anti-corruption statutes.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Sustainability</w:t>
      </w:r>
    </w:p>
    <w:p>
      <w:pPr>
        <w:spacing w:after="0" w:line="202" w:lineRule="exact"/>
        <w:rPr>
          <w:sz w:val="20"/>
          <w:szCs w:val="20"/>
          <w:color w:val="auto"/>
        </w:rPr>
      </w:pPr>
    </w:p>
    <w:p>
      <w:pPr>
        <w:ind w:right="500"/>
        <w:spacing w:after="0" w:line="270" w:lineRule="auto"/>
        <w:rPr>
          <w:sz w:val="20"/>
          <w:szCs w:val="20"/>
          <w:color w:val="auto"/>
        </w:rPr>
      </w:pPr>
      <w:r>
        <w:rPr>
          <w:rFonts w:ascii="Times New Roman" w:cs="Times New Roman" w:eastAsia="Times New Roman" w:hAnsi="Times New Roman"/>
          <w:sz w:val="14"/>
          <w:szCs w:val="14"/>
          <w:color w:val="auto"/>
        </w:rPr>
        <w:t>Environmental sustainability is a key pillar of our Environmental, Social, and Governance (“ESG”) strategy. We are partnering with customers around the globe to help them achieve their environmental goals while we innovate to reduce our impact. For many of our customers, the logistics component of their supply chain accounts for a sizeable portion of their greenhouse gas (“GHG”) emissions and waste footprint. We collaborate with customers to create action plans that reduce emissions related to their supply chains through technology-enabled solutions.</w:t>
      </w:r>
    </w:p>
    <w:p>
      <w:pPr>
        <w:spacing w:after="0" w:line="157"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Our environmental sustainability strategy is designed to be applicable globally while also compliant with local environmental regulations. Throughout our business, GXO has identified GHG emissions and waste associated with operations as our greatest opportunities to reduce our environmental impact. In 2021, we established environmental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9" w:right="339" w:bottom="1440" w:gutter="0" w:footer="0" w:header="0"/>
        </w:sectPr>
      </w:pPr>
    </w:p>
    <w:bookmarkStart w:id="7" w:name="page8"/>
    <w:bookmarkEnd w:id="7"/>
    <w:p>
      <w:pPr>
        <w:jc w:val="both"/>
        <w:ind w:right="460"/>
        <w:spacing w:after="0" w:line="270" w:lineRule="auto"/>
        <w:rPr>
          <w:sz w:val="20"/>
          <w:szCs w:val="20"/>
          <w:color w:val="auto"/>
        </w:rPr>
      </w:pPr>
      <w:r>
        <w:rPr>
          <w:rFonts w:ascii="Times New Roman" w:cs="Times New Roman" w:eastAsia="Times New Roman" w:hAnsi="Times New Roman"/>
          <w:sz w:val="14"/>
          <w:szCs w:val="14"/>
          <w:color w:val="auto"/>
        </w:rPr>
        <w:t>targets to track and prioritize our reduction of Scopes 1 and 2 GHG emissions and increase waste diversion rates globally. Part of our environmental strategy focuses on improving the energy efficiency of our buildings. We have a global initiative to replace our warehouse lighting with LED and are developing our strategy to increase the amount of renewable electricity used in our buildings.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2023, we began an exercise to quantify our full carbon footprint, including our Scope 3 emissions. We anticipate the results of this exercise in the first half of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202"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4"/>
          <w:szCs w:val="14"/>
          <w:color w:val="auto"/>
        </w:rPr>
        <w:t>Our success relies in large part on our robust governance structure and Code of Business Ethics, our corporate citizenship and engaged employees who embrace our values. As a customer-centric company with a strong service culture, we constantly work to maintain and improve our position as an employer of choice. This requires an unwavering commitment to workplace inclusion and safety as well as competitive total compensation that meets the needs of our employees and their families.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Profile</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As of December 31, 2023, we operated in 27 countries with approximately 131,000 team members (comprising approximately 87,000 full-time and part-time employees and 44,000 temporary workers engaged through third-party agencies). Our workforce is located: 47% in the United Kingdom, 25% in Europe (excluding the United Kingdom), 25% in North America and 3% in Latin America and Asia combined. The majority of our employees in Europe and the United Kingdom were covered by collective bargaining agreements, while none of our employees in North America were covered by collective bargaining agreements. As of December 31, 2023, approximately 36% of our global workforce were women, and 66% of our workforce in the U.S. were ethnic minorities.</w:t>
      </w:r>
    </w:p>
    <w:p>
      <w:pPr>
        <w:spacing w:after="0" w:line="16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We have made and continue to make significant investments in the safety, well-being and satisfaction of our employees in numerous areas, including diversity, inclusion and belonging; health and safety; talent development and engagement; and expansive total rewards.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Diversity, Inclusion and Belonging</w:t>
      </w:r>
    </w:p>
    <w:p>
      <w:pPr>
        <w:spacing w:after="0" w:line="20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We take pride in having an inclusive workplace that encourages a diversity of backgrounds and perspectives and mandates fair treatment for all individuals. These attributes of our culture make us a stronger organization and a better partner to all GXO stakeholders. We welcome employees of every gender identity, sexual orientation, race, ethnicity, national origin, religion, life experience, veteran status and disability.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Health and Safety</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Our employees’ safety is always our foremost priority, and we have numerous protocols in place to ensure a safe workplace environment. We aim to maintain an Occupational Safety and Health Administration recordable incident rate that is less than half the published rate for the General Warehousing and Storage sector, based on the “Industry Injury and Illness Data” of the U.S. Bureau of Labor Statistics.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Talent Development and Engagement</w:t>
      </w:r>
    </w:p>
    <w:p>
      <w:pPr>
        <w:spacing w:after="0" w:line="202"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Our employees are critically important to our ability to provide best-in-class service. We ask our employees for feedback through engagement surveys, roundtables and town halls. We use periodic engagement surveys to gauge our progress and assess satisfaction. In this way, our employees help drive the continuous improvement of our business. We seek to identify top talent in all aspects of the recruitment process and we emphasize training and development supported by our own online GXO University.</w:t>
      </w:r>
    </w:p>
    <w:p>
      <w:pPr>
        <w:spacing w:after="0" w:line="15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We tailor our recruitment efforts by geography and job function, using an array of channels to ensure a diverse candidate pool. Our talent development infrastructure provides resources to employees who aspire to 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81" w:right="359" w:bottom="1440" w:gutter="0" w:footer="0" w:header="0"/>
        </w:sectPr>
      </w:pPr>
    </w:p>
    <w:bookmarkStart w:id="8" w:name="page9"/>
    <w:bookmarkEnd w:id="8"/>
    <w:p>
      <w:pPr>
        <w:jc w:val="both"/>
        <w:ind w:right="360"/>
        <w:spacing w:after="0" w:line="270" w:lineRule="auto"/>
        <w:rPr>
          <w:sz w:val="20"/>
          <w:szCs w:val="20"/>
          <w:color w:val="auto"/>
        </w:rPr>
      </w:pPr>
      <w:r>
        <w:rPr>
          <w:rFonts w:ascii="Times New Roman" w:cs="Times New Roman" w:eastAsia="Times New Roman" w:hAnsi="Times New Roman"/>
          <w:sz w:val="14"/>
          <w:szCs w:val="14"/>
          <w:color w:val="auto"/>
        </w:rPr>
        <w:t>throughout their careers, such as tailored skills development, training and mentoring. In addition, we maintain a robust pipeline of future operations leaders by using structured sponsorships and additional learning techniques to develop internal candidates who demonstrate high potential to advance from supervisory roles into site leader positions. Our programs also retain top talent by defining personalized development paths and attract new talent by differentiating GXO as an employer of choice.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Expansive Total Rewards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We offer a competitive compensation package to help attract and retain outstanding talent. We offer competitive wages and a comprehensive suite of benefits to all employees to maintain our position as an employer of choice in the talent marketplace. A number of the benefits we offer were introduced in response to employee feedback — in the U.S., examples include our pregnancy care policy, family bonding policy, tuition reimbursement program for continuing education, and benefits such as diabetes management, supplemental insurance and short-term loans. In Europe, the benefits offered vary by country and are tailored to the needs of the local markets. Examples include comprehensive healthcare and risk insurance, employee assistance programs covering mental, physical and financial well-being, pension plans, profit sharing and local and global bonuses structured to offer competitive pay in each country.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Information About Our Executive Officers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00" w:type="dxa"/>
            <w:vAlign w:val="bottom"/>
          </w:tcPr>
          <w:p>
            <w:pPr>
              <w:spacing w:after="0"/>
              <w:rPr>
                <w:sz w:val="16"/>
                <w:szCs w:val="16"/>
                <w:color w:val="auto"/>
              </w:rPr>
            </w:pPr>
          </w:p>
        </w:tc>
      </w:tr>
      <w:tr>
        <w:trPr>
          <w:trHeight w:val="361"/>
        </w:trPr>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information relates to our current executive officers: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00" w:type="dxa"/>
            <w:vAlign w:val="bottom"/>
          </w:tcPr>
          <w:p>
            <w:pPr>
              <w:spacing w:after="0"/>
              <w:rPr>
                <w:sz w:val="24"/>
                <w:szCs w:val="24"/>
                <w:color w:val="auto"/>
              </w:rPr>
            </w:pPr>
          </w:p>
        </w:tc>
      </w:tr>
      <w:tr>
        <w:trPr>
          <w:trHeight w:val="393"/>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Age</w:t>
            </w:r>
          </w:p>
        </w:tc>
        <w:tc>
          <w:tcPr>
            <w:tcW w:w="6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71"/>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Malcolm Wilson</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center"/>
              <w:ind w:right="389"/>
              <w:spacing w:after="0"/>
              <w:rPr>
                <w:sz w:val="20"/>
                <w:szCs w:val="20"/>
                <w:color w:val="auto"/>
              </w:rPr>
            </w:pPr>
            <w:r>
              <w:rPr>
                <w:rFonts w:ascii="Times New Roman" w:cs="Times New Roman" w:eastAsia="Times New Roman" w:hAnsi="Times New Roman"/>
                <w:sz w:val="14"/>
                <w:szCs w:val="14"/>
                <w:color w:val="auto"/>
                <w:w w:val="99"/>
              </w:rPr>
              <w:t>65</w:t>
            </w:r>
          </w:p>
        </w:tc>
        <w:tc>
          <w:tcPr>
            <w:tcW w:w="100" w:type="dxa"/>
            <w:vAlign w:val="bottom"/>
            <w:tcBorders>
              <w:top w:val="single" w:sz="8" w:color="CCEEFF"/>
            </w:tcBorders>
            <w:shd w:val="clear" w:color="auto" w:fill="CCEEFF"/>
          </w:tcPr>
          <w:p>
            <w:pPr>
              <w:spacing w:after="0"/>
              <w:rPr>
                <w:sz w:val="14"/>
                <w:szCs w:val="14"/>
                <w:color w:val="auto"/>
              </w:rPr>
            </w:pPr>
          </w:p>
        </w:tc>
        <w:tc>
          <w:tcPr>
            <w:tcW w:w="6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80"/>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Baris Oran</w:t>
            </w:r>
          </w:p>
        </w:tc>
        <w:tc>
          <w:tcPr>
            <w:tcW w:w="1080" w:type="dxa"/>
            <w:vAlign w:val="bottom"/>
          </w:tcPr>
          <w:p>
            <w:pPr>
              <w:jc w:val="center"/>
              <w:ind w:right="389"/>
              <w:spacing w:after="0"/>
              <w:rPr>
                <w:sz w:val="20"/>
                <w:szCs w:val="20"/>
                <w:color w:val="auto"/>
              </w:rPr>
            </w:pPr>
            <w:r>
              <w:rPr>
                <w:rFonts w:ascii="Times New Roman" w:cs="Times New Roman" w:eastAsia="Times New Roman" w:hAnsi="Times New Roman"/>
                <w:sz w:val="14"/>
                <w:szCs w:val="14"/>
                <w:color w:val="auto"/>
                <w:w w:val="99"/>
              </w:rPr>
              <w:t>50</w:t>
            </w:r>
          </w:p>
        </w:tc>
        <w:tc>
          <w:tcPr>
            <w:tcW w:w="100" w:type="dxa"/>
            <w:vAlign w:val="bottom"/>
          </w:tcPr>
          <w:p>
            <w:pPr>
              <w:spacing w:after="0"/>
              <w:rPr>
                <w:sz w:val="15"/>
                <w:szCs w:val="15"/>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0"/>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Karlis Kirsis</w:t>
            </w:r>
          </w:p>
        </w:tc>
        <w:tc>
          <w:tcPr>
            <w:tcW w:w="1080" w:type="dxa"/>
            <w:vAlign w:val="bottom"/>
            <w:shd w:val="clear" w:color="auto" w:fill="CCEEFF"/>
          </w:tcPr>
          <w:p>
            <w:pPr>
              <w:jc w:val="center"/>
              <w:ind w:right="389"/>
              <w:spacing w:after="0"/>
              <w:rPr>
                <w:sz w:val="20"/>
                <w:szCs w:val="20"/>
                <w:color w:val="auto"/>
              </w:rPr>
            </w:pPr>
            <w:r>
              <w:rPr>
                <w:rFonts w:ascii="Times New Roman" w:cs="Times New Roman" w:eastAsia="Times New Roman" w:hAnsi="Times New Roman"/>
                <w:sz w:val="14"/>
                <w:szCs w:val="14"/>
                <w:color w:val="auto"/>
                <w:w w:val="99"/>
              </w:rPr>
              <w:t>44</w:t>
            </w:r>
          </w:p>
        </w:tc>
        <w:tc>
          <w:tcPr>
            <w:tcW w:w="100" w:type="dxa"/>
            <w:vAlign w:val="bottom"/>
            <w:shd w:val="clear" w:color="auto" w:fill="CCEEFF"/>
          </w:tcPr>
          <w:p>
            <w:pPr>
              <w:spacing w:after="0"/>
              <w:rPr>
                <w:sz w:val="15"/>
                <w:szCs w:val="15"/>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Legal Officer</w:t>
            </w:r>
          </w:p>
        </w:tc>
      </w:tr>
      <w:tr>
        <w:trPr>
          <w:trHeight w:val="180"/>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Elizabeth Fogarty</w:t>
            </w:r>
          </w:p>
        </w:tc>
        <w:tc>
          <w:tcPr>
            <w:tcW w:w="1080" w:type="dxa"/>
            <w:vAlign w:val="bottom"/>
          </w:tcPr>
          <w:p>
            <w:pPr>
              <w:jc w:val="center"/>
              <w:ind w:right="389"/>
              <w:spacing w:after="0"/>
              <w:rPr>
                <w:sz w:val="20"/>
                <w:szCs w:val="20"/>
                <w:color w:val="auto"/>
              </w:rPr>
            </w:pPr>
            <w:r>
              <w:rPr>
                <w:rFonts w:ascii="Times New Roman" w:cs="Times New Roman" w:eastAsia="Times New Roman" w:hAnsi="Times New Roman"/>
                <w:sz w:val="14"/>
                <w:szCs w:val="14"/>
                <w:color w:val="auto"/>
                <w:w w:val="99"/>
              </w:rPr>
              <w:t>54</w:t>
            </w:r>
          </w:p>
        </w:tc>
        <w:tc>
          <w:tcPr>
            <w:tcW w:w="100" w:type="dxa"/>
            <w:vAlign w:val="bottom"/>
          </w:tcPr>
          <w:p>
            <w:pPr>
              <w:spacing w:after="0"/>
              <w:rPr>
                <w:sz w:val="15"/>
                <w:szCs w:val="15"/>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Chief Communications Officer</w:t>
            </w:r>
          </w:p>
        </w:tc>
      </w:tr>
      <w:tr>
        <w:trPr>
          <w:trHeight w:val="180"/>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Richard Cawston</w:t>
            </w:r>
          </w:p>
        </w:tc>
        <w:tc>
          <w:tcPr>
            <w:tcW w:w="1080" w:type="dxa"/>
            <w:vAlign w:val="bottom"/>
            <w:shd w:val="clear" w:color="auto" w:fill="CCEEFF"/>
          </w:tcPr>
          <w:p>
            <w:pPr>
              <w:jc w:val="center"/>
              <w:ind w:right="389"/>
              <w:spacing w:after="0"/>
              <w:rPr>
                <w:sz w:val="20"/>
                <w:szCs w:val="20"/>
                <w:color w:val="auto"/>
              </w:rPr>
            </w:pPr>
            <w:r>
              <w:rPr>
                <w:rFonts w:ascii="Times New Roman" w:cs="Times New Roman" w:eastAsia="Times New Roman" w:hAnsi="Times New Roman"/>
                <w:sz w:val="14"/>
                <w:szCs w:val="14"/>
                <w:color w:val="auto"/>
                <w:w w:val="99"/>
              </w:rPr>
              <w:t>50</w:t>
            </w:r>
          </w:p>
        </w:tc>
        <w:tc>
          <w:tcPr>
            <w:tcW w:w="100" w:type="dxa"/>
            <w:vAlign w:val="bottom"/>
            <w:shd w:val="clear" w:color="auto" w:fill="CCEEFF"/>
          </w:tcPr>
          <w:p>
            <w:pPr>
              <w:spacing w:after="0"/>
              <w:rPr>
                <w:sz w:val="15"/>
                <w:szCs w:val="15"/>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Revenue Officer</w:t>
            </w:r>
          </w:p>
        </w:tc>
      </w:tr>
    </w:tbl>
    <w:p>
      <w:pPr>
        <w:spacing w:after="0" w:line="2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Malcolm Wilson </w:t>
      </w:r>
      <w:r>
        <w:rPr>
          <w:rFonts w:ascii="Times New Roman" w:cs="Times New Roman" w:eastAsia="Times New Roman" w:hAnsi="Times New Roman"/>
          <w:sz w:val="14"/>
          <w:szCs w:val="14"/>
          <w:color w:val="auto"/>
        </w:rPr>
        <w:t>has served as Chief Executive Officer since the Separation in August 2021, after serving as Chief Executive Officer of XPO Logistics Europe since September 2017. He joined XPO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2015 through XPO’s acquisition of Norbert Dentressangle, where he led the logistics division and served on the executive board.</w:t>
      </w:r>
    </w:p>
    <w:p>
      <w:pPr>
        <w:spacing w:after="0" w:line="141"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Baris Oran </w:t>
      </w:r>
      <w:r>
        <w:rPr>
          <w:rFonts w:ascii="Times New Roman" w:cs="Times New Roman" w:eastAsia="Times New Roman" w:hAnsi="Times New Roman"/>
          <w:sz w:val="14"/>
          <w:szCs w:val="14"/>
          <w:color w:val="auto"/>
        </w:rPr>
        <w:t>has served as Chief Financial Officer since the Separation in August 2021. Mr. Oran joined XPO in May 2021 as Chief Financial Officer of XPO’s Logistics segment after having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previously served as Chief Financial Officer of the Sabanci Group, one of Turkey’s largest publicly traded companies. Mr. Oran served as Chief Financial Officer of Sabanci from 2016 to 2021, prior to which he held other senior finance roles at the company.</w:t>
      </w:r>
    </w:p>
    <w:p>
      <w:pPr>
        <w:spacing w:after="0" w:line="15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Karlis Kirsis </w:t>
      </w:r>
      <w:r>
        <w:rPr>
          <w:rFonts w:ascii="Times New Roman" w:cs="Times New Roman" w:eastAsia="Times New Roman" w:hAnsi="Times New Roman"/>
          <w:sz w:val="14"/>
          <w:szCs w:val="14"/>
          <w:color w:val="auto"/>
        </w:rPr>
        <w:t>has served as Chief Legal Officer since the Separation in August 2021, after serving as Senior Vice President, European Chief Legal Officer, Corporate Secretary for XPO, a role he had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held since February 2020. Mr. Kirsis previously served in various roles at XPO, including Senior Vice President, Corporate Counsel from July 2017 to February 2020 and Vice President, Corporate and Securities Counsel from September 2016 to July 2017.</w:t>
      </w:r>
    </w:p>
    <w:p>
      <w:pPr>
        <w:spacing w:after="0" w:line="155"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Elizabeth Fogarty </w:t>
      </w:r>
      <w:r>
        <w:rPr>
          <w:rFonts w:ascii="Times New Roman" w:cs="Times New Roman" w:eastAsia="Times New Roman" w:hAnsi="Times New Roman"/>
          <w:sz w:val="14"/>
          <w:szCs w:val="14"/>
          <w:color w:val="auto"/>
        </w:rPr>
        <w:t>has served as Chief Communications Officer since September 2021. Prior to her time with GXO, Ms. Fogarty was employed by Citi as the Managing Director and Head of Global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Consumer Banking Public Affairs from October 2013 to September 2021 and before that as the Director of Corporate Communications and Vice President of Global Public Affairs.</w:t>
      </w:r>
    </w:p>
    <w:p>
      <w:pPr>
        <w:spacing w:after="0" w:line="14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b w:val="1"/>
          <w:bCs w:val="1"/>
          <w:color w:val="1C1C1C"/>
        </w:rPr>
        <w:t xml:space="preserve">Richard Cawston </w:t>
      </w:r>
      <w:r>
        <w:rPr>
          <w:rFonts w:ascii="Times New Roman" w:cs="Times New Roman" w:eastAsia="Times New Roman" w:hAnsi="Times New Roman"/>
          <w:sz w:val="14"/>
          <w:szCs w:val="14"/>
          <w:color w:val="1C1C1C"/>
        </w:rPr>
        <w:t>has served as Chief Revenue Officer and President of Europe since December 2023, after serving as President of Europe for GXO since August 2021 and President of XPO</w:t>
      </w:r>
      <w:r>
        <w:rPr>
          <w:rFonts w:ascii="Times New Roman" w:cs="Times New Roman" w:eastAsia="Times New Roman" w:hAnsi="Times New Roman"/>
          <w:sz w:val="14"/>
          <w:szCs w:val="14"/>
          <w:b w:val="1"/>
          <w:bCs w:val="1"/>
          <w:color w:val="1C1C1C"/>
        </w:rPr>
        <w:t xml:space="preserve"> </w:t>
      </w:r>
      <w:r>
        <w:rPr>
          <w:rFonts w:ascii="Times New Roman" w:cs="Times New Roman" w:eastAsia="Times New Roman" w:hAnsi="Times New Roman"/>
          <w:sz w:val="14"/>
          <w:szCs w:val="14"/>
          <w:color w:val="1C1C1C"/>
        </w:rPr>
        <w:t>Logistics Europe – Supply Chain since September 2017. He joined XPO in 2015 through XPO’s acquisition of Norbert Dentressangle, where he was Managing Director of the logistics division in the United Kingdom and 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202"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We are required to file annual, quarterly and current reports, proxy statements and other information with the SEC. Reports filed with the SEC can be viewed at http://www.sec.gov and on our corporate website at www.gxo.com. Materials are available online as soon as reasonably practicable after we electronically submit them to the SEC. Further materials regarding our corporate governance policies and practices, including our Corporate Governance Guidelines, Code of Business Ethics and the charters relating to the committees of our Board of Directors, are also available on the investors section of our website.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0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i w:val="1"/>
          <w:iCs w:val="1"/>
          <w:color w:val="auto"/>
        </w:rPr>
        <w:t>The following are important factors that could affect our financial performance and could cause actual results for future periods to differ materially from our anticipated results or other expectations, including those expressed in any forward-looking statements made in this Annual Report or our other filings with the SEC or in oral presentations such as telephone conferences and webcasts open to the public. You should carefully consider the following factors in conjunction with “Management’s Discussion and Analysis of Financial Condition and Results of Operations” in Item 7 and our Consolidated Financial Statements and related Notes in Item 8.</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Risks Related to Our Strategy and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operate in a highly competitive industry, and failure to compete or respond to customer requirements could negatively affect our business and our results of operations.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logistics industry is intensely competitive and is expected to remain so for the foreseeable future. We compete against multinational firms, regional players and emerging technology companies. We also must contend with our customers’ ability to in-source their logistics operations. The competitive factors that are most important to our customers are price and quality of service. Many larger customers utilize the services of multiple logistics providers. Customers regularly solicit bids from competitors to improve service and to secure favorable pricing and contractual terms such as longer payment terms, fixed-price arrangements, higher or unlimited liability and performance penalties. Increased competition and competitors’ acceptance of more onerous contractual terms could result in reduced revenues, reduced margins, higher operating costs or loss of market share, any of which could have a material adverse effect on our results of operations, cash flows and financial condition.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Increases in our labor costs to attract, develop and retain employees may have a material adverse effect on our business.</w:t>
      </w:r>
    </w:p>
    <w:p>
      <w:pPr>
        <w:spacing w:after="0" w:line="20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Our workforce is comprised primarily of employees who work on an hourly basis. To grow our operations and meet the needs and expectations of our customers, we must attract, develop and retain a large number of hourly employees while controlling labor costs. Many of our long-term customer contracts are fixed-price arrangements that limit our ability to pass on to our customers increases in labor costs due to low unemployment, increases in government unemployment benefits, competitive pressures, union activity or changes in federal or state minimum wage or overtime laws and any such increases in labor costs could adversely affect our business, results of operations, cash flows and financial condition.</w:t>
      </w:r>
    </w:p>
    <w:p>
      <w:pPr>
        <w:spacing w:after="0" w:line="16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Additionally, our operations are subject to various employment-related laws and regulations, which govern matters such as minimum wages, union organizing rights, the classification of employees and independent contractors, family and medical leave, overtime pay, compensable time, recordkeeping and other working conditions and a variety of similar laws that govern these and other employment-related matters. Any changes to employment-related laws and regulations, including increased minimum wages or the expansion of union organization rights, could result in increased labor costs that could adversely affect our business,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9" w:right="319" w:bottom="1440" w:gutter="0" w:footer="0" w:header="0"/>
        </w:sectPr>
      </w:pPr>
    </w:p>
    <w:bookmarkStart w:id="10" w:name="page11"/>
    <w:bookmarkEnd w:id="10"/>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Labor represents a significant portion of our operating expenses, thus, compliance with these evolving laws and regulations could substantially increase our cost of doing business, while failure to do so could subject us to significant fines and lawsuits and could adversely affect our business, results of operations, cash flows and financial condition. We are currently subject to employment-related claims in connection with our operations. These claims, lawsuits and proceedings are in various stages of adjudication or investigation and involve a wide variety of claims and potential outcomes.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depend on our ability to attract and retain qualified employees and temporary workers.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depend on our ability to attract and retain qualified employees, including our executive officers and managers. If we are unable to attract and retain such individuals, we may be unable to maintain our current competitive position within the industry, meet our customers’ expectations or successfully expand and grow our business.</w:t>
      </w:r>
    </w:p>
    <w:p>
      <w:pPr>
        <w:spacing w:after="0" w:line="14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Our ability to meet customer demands and expectations, especially during periods of peak volume, is substantially dependent on our ability to recruit and retain qualified temporary part-time and full-time workers. Increased demand for temporary workers, low unemployment or changes in federal or state minimum wage laws may increase the costs of temporary labor, and any such increases in labor costs could adversely affect our business, results of operations, cash flows and financial condition. In addition, the COVID-19 pandemic and resulting actions, as well as other macro-economic headwinds such as inflation and supply change disruptions increased the potential for labor shortages and heightened levels of employee turnover. Therefore, our inability to recruit a qualified temporary workforce may result in our inability to meet our customers’ performance targets.</w:t>
      </w:r>
    </w:p>
    <w:p>
      <w:pPr>
        <w:spacing w:after="0" w:line="162"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past acquisitions, as well as any acquisitions that we may complete in the future, may be unsuccessful or result in other risks or developments that adversely affect our financial condition and results.</w:t>
      </w:r>
    </w:p>
    <w:p>
      <w:pPr>
        <w:spacing w:after="0" w:line="14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While we intend for our acquisitions to improve our competitiveness and profitability, we cannot be certain that our past or future acquisitions will be accretive to earnings or otherwise meet our operational or strategic expectations. Special risks, including accounting, regulatory, compliance, information technology or human resources issues may arise in connection with, or as a result of, the acquisition of an existing company, including the assumption of unanticipated liabilities and contingencies, difficulties in integrating acquired businesses, possible management distractions or the inability of the acquired business to achieve the levels of revenue, income, productivity or synergies we anticipate or otherwise perform as we expect on the timeline contemplated. We are unable to predict all the risks that could arise as a result of our acquisitions.</w:t>
      </w:r>
    </w:p>
    <w:p>
      <w:pPr>
        <w:spacing w:after="0" w:line="16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color w:val="auto"/>
        </w:rPr>
        <w:t>If the performance of an acquired business varies from our projections or assumptions or if estimates about the future profitability of an acquired business change, our revenues, earnings or other aspects of our financial condition could be adversely affected. We may also experience difficulties in connection with integrating any acquired companies into our existing businesses and operations, including our existing infrastructure and information technology systems. The infrastructure and information technology systems of acquired companies could present issues that we were unable to identify prior to the acquisition and could adversely affect our financial condition and results. We have experienced challenges of this nature relating to the infrastructure and systems of certain companies that we have acquired. Also, we may not realize all of the synergies we anticipate from past and potential future acquisitions. Among the synergies that we currently expect to realize are cross-selling opportunities to our existing customers, as well as network and operational efficiencies. Variances from these or other assumptions or expectations could adversely affect our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successfully manage our growth.</w:t>
      </w:r>
    </w:p>
    <w:p>
      <w:pPr>
        <w:spacing w:after="0" w:line="202"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We have grown rapidly and substantially over prior years, including by expanding our internal resources, making acquisitions and entering new markets and we intend to continue to focus on rapid growth, including organic growth and additional acquisitions. We may experience difficulties and higher than expected expenses in executing this strategy as a result of unfamiliarity with new markets, changes in revenue and business models, entry into new geographic areas or increased pressure on our existing infrastructure and information technology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11" w:name="page12"/>
    <w:bookmarkEnd w:id="11"/>
    <w:p>
      <w:pPr>
        <w:ind w:right="20"/>
        <w:spacing w:after="0" w:line="264" w:lineRule="auto"/>
        <w:rPr>
          <w:sz w:val="20"/>
          <w:szCs w:val="20"/>
          <w:color w:val="auto"/>
        </w:rPr>
      </w:pPr>
      <w:r>
        <w:rPr>
          <w:rFonts w:ascii="Times New Roman" w:cs="Times New Roman" w:eastAsia="Times New Roman" w:hAnsi="Times New Roman"/>
          <w:sz w:val="14"/>
          <w:szCs w:val="14"/>
          <w:color w:val="auto"/>
        </w:rPr>
        <w:t>Our growth will place a significant strain on our management, operational, financial and information technology resources. We will need to continually improve existing procedures and controls, as well as implement new transaction processing, operational and financial systems and procedures and controls to expand, train and manage our employee base. Our working capital needs will continue to increase as our operations grow. Failure to manage our growth effectively or obtain necessary working capital could have a material adverse effect on our business, results of operations, cash flows and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overseas operations are subject to various operational and financial risks that could adversely affect our business.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services we provide outside the U.S. are subject to risks resulting from changes in tariffs, trade restrictions, trade agreements, tax rules and policies, difficulties in managing or overseeing foreign operations and agents, different liability standards, issues related to compliance with anti-corruption laws, such as the Foreign Corrupt Practices Act and the U.K. Bribery Act, data protection, trade compliance and intellectual property laws of countries that do not protect our rights relating to our intellectual property, including our proprietary information systems, to the same extent as U.S. laws. The occurrence or consequences of any of these factors may restrict our ability to operate in the affected region or decrease the profitability of our operations in that region. In addition, as we expand our business in foreign countries, we will be exposed to increased risk of loss from foreign currency fluctuations and exchange controls.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exposed to currency exchange rate fluctuations because a significant proportion of our assets, liabilities and earnings are denominated in foreign currencies.</w:t>
      </w:r>
    </w:p>
    <w:p>
      <w:pPr>
        <w:spacing w:after="0" w:line="202"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We present our financial statements in U.S. dollars (“USD”), but we hold a significant proportion of our net assets and generate income in non-USD currencies, primarily the Euro and British pound sterling. Consequently, a depreciation of non-USD currencies relative to the USD could have an adverse impact on our financial results as further discussed in Item 7A, “Quantitative and Qualitative Disclosures about Market Risk.”</w:t>
      </w:r>
    </w:p>
    <w:p>
      <w:pPr>
        <w:spacing w:after="0" w:line="157"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National and regional differences in monetary policy may cause the value of the non-USD currencies to fluctuate against the USD. Currency volatility contributes to variations in our revenue and expenses in foreign currency jurisdictions. Accordingly, fluctuations in currency exchange rates could adversely affect our business and financial condition.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inability to successfully manage the costs and operational difficulties of adding new customers and business may negatively affect our financial condition and operations.</w:t>
      </w:r>
    </w:p>
    <w:p>
      <w:pPr>
        <w:spacing w:after="0" w:line="202"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Establishing new customer relationships or adding operational sites for existing customers requires a significant amount of time, operational focus and capital. Although we typically partner with our new customers to ensure that onboarding is smooth, our inability to integrate new customers or operational sites into our technology systems or recruit additional employees to manage new customer relationships or the incurrence of higher than anticipated costs to onboard new customers may negatively affect our financial condition or operations.</w:t>
      </w:r>
    </w:p>
    <w:p>
      <w:pPr>
        <w:spacing w:after="0" w:line="15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In addition, our operations can require a significant commitment of capital in the form of shelving, racking and other warehousing systems that may be necessary to implement warehouse solutions for our customers. These costs are often billed to the customer over the expected length of the customer relationship. To the extent that a customer defaults on its obligations under its agreement with us, we could be forced to take a significant loss on the unrecovered portion of the upfront capital costs.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contractual terms between us and our customers could expose us to penalties and other costs in the event we do not meet the contractually prescribed performance levels.</w:t>
      </w:r>
    </w:p>
    <w:p>
      <w:pPr>
        <w:spacing w:after="0" w:line="202"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We maintain long-term contracts with the majority of our customers, many of which include performance-based minimum levels of service. Although we manage our business to exceed prescribed performance levels, our inability to meet these service levels, whether due to labor shortages, volume peaks, our inability to procure temporary labor,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12" w:name="page13"/>
    <w:bookmarkEnd w:id="12"/>
    <w:p>
      <w:pPr>
        <w:ind w:right="140"/>
        <w:spacing w:after="0" w:line="287" w:lineRule="auto"/>
        <w:rPr>
          <w:sz w:val="20"/>
          <w:szCs w:val="20"/>
          <w:color w:val="auto"/>
        </w:rPr>
      </w:pPr>
      <w:r>
        <w:rPr>
          <w:rFonts w:ascii="Times New Roman" w:cs="Times New Roman" w:eastAsia="Times New Roman" w:hAnsi="Times New Roman"/>
          <w:sz w:val="14"/>
          <w:szCs w:val="14"/>
          <w:color w:val="auto"/>
        </w:rPr>
        <w:t>technological malfunctions or other events that may or may not be within our control, may expose us to penalties or incremental costs or lead to the termination of customer contracts, any of which could negatively affect our business and financial condition.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operations are subject to seasonal fluctuations, and our inability to manage these fluctuations could negatively affect our business and our results of operations.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Many of our customers typically realize a significant portion of their sales during the holiday season in the fourth quarter of each calendar year. Although not all of our customers experience the same seasonal variation, and some customers may have seasonal peaks that occur in periods other than the fourth quarter, the seasonality of our customers’ businesses places higher demands on our services during peak periods, requiring us to take measures, including temporarily expanding our workforce, to meet our customers’ demands. Our failure to meet our customers’ expectations during these seasonal peaks may negatively affect our customer relationships, could expose us to penalties under our contractual arrangements with customers and ultimately could negatively affect our business and our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Damage to our reputation through unfavorable publicity or the actions of our employees or temporary workers could adversely affect our financial condition.</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success depends on our ability to consistently deliver operational excellence and strong customer service. Our inability to deliver our services and solutions as promised on a consistent basis, or our customers having a negative experience or otherwise becoming dissatisfied, can negatively impact our relationships with new or existing customers and adversely affect our brand and reputation, which could, in turn, adversely affect revenue and earnings growth. Adverse publicity (whether or not justified) relating to activities by our employees, contractors, agents or others with whom we do business, such as customer service issues, could tarnish our reputation and reduce the value of our brand. With the increase in the use of social media outlets such as LinkedIn, X (formerly Twitter), Facebook, Instagram and YouTube, adverse publicity can be disseminated quickly and broadly, making it increasingly difficult for us to effectively respond. This unfavorable publicity could also require us to allocate significant resources to rebuild our reputation.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risks associated with the handling of customer inventory.</w:t>
      </w:r>
    </w:p>
    <w:p>
      <w:pPr>
        <w:spacing w:after="0" w:line="202"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Under some of our agreements, we maintain the inventory of our customers, some of which may be significant in value. Our failure to properly handle and safeguard such inventory exposes us to potential claims and expenses as well as harm to our business and reputation.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Risks Related to Our Use of Technology</w:t>
      </w:r>
    </w:p>
    <w:p>
      <w:pPr>
        <w:spacing w:after="0" w:line="200" w:lineRule="exact"/>
        <w:rPr>
          <w:sz w:val="20"/>
          <w:szCs w:val="20"/>
          <w:color w:val="auto"/>
        </w:rPr>
      </w:pPr>
    </w:p>
    <w:p>
      <w:pPr>
        <w:ind w:right="3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will be seriously harmed if we fail to develop, implement, maintain, upgrade, enhance, protect and integrate our information technology systems, including the systems of any businesses that we acquire.</w:t>
      </w:r>
    </w:p>
    <w:p>
      <w:pPr>
        <w:spacing w:after="0" w:line="14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We rely heavily on our information technology systems in managing our business; they are a key component of our customer-facing services and internal growth strategy. In general, we expect our customers to continue to demand more sophisticated, fully integrated technology. To keep pace with changing technologies and customer demands, we must correctly address market trends and enhance the features and functionality of our proprietary technology platform in response to these trends. This process of continuous enhancement may lead to significant ongoing software development costs, which will continue to increase if we pursue new acquisitions of companies and their current systems. In addition, we may fail to accurately determine the needs of our customers or trends in the logistics industry, or we may fail to respond appropriately by implementing functionality for our technology platform in a timely or cost-effective manner. Any such failures could result in decreased demand for our services and a corresponding decrease in our revenues.</w:t>
      </w:r>
    </w:p>
    <w:p>
      <w:pPr>
        <w:spacing w:after="0" w:line="167"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If our information technology systems are unable to manage high volumes with reliability, accuracy and speed as we grow, or if such systems are not suited to manage the various services we offer, our service levels and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81" w:right="359" w:bottom="1440" w:gutter="0" w:footer="0" w:header="0"/>
        </w:sectPr>
      </w:pPr>
    </w:p>
    <w:bookmarkStart w:id="13" w:name="page14"/>
    <w:bookmarkEnd w:id="13"/>
    <w:p>
      <w:pPr>
        <w:ind w:right="200"/>
        <w:spacing w:after="0" w:line="287" w:lineRule="auto"/>
        <w:rPr>
          <w:sz w:val="20"/>
          <w:szCs w:val="20"/>
          <w:color w:val="auto"/>
        </w:rPr>
      </w:pPr>
      <w:r>
        <w:rPr>
          <w:rFonts w:ascii="Times New Roman" w:cs="Times New Roman" w:eastAsia="Times New Roman" w:hAnsi="Times New Roman"/>
          <w:sz w:val="14"/>
          <w:szCs w:val="14"/>
          <w:color w:val="auto"/>
        </w:rPr>
        <w:t>efficiency could decline. In addition, if we fail to hire and retain qualified personnel to implement, protect and maintain our information technology systems, or if we fail to enhance our systems to meet our customers’ needs, our results of operations could be negatively impacted.</w:t>
      </w:r>
    </w:p>
    <w:p>
      <w:pPr>
        <w:spacing w:after="0" w:line="14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Our technology may not be successful or may not achieve the desired results, and we may require additional training or different personnel to successfully implement this technology. Our technology development process may be subject to cost overruns or delays in obtaining the expected results, which may result in disruptions to our operations. Technology and new market entrants may also disrupt the way we and our competitors operate.</w:t>
      </w:r>
    </w:p>
    <w:p>
      <w:pPr>
        <w:spacing w:after="0" w:line="157" w:lineRule="exact"/>
        <w:rPr>
          <w:sz w:val="20"/>
          <w:szCs w:val="20"/>
          <w:color w:val="auto"/>
        </w:rPr>
      </w:pPr>
    </w:p>
    <w:p>
      <w:pPr>
        <w:ind w:right="720"/>
        <w:spacing w:after="0" w:line="287" w:lineRule="auto"/>
        <w:rPr>
          <w:sz w:val="20"/>
          <w:szCs w:val="20"/>
          <w:color w:val="auto"/>
        </w:rPr>
      </w:pPr>
      <w:r>
        <w:rPr>
          <w:rFonts w:ascii="Times New Roman" w:cs="Times New Roman" w:eastAsia="Times New Roman" w:hAnsi="Times New Roman"/>
          <w:sz w:val="14"/>
          <w:szCs w:val="14"/>
          <w:color w:val="auto"/>
        </w:rPr>
        <w:t>If we fail to successfully implement critical technology, if our technology does not provide the anticipated benefits or it does not meet market demands, we may be placed at a competitive disadvantage and could lose customers, materially adversely impacting our financial condition and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failure of our information technology infrastructure or a breach of our information systems, networks or processes may have a material adverse effect on our business.</w:t>
      </w:r>
    </w:p>
    <w:p>
      <w:pPr>
        <w:spacing w:after="0" w:line="20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The efficient operation of our business depends on our information technology systems, including internet and cloud-based services, for many activities important to our business. We also rely on third parties and virtualized infrastructure to operate our information technology systems. Despite significant testing for risk management, external and internal risks, such as malware, insecure coding, “Acts of God,” data leakage and human error pose a direct threat to the stability or effectiveness of our information technology systems and operations. The failure of our information technology systems to perform as we anticipate could adversely affect our business through transaction errors, billing and invoicing errors, internal recordkeeping and reporting errors, processing inefficiencies and loss of sales, receivables collection or customers. Any such failure could result in harm to our reputation and have an ongoing adverse impact on our business, results of operations and financial condition, including after the underlying failures have been remedied.</w:t>
      </w:r>
    </w:p>
    <w:p>
      <w:pPr>
        <w:spacing w:after="0" w:line="16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We may also be subject to cyberattacks and other intentional hacking. Any failure to identify and address such defects or errors or prevent a cyberattack could result in service interruptions, operational difficulties, loss of revenues or market share, liabilities to our customers or others, the diversion of corporate resources, injury to our reputation or increased service and maintenance costs. Addressing such issues could prove to be impossible or very costly and responding to the resulting claims or liability could similarly involve substantial cost. In addition, recently, regulatory and enforcement focus on data protection has heightened in the U.S. and abroad, particularly in the European Union (“EU”), and failure to comply with applicable U.S. or foreign data protection regulations or other data protection standards may expose us to litigation, fines, sanctions or other penalties, which could harm our business, its reputation, results of operations and financial condition.</w:t>
      </w:r>
    </w:p>
    <w:p>
      <w:pPr>
        <w:spacing w:after="0" w:line="336"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Issues related to the intellectual property rights on which our business depends, whether related to our failure to enforce our own rights or infringement claims brought by others, could have a material adverse effect on our business, financial condition and results of operations.</w:t>
      </w:r>
    </w:p>
    <w:p>
      <w:pPr>
        <w:spacing w:after="0" w:line="14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use both internally developed and purchased technologies in conducting our business. It is possible that users of these technologies, whether internally developed or purchased, could be claimed to infringe upon or violate the intellectual property rights of third parties. In the event that a claim is made against us by a third party for the infringement of intellectual property rights, a settlement or adverse judgment against us could result in increased costs to license the technology or a legal prohibition against continued use of the technology. Thus, our failure to obtain, maintain or enforce our intellectual property rights could have a material adverse effect on our business, financial condition and results of operations.</w:t>
      </w:r>
    </w:p>
    <w:p>
      <w:pPr>
        <w:spacing w:after="0" w:line="16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We rely on a combination of intellectual property rights, including patents, copyrights, trademarks, domain names, trade secrets, intellectual property licenses and other contractual rights, to protect our intellectual property and technology. Any of our owned or licensed intellectual property rights could be challenged, invalidated, circumvented, infringed or misappropriated; our trade secrets and other confidential information could be disclosed in an unauthorized manner to third parties; or we may fail to secure the rights to intellectual property developed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14" w:name="page15"/>
    <w:bookmarkEnd w:id="14"/>
    <w:p>
      <w:pPr>
        <w:ind w:right="160"/>
        <w:spacing w:after="0" w:line="287" w:lineRule="auto"/>
        <w:rPr>
          <w:sz w:val="20"/>
          <w:szCs w:val="20"/>
          <w:color w:val="auto"/>
        </w:rPr>
      </w:pPr>
      <w:r>
        <w:rPr>
          <w:rFonts w:ascii="Times New Roman" w:cs="Times New Roman" w:eastAsia="Times New Roman" w:hAnsi="Times New Roman"/>
          <w:sz w:val="14"/>
          <w:szCs w:val="14"/>
          <w:color w:val="auto"/>
        </w:rPr>
        <w:t>our employees, contractors and others. Efforts to enforce our intellectual property rights may be time-consuming and costly, distract management’s attention, divert our resources in other ways and ultimately be unsuccessful. Moreover, should we fail to develop and properly manage future intellectual property, this could adversely affect our market positions and business opportunities.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Risks Related to Our Credit and Liquidity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Challenges in the commercial and credit environment may adversely affect our future access to capital on favorable terms.</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Volatility in the world financial markets could increase borrowing costs or affect our ability to access the capital markets. Our ability to issue debt or enter into other financing arrangements on acceptable terms could be adversely affected if there is a material decline in the demand for our services or in the solvency of our customers or suppliers or if there are other significantly unfavorable changes in economic conditions.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incurred debt obligations that could adversely affect our business and profitability and our ability to meet other obligations.</w:t>
      </w:r>
    </w:p>
    <w:p>
      <w:pPr>
        <w:spacing w:after="0" w:line="20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Our inability to generate sufficient cash flows to satisfy our debt obligations, or to refinance our indebtedness on commercially reasonable terms or at all, could materially and adversely affect our financial position and results of operations. Further, failure to comply with the covenants under our indebtedness may have a material adverse impact on our operations. If we fail to comply with any of the covenants under our debt obligations and are unable to obtain a waiver or amendment, such failure may result in an event of default under our indebtedness. We may not have sufficient liquidity to repay or refinance our indebtedness if such indebtedness were accelerated upon an event of default. We may also incur additional indebtedness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Risks Related to Third-Party Relationships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may be materially adversely affected by labor disputes or organizing efforts.</w:t>
      </w:r>
    </w:p>
    <w:p>
      <w:pPr>
        <w:spacing w:after="0" w:line="202"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Labor disputes involving our customers could affect our operations. If our customers experience plant slowdowns or closures because they are unable to negotiate labor contracts, our revenue and profitability could be negatively impacted. In particular, we derive a substantial portion of our revenue from the operation and management of facilities that are often located close to a customer’s manufacturing plant and are integrated into the customer’s production line process. If any of our customers are affected by labor disputes and consequently cease or significantly modify their operations at a plant served by us, we may experience significant revenue loss and shutdown costs, including costs related to early termination of leases.</w:t>
      </w:r>
    </w:p>
    <w:p>
      <w:pPr>
        <w:spacing w:after="0" w:line="16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In Europe, our business activities rely on a large amount of labor, including a number of workers who are affiliated with trade unions and other staff representative institutions. A deteriorating economic environment may result in tensions in industrial relations, which may lead to industrial action within our European operations which could have a direct impact on our business operations. Generally, any deterioration in industrial relations in our European operations, such as general strike activities or other material labor disputes, could have an adverse effect on our revenues, earnings and financial position.</w:t>
      </w:r>
    </w:p>
    <w:p>
      <w:pPr>
        <w:spacing w:after="0" w:line="16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Although our workforce in the U.S. is not unionized, labor unions have, from time to time, attempted to organize our employees. Successful unionization of our employees or organizing efforts could lead to business interruptions, work stoppages and the reduction of service levels due to work rules and could have an adverse effect on our customer relationships and our revenues, earnings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8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i w:val="1"/>
          <w:iCs w:val="1"/>
          <w:color w:val="auto"/>
        </w:rPr>
        <w:t>Any failure to properly manage our temporary workers could have a material adverse impact on our revenues, earnings and financial position.</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Our business uses a large number of temporary workers in our operations. We cannot guarantee that temporary workers are as well-trained as our other employees. Specifically, we may be exposed to the risk that temporary workers may not perform their assignments in a satisfactory manner or may not comply with our safety rules in an appropriate manner, whether as a result of their lack of experience or otherwise. If such risks materialize, they could have a material adverse effect on our business and financial condition.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Risks Related to Litigation and Regulations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involved in lawsuits and are subject to various claims that could result in significant expenditures and impact our operations.</w:t>
      </w:r>
    </w:p>
    <w:p>
      <w:pPr>
        <w:spacing w:after="0" w:line="191"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4"/>
          <w:szCs w:val="14"/>
          <w:color w:val="auto"/>
        </w:rPr>
        <w:t>The nature of our business exposes us to the potential for various types of claims and litigation. We are subject to claims and litigation related to our customer contracts and relationships, labor and employment, personal injury, vehicular accidents, cargo and other property damage, business practices, environmental liability and other matters, including claims asserted under various other theories of agency or employer liability. Claims against us may exceed the amount of insurance coverage that we have or may not be covered by insurance at all. Businesses that we acquire also increase our exposure to litigation. Material increases in liability claims or workers’ compensation claims, the unfavorable resolution of claims or our failure to recover, in full or in part, under indemnity provisions could materially and adversely affect our operating results. In addition, significant increases in insurance costs or the inability to purchase insurance as a result of these claims could affect our earnings.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risks associated with a defined benefit plan for our current and former employees, which could have a material adverse effect on our earnings and financial position.</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We maintain a defined benefit pension plan in the U.K. A decline in interest rates or lower returns on funded plan assets may cause increases in the expense and funding requirements for this plan. Despite past amendments that froze our defined benefit pension plan to new participants and curtailed benefits, this pension plan remains subject to volatility associated with interest rates, inflation, returns on plan assets, other actuarial assumptions and statutory funding requirements. Any of these factors could lead to a significant increase in the expense of this plan and a deterioration in the solvency of the plan, which could significantly increase our contribution requirements. As a result, we are unable to predict the effect on our financial statements associated with our defined benefit pension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laws and regulations for U.S. and multinational companies may increase our tax liability.</w:t>
      </w:r>
    </w:p>
    <w:p>
      <w:pPr>
        <w:spacing w:after="0" w:line="20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U.S. Congress, the Organisation for Economic Co-operation and Development (“OECD”), the EU and other government agencies in jurisdictions in which we and our affiliates do business have maintained a focus on the taxation of multinational companies. During 2023, the OECD issued administrative guidance for the Pillar Two Global Anti-Base Erosion rules (“Pillar Two”), which generally imposes a 15% global minimum tax on multinational companies. Many Pillar Two rules are effective for fiscal years beginning on January 1, 2024, with other aspects to be effective from 2025. The Company regularly monitors developments in its jurisdictions and considers the impact of the tax-related proposals as they arise.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regulations, which could negatively impact our business.</w:t>
      </w:r>
    </w:p>
    <w:p>
      <w:pPr>
        <w:spacing w:after="0" w:line="20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Our operations are regulated and licensed by various governmental agencies at the local, state and federal levels in the U.S. and in the foreign countries where we operate. These regulatory agencies have authority and oversight of domestic and international activities. Our subsidiaries must also comply with applicable regulations and requirements of various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9" w:right="359" w:bottom="1440" w:gutter="0" w:footer="0" w:header="0"/>
        </w:sectPr>
      </w:pPr>
    </w:p>
    <w:bookmarkStart w:id="16" w:name="page17"/>
    <w:bookmarkEnd w:id="16"/>
    <w:p>
      <w:pPr>
        <w:ind w:right="160"/>
        <w:spacing w:after="0" w:line="264" w:lineRule="auto"/>
        <w:rPr>
          <w:sz w:val="20"/>
          <w:szCs w:val="20"/>
          <w:color w:val="auto"/>
        </w:rPr>
      </w:pPr>
      <w:r>
        <w:rPr>
          <w:rFonts w:ascii="Times New Roman" w:cs="Times New Roman" w:eastAsia="Times New Roman" w:hAnsi="Times New Roman"/>
          <w:sz w:val="14"/>
          <w:szCs w:val="14"/>
          <w:color w:val="auto"/>
        </w:rPr>
        <w:t>The regulatory landscape in which we operate is constantly evolving and subject to significant change, including as a result of evolving political and social pressures. Future laws, regulations and regulatory reforms may be more stringent and may require changes to our operating practices that influence the demand for our services or require us to incur significant additional costs. We are unable to predict the impact that recently enacted and future regulations may have on our business. If higher costs are incurred by us as a result of future changes in regulations, this could adversely affect our results of operations to the extent we are unable to obtain a corresponding increase in price from our customers.</w:t>
      </w:r>
    </w:p>
    <w:p>
      <w:pPr>
        <w:spacing w:after="0" w:line="160"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Proposed or pending legislative or regulatory changes, or future legislative or regulatory changes, at the federal, state or local level may decrease demand for our services, increase our costs, including our labor costs, and negatively affect our business and our results of operations.</w:t>
      </w:r>
    </w:p>
    <w:p>
      <w:pPr>
        <w:spacing w:after="0" w:line="14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business is subject to possible regulatory and legislative changes that may impact our operations, including but not limited to changes that would encourage workers to unionize, make it easier for workers to collectively bargain, increase operational requirements on our business or mandate certain restrictions on the terms of employment for individual workers, including how often they can work or how long they can work in any individual shift. Any and all of these changes or other similar changes could have significant implications for our business model, including increasing our labor costs, reducing our operational flexibility and restricting our ability to meet our customers’ expectations and demands, any of which could negatively affect our business and our results of operations. If such regulations are adopted, they could increase our cost of operations or hinder our ability to meet our customers’ expectations and demands, either of which would negatively affect our business and our results of operations.</w:t>
      </w:r>
    </w:p>
    <w:p>
      <w:pPr>
        <w:spacing w:after="0" w:line="167"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Additionally, significant regulatory changes at the federal, state or local level may negatively affect economic output, cause growth to slow, reduce consumer spending and sentiment and result in decreased demand for our services, negatively affecting our business and our results of operations.</w:t>
      </w:r>
    </w:p>
    <w:p>
      <w:pPr>
        <w:spacing w:after="0" w:line="143"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Economic recessions and other factors, such as heightened geopolitical tensions or conflict, that reduce consumer spending, both in North America and Europe, could have a material adverse impact on our business.</w:t>
      </w:r>
    </w:p>
    <w:p>
      <w:pPr>
        <w:spacing w:after="0" w:line="14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Our performance is affected by recessionary economic cycles, downturns in customers’ business cycles and changes in customers’ business practices. Our customers experience cyclical fluctuations in demand for their products due to economic recessions, which reduces the demand for our services and could adversely affect our business, results of operations, cash flows and financial condition. The ramifications of any period of heightened geopolitical tensions or conflicts, including increased international trade sanctions, may negatively impact regional and global economic markets, including where we operate, may cause supply chain disruptions and may increase costs for labor, transportation and energy. Any period of heightened geopolitical tensions or conflict can increase financial market volatility and could negatively affect our ability to raise additional capital when required. While we do not conduct business in Russia, the conflict and its effects could adversely affect our business, results of operations, cash flows and financial condition.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Risks Related to Environmental, Social and Governance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Compliance with environmental laws and regulations could result in significant costs that adversely affect our consolidated results of operations.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Our operating locations are subject to environmental laws and regulations relating to the protection of the environment and health and safety matters, including those governing discharges of pollutants into the air and water, the management and disposal of hazardous substances and wastes and the clean-up of contaminated sites. The operation of our businesses entails risks under environmental laws and regulations. For example, certain jurisdictions including the State of California enacted legislation requiring certain companies to disclose GHG emissions and climate-related financial risk information. We could incur significant costs, including clean-up costs, fines and sanctions and claims by third parties for property damage and personal injury, as a result of violations of or liabilities under these laws and regulations. In addition, potentially significant expenditures could be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color w:val="auto"/>
        </w:rPr>
        <w:t>comply with environmental laws and regulations, including requirements that may be adopted or imposed in the future.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achieve our ESG goals is subject to risks, many of which are outside our control, and our reputation could be harmed if we fail to meet such goals.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ability to achieve our ESG goals, including our goal to achieve 30% reduction in Greenhouse Gas (“GHG”) emissions by 2030, and to accurately and transparently report our progress presents numerous operational, financial, legal and other risks and may be dependent on the actions of suppliers and other third parties, all of which are outside our control. If we are unable to meet our ESG goals or evolving stakeholder expectations and industry standards, our reputation could be negatively impacted. If, as a result of their assessment of our ESG practices, certain investors are unsatisfied with our actions or progress, they may reconsider their investment in our Company. If the nature, scope and complexity of ESG reporting, diligence and disclosure requirements expand, we may have to undertake additional costs to control, assess and report on ESG metrics. Any failure or perceived failure to satisfy various ESG reporting standards within the timelines we announce, or at all, could increase the risk of litigation.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Risks Related to the Separation</w:t>
      </w:r>
    </w:p>
    <w:p>
      <w:pPr>
        <w:spacing w:after="0" w:line="20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If the Separation, together with certain related transactions, does not qualify as a transaction that is generally tax-free for U.S. federal income tax purposes, we could be subject to significant tax liabilities and, in certain circumstances, we could be required to indemnify XPO for material amounts of taxes and other related amounts pursuant to indemnification obligations under the Tax Matters Agreement by and between XPO and GXO (the “TMA”).</w:t>
      </w:r>
    </w:p>
    <w:p>
      <w:pPr>
        <w:spacing w:after="0" w:line="15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In connection with the Separation, XPO received an opinion from outside counsel regarding the qualification of certain elements of the Separation under Section 355 of the Internal Revenue Code (the “Code”). The opinion of counsel was based upon and relies on, among other things, various facts and assumptions, as well as certain representations, statements and undertakings of XPO. Notwithstanding the receipt of the opinion of counsel, the U.S. Internal Revenue Service (the “IRS”) could determine that the Separation and/or certain related transactions should be treated as taxable transactions for U.S. federal income tax purposes if it determines that any of the representations, assumptions or undertakings upon which the opinion of counsel was based are false or have been violated.</w:t>
      </w:r>
    </w:p>
    <w:p>
      <w:pPr>
        <w:spacing w:after="0" w:line="16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If the Separation, together with certain related transactions, were to fail to qualify as a transaction that is generally tax-free for U.S. federal income tax purposes under Sections 355 and 368(a)(1)(D) of the Code, XPO would recognize taxable gain as if it had sold the GXO common stock in a taxable sale for its fair market value, and XPO stockholders who receive such GXO shares in the distribution would be subject to tax as if they had received a taxable distribution equal to the fair market value of such shares.</w:t>
      </w:r>
    </w:p>
    <w:p>
      <w:pPr>
        <w:spacing w:after="0" w:line="15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In addition, as part of and before the Separation, XPO and its subsidiaries completed an internal reorganization, and XPO, GXO and their respective subsidiaries incurred certain tax costs in connection with the internal reorganization, including non-U.S. tax costs resulting from transactions in non-U.S. jurisdictions, which may be material. With respect to certain transactions undertaken as part of the internal reorganization, XPO obtained opinions of external tax advisors regarding the tax treatment of such transactions. If any of these representations or statements is, or becomes, inaccurate or incomplete, or if XPO, GXO or their respective subsidiaries do not fulfill or otherwise comply with any such undertakings or covenants, such opinions may be invalid or the conclusions reached therein could be jeopardized. Further, notwithstanding receipt of any such tax opinions, there can be no assurance that the relevant taxing authorities will not assert that the tax treatment of the relevant transactions differs from the conclusions reached in the relevant tax opinions. In the event the relevant taxing authorities prevail with any challenge in respect of any relevant transaction, XPO, GXO and their subsidiaries could be subject to significant tax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Risks Related to Our 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Any stockholder’s percentage of ownership in GXO may be diluted in the future at any given time.</w:t>
      </w:r>
    </w:p>
    <w:p>
      <w:pPr>
        <w:spacing w:after="0" w:line="2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In the future, existing holders of our common stock may be diluted because of equity issuances for acquisitions, capital market transactions or otherwise, including any equity awards that we will grant to our directors, officers and employees. Our employees have stock-based awards that correspond to shares of our common stock after the Separation as a result of the conversion of their XPO stock-based awards. In addition, the compensation committee of our board of directors has granted and is likely to continue to grant additional stock-based awards to our employees under our employee benefits plans. Such awards will have a dilutive effect on the number of GXO shares outstanding and therefore on our earnings per share, which could adversely affect the market price of our common stock.</w:t>
      </w:r>
    </w:p>
    <w:p>
      <w:pPr>
        <w:spacing w:after="0" w:line="162"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Certain provisions in GXO’s amended and restated certificate of incorporation and amended and restated bylaws, and of Delaware law, may prevent or delay an acquisition of GXO, which could decrease the trading price of GXO’s common stock.</w:t>
      </w:r>
    </w:p>
    <w:p>
      <w:pPr>
        <w:spacing w:after="0" w:line="14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contain, and Delaware law contains, provisions that are intended to deter coercive takeover practices and inadequate takeover bids by making such practices or bids unacceptably expensive to the bidder and to encourage prospective acquirers to negotiate with our board of directors rather than to attempt a hostile takeover. These provisions include:</w:t>
      </w:r>
    </w:p>
    <w:p>
      <w:pPr>
        <w:spacing w:after="0" w:line="157" w:lineRule="exact"/>
        <w:rPr>
          <w:sz w:val="20"/>
          <w:szCs w:val="20"/>
          <w:color w:val="auto"/>
        </w:rPr>
      </w:pPr>
    </w:p>
    <w:p>
      <w:pPr>
        <w:ind w:left="520" w:hanging="194"/>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remaining directors to fill vacancies on our board of directors;</w:t>
      </w:r>
    </w:p>
    <w:p>
      <w:pPr>
        <w:spacing w:after="0" w:line="23" w:lineRule="exact"/>
        <w:rPr>
          <w:rFonts w:ascii="Times New Roman" w:cs="Times New Roman" w:eastAsia="Times New Roman" w:hAnsi="Times New Roman"/>
          <w:sz w:val="14"/>
          <w:szCs w:val="14"/>
          <w:color w:val="auto"/>
        </w:rPr>
      </w:pPr>
    </w:p>
    <w:p>
      <w:pPr>
        <w:ind w:left="520" w:hanging="194"/>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stockholders’ ability to call a special stockholder meeting or act by written consent;</w:t>
      </w:r>
    </w:p>
    <w:p>
      <w:pPr>
        <w:spacing w:after="0" w:line="8" w:lineRule="exact"/>
        <w:rPr>
          <w:rFonts w:ascii="Times New Roman" w:cs="Times New Roman" w:eastAsia="Times New Roman" w:hAnsi="Times New Roman"/>
          <w:sz w:val="14"/>
          <w:szCs w:val="14"/>
          <w:color w:val="auto"/>
        </w:rPr>
      </w:pPr>
    </w:p>
    <w:p>
      <w:pPr>
        <w:ind w:left="520" w:hanging="194"/>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rules regarding how stockholders may present proposals or nominate directors for election at stockholder meetings; and</w:t>
      </w:r>
    </w:p>
    <w:p>
      <w:pPr>
        <w:spacing w:after="0" w:line="8" w:lineRule="exact"/>
        <w:rPr>
          <w:rFonts w:ascii="Times New Roman" w:cs="Times New Roman" w:eastAsia="Times New Roman" w:hAnsi="Times New Roman"/>
          <w:sz w:val="14"/>
          <w:szCs w:val="14"/>
          <w:color w:val="auto"/>
        </w:rPr>
      </w:pPr>
    </w:p>
    <w:p>
      <w:pPr>
        <w:ind w:left="520" w:hanging="194"/>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of our board of directors to issue preferred stock without stockholder approval.</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In addition, we are subject to Section 203 of the Delaware General Corporate Law (the “DGCL”), which could have the effect of delaying or preventing a change of control. Section 203 provides that, subject to limited exceptions, persons that acquire, or are affiliated with persons that acquire, more than 15% of the outstanding voting stock of a Delaware corporation may not engage in a business combination with that corporation, including by merger, consolidation or acquisitions of additional shares, for a three-year period following the date on which that person or any of its affiliates become the holder of more than 15% of the corporation’s outstanding voting stock.</w:t>
      </w:r>
    </w:p>
    <w:p>
      <w:pPr>
        <w:spacing w:after="0" w:line="1"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4"/>
          <w:szCs w:val="14"/>
          <w:color w:val="auto"/>
        </w:rPr>
        <w:t>We believe these provisions will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GXO immune from takeovers; however, these provisions will apply even if the offer may be considered beneficial by some stockholders and could delay or prevent an acquisition that our board of directors determines is not in the best interests of GXO and our stockholders. These provisions may also prevent or discourage attempts to remove and replace incumbent directors.</w:t>
      </w:r>
    </w:p>
    <w:p>
      <w:pPr>
        <w:spacing w:after="0" w:line="16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In addition, in certain circumstances an acquisition or further issuance of our stock may trigger the application of Section 355(e) of the Code, causing the Separation to be taxable to XPO. Under the TMA, we are required to indemnify XPO for the resulting tax, and this indemnity obligation might discourage, delay or prevent a change of control that our stockholders may consider favorable.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GXO’s amended and restated certificate of incorporation contains an exclusive forum provision that may discourage lawsuits against GXO and GXO’s directors and officers.</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unless the board of directors otherwise determines, the state courts within the State of Delaware (or, if no state court located within the State of Delaware has jurisdiction, the federal district court for the District of Delaware) will be the sole and exclusive forum for any derivative action or proceeding brought on behalf of GXO, any action asserting a claim for or based on a breach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9" w:right="319" w:bottom="1440" w:gutter="0" w:footer="0" w:header="0"/>
        </w:sectPr>
      </w:pPr>
    </w:p>
    <w:bookmarkStart w:id="19" w:name="page20"/>
    <w:bookmarkEnd w:id="19"/>
    <w:p>
      <w:pPr>
        <w:jc w:val="both"/>
        <w:ind w:right="160"/>
        <w:spacing w:after="0" w:line="264" w:lineRule="auto"/>
        <w:rPr>
          <w:sz w:val="20"/>
          <w:szCs w:val="20"/>
          <w:color w:val="auto"/>
        </w:rPr>
      </w:pPr>
      <w:r>
        <w:rPr>
          <w:rFonts w:ascii="Times New Roman" w:cs="Times New Roman" w:eastAsia="Times New Roman" w:hAnsi="Times New Roman"/>
          <w:sz w:val="14"/>
          <w:szCs w:val="14"/>
          <w:color w:val="auto"/>
        </w:rPr>
        <w:t>fiduciary duty owed by any current or former director or officer of GXO to GXO or to GXO stockholders, including a claim alleging the aiding and abetting of such a breach of fiduciary duty, any action asserting a claim against GXO or any current or former director or officer of GXO arising pursuant to any provision of the DGCL or our amended and restated certificate of incorporation or amended and restated bylaws, any action asserting a claim relating to or involving GXO governed by the internal affairs doctrine or any action asserting an “internal corporate claim” as that term is defined in Section 115 of the DGCL.</w:t>
      </w:r>
    </w:p>
    <w:p>
      <w:pPr>
        <w:spacing w:after="0" w:line="16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To the fullest extent permitted by law, this exclusive forum provision will apply to state and federal law claims, including claims under the federal securities laws, including the Securities Act and the Exchange Act, although GXO stockholders will not be deemed to have waived GXO’s compliance with the federal securities laws and the rules and regulations thereunder.</w:t>
      </w:r>
    </w:p>
    <w:p>
      <w:pPr>
        <w:spacing w:after="0" w:line="14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This exclusive forum provision may limit the ability of our stockholders to bring a claim in a judicial forum that such stockholders find favorable for disputes with GXO or our directors or officers, which may discourage such lawsuits against GXO or our directors or officers. Alternatively, if a court were to find this exclusive forum provision inapplicable to, or unenforceable in respect of, one or more of the specified types of actions or proceedings described above, we may incur additional costs associated with resolving such matters in other jurisdictions, which could negatively affect our business, results of operations and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9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We believe that cybersecurity is fundamental to how we operate and as such we focus on defining and managing our cybersecurity risk. With the ever-changing cybersecurity landscape and continual emergence of new threats, our Board of Directors, Audit Committee and senior management team ensure that significant resources are devoted to cybersecurity risk management and the technologies, processes and people that support it. We have an Enterprise Risk Management Committee, comprising senior leaders from key functions, and a Cybersecurity Risk Committee which utilize the National Institute of Standards and Technology (“NIST”) framework to ensure that these risks are clearly and effectively categorized and treated.</w:t>
      </w:r>
    </w:p>
    <w:p>
      <w:pPr>
        <w:spacing w:after="0" w:line="173"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We utilize comprehensive and widespread information sources and services (including third-party threat intelligence) to understand the threat landscape faced by the Company and design our protective controls accordingly using a defense-in-depth approach. The layers of these defenses are aligned to the NIST framework; Identify, Protect, Detect, Respond and Recover. The Enterprise Risk Management Committee and Cybersecurity Risk Management Committee meet regularly to consider any change to risk levels and ensure that the Company’s cybersecurity controls remain commensurate to those risk levels.</w:t>
      </w:r>
    </w:p>
    <w:p>
      <w:pPr>
        <w:spacing w:after="0" w:line="16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The Company’s Chief Information Security Officer (“CISO”) is responsible for developing and implementing our cybersecurity program and reporting on related matters to our Board of Directors. The CISO has over a decade of experience leading cybersecurity functions and over two decades in cybersecurity. The CISO leads a global team of highly trained experts covering all major cybersecurity functions including Technical Engineering and Architecture, Governance Risk and Compliance, Security Operations and Incident Response, Threat and Vulnerability Management and Security Awareness. The technologies, policies and processes associated with these functions are tested by third parties at least annually to ensure continued effectiveness and identify any opportunities for improvement. These tests and assessments are useful tools for maintaining a robust cybersecurity program to protect our investors, customers, employees, vendors and intellectual property.</w:t>
      </w:r>
    </w:p>
    <w:p>
      <w:pPr>
        <w:spacing w:after="0" w:line="167"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A full suite of cybersecurity policies exists and is applicable to all employees globally. These policies are reviewed annually and approved by relevant senior leaders. All Company employees are required to complete cybersecurity training annually, with quarterly “refreshers” throughout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20" w:name="page21"/>
    <w:bookmarkEnd w:id="20"/>
    <w:p>
      <w:pPr>
        <w:ind w:right="40"/>
        <w:spacing w:after="0" w:line="261" w:lineRule="auto"/>
        <w:rPr>
          <w:sz w:val="20"/>
          <w:szCs w:val="20"/>
          <w:color w:val="auto"/>
        </w:rPr>
      </w:pPr>
      <w:r>
        <w:rPr>
          <w:rFonts w:ascii="Times New Roman" w:cs="Times New Roman" w:eastAsia="Times New Roman" w:hAnsi="Times New Roman"/>
          <w:sz w:val="14"/>
          <w:szCs w:val="14"/>
          <w:color w:val="auto"/>
        </w:rPr>
        <w:t>We invest in our cybersecurity defenses and have implemented multiple layers of protection against all known critical threats. We have high levels of compliance to protective controls on our technical estate, robust perimeter defenses, industry-leading filtering and analysis of web and email traffic, widespread multi-factor authentication, continuous training of our employees through educational material or simulation (e.g., phishing) and 24/7 monitoring of the IT estate. We have our own “red team” that is always searching our own environment for signs of vulnerability and have a well-defined Cyber Incident Response Plan (“CIRP”) that is performed as a table-top exercise at least annually. A range of dashboards has been designed for use by the cybersecurity management team to monitor the day-to-day performance of the cybersecurity defenses and immediately remediate any sign of concern.</w:t>
      </w:r>
    </w:p>
    <w:p>
      <w:pPr>
        <w:spacing w:after="0" w:line="164"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All third-party vendors utilized by GXO undergo a cybersecurity assessment at the time of engagement. This assessment scrutinizes the third party’s cybersecurity maturity to ascertain the level of risk the third party may present to the systems and data of GXO and its customers.</w:t>
      </w:r>
    </w:p>
    <w:p>
      <w:pPr>
        <w:spacing w:after="0" w:line="145"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Our Audit Committee and our Board of Directors actively participate in discussions with management and among themselves regarding cybersecurity risks. In addition, our Board receives regular cybersecurity reports, which include a review of key performance and risk indicators, test results and related remediation and recent threats and how the Company is managing those threats.</w:t>
      </w:r>
    </w:p>
    <w:p>
      <w:pPr>
        <w:spacing w:after="0" w:line="145" w:lineRule="exact"/>
        <w:rPr>
          <w:sz w:val="20"/>
          <w:szCs w:val="20"/>
          <w:color w:val="auto"/>
        </w:rPr>
      </w:pPr>
    </w:p>
    <w:p>
      <w:pPr>
        <w:ind w:right="420"/>
        <w:spacing w:after="0" w:line="264" w:lineRule="auto"/>
        <w:rPr>
          <w:sz w:val="20"/>
          <w:szCs w:val="20"/>
          <w:color w:val="auto"/>
        </w:rPr>
      </w:pPr>
      <w:r>
        <w:rPr>
          <w:rFonts w:ascii="Times New Roman" w:cs="Times New Roman" w:eastAsia="Times New Roman" w:hAnsi="Times New Roman"/>
          <w:sz w:val="14"/>
          <w:szCs w:val="14"/>
          <w:color w:val="auto"/>
        </w:rPr>
        <w:t>Despite the continuous risk faced by the Company, we have suffered no incidents that have materially affected or are reasonably likely to materially affect the Company, including our business strategy, results of operations, or financial condition, nor have we had any widespread intrusion or incident. Notwithstanding the exhaustive approach we take to cybersecurity, we may not be successful in preventing or mitigating a cybersecurity incident that could have a material adverse effect on our business, results of operations and financial condition. While GXO maintains cybersecurity insurance, the costs related to cybersecurity threats or disruptions may not be fully insured. See Item 1A. “Risk Factors” for a discussion of cybersecurity risks.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202" w:lineRule="exact"/>
        <w:rPr>
          <w:sz w:val="20"/>
          <w:szCs w:val="20"/>
          <w:color w:val="auto"/>
        </w:rPr>
      </w:pPr>
    </w:p>
    <w:p>
      <w:pPr>
        <w:jc w:val="both"/>
        <w:ind w:right="260"/>
        <w:spacing w:after="0" w:line="287" w:lineRule="auto"/>
        <w:rPr>
          <w:sz w:val="20"/>
          <w:szCs w:val="20"/>
          <w:color w:val="auto"/>
        </w:rPr>
      </w:pPr>
      <w:r>
        <w:rPr>
          <w:rFonts w:ascii="Times New Roman" w:cs="Times New Roman" w:eastAsia="Times New Roman" w:hAnsi="Times New Roman"/>
          <w:sz w:val="14"/>
          <w:szCs w:val="14"/>
          <w:color w:val="auto"/>
        </w:rPr>
        <w:t>As of December 31, 2023, we operated in 974 facilities, including corporate offices, of which 359 facilities are owned or leased by our customers. We lease our global headquarters in Greenwich, Connecticut and our executive office in London, England. We believe that our facilities are sufficient for our current needs. In the aggregate, we occupied 199 million square feet in our locations.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ind w:left="940"/>
              <w:spacing w:after="0"/>
              <w:rPr>
                <w:sz w:val="20"/>
                <w:szCs w:val="20"/>
                <w:color w:val="auto"/>
              </w:rPr>
            </w:pPr>
            <w:r>
              <w:rPr>
                <w:rFonts w:ascii="Times New Roman" w:cs="Times New Roman" w:eastAsia="Times New Roman" w:hAnsi="Times New Roman"/>
                <w:sz w:val="13"/>
                <w:szCs w:val="13"/>
                <w:b w:val="1"/>
                <w:bCs w:val="1"/>
                <w:color w:val="auto"/>
              </w:rPr>
              <w:t>Facilities</w:t>
            </w:r>
          </w:p>
        </w:tc>
        <w:tc>
          <w:tcPr>
            <w:tcW w:w="1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left="632"/>
              <w:spacing w:after="0"/>
              <w:rPr>
                <w:sz w:val="20"/>
                <w:szCs w:val="20"/>
                <w:color w:val="auto"/>
              </w:rPr>
            </w:pPr>
            <w:r>
              <w:rPr>
                <w:rFonts w:ascii="Times New Roman" w:cs="Times New Roman" w:eastAsia="Times New Roman" w:hAnsi="Times New Roman"/>
                <w:sz w:val="13"/>
                <w:szCs w:val="13"/>
                <w:b w:val="1"/>
                <w:bCs w:val="1"/>
                <w:color w:val="auto"/>
                <w:w w:val="98"/>
              </w:rPr>
              <w:t>Square Footage</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6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b w:val="1"/>
                <w:bCs w:val="1"/>
                <w:color w:val="auto"/>
              </w:rPr>
              <w:t>Locations</w:t>
            </w: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Leased Facilities</w:t>
            </w: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Owned Facilities</w:t>
            </w:r>
          </w:p>
        </w:tc>
        <w:tc>
          <w:tcPr>
            <w:tcW w:w="1220" w:type="dxa"/>
            <w:vAlign w:val="bottom"/>
            <w:gridSpan w:val="2"/>
          </w:tcPr>
          <w:p>
            <w:pPr>
              <w:ind w:left="60"/>
              <w:spacing w:after="0" w:line="110" w:lineRule="exact"/>
              <w:rPr>
                <w:sz w:val="20"/>
                <w:szCs w:val="20"/>
                <w:color w:val="auto"/>
              </w:rPr>
            </w:pPr>
            <w:r>
              <w:rPr>
                <w:rFonts w:ascii="Times New Roman" w:cs="Times New Roman" w:eastAsia="Times New Roman" w:hAnsi="Times New Roman"/>
                <w:sz w:val="12"/>
                <w:szCs w:val="12"/>
                <w:b w:val="1"/>
                <w:bCs w:val="1"/>
                <w:color w:val="auto"/>
              </w:rPr>
              <w:t>Customer Facilities</w:t>
            </w:r>
          </w:p>
        </w:tc>
        <w:tc>
          <w:tcPr>
            <w:tcW w:w="12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Leased Facilities</w:t>
            </w: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Owned Facilities</w:t>
            </w:r>
          </w:p>
        </w:tc>
        <w:tc>
          <w:tcPr>
            <w:tcW w:w="1220" w:type="dxa"/>
            <w:vAlign w:val="bottom"/>
            <w:gridSpan w:val="3"/>
          </w:tcPr>
          <w:p>
            <w:pPr>
              <w:ind w:left="80"/>
              <w:spacing w:after="0" w:line="110" w:lineRule="exact"/>
              <w:rPr>
                <w:sz w:val="20"/>
                <w:szCs w:val="20"/>
                <w:color w:val="auto"/>
              </w:rPr>
            </w:pPr>
            <w:r>
              <w:rPr>
                <w:rFonts w:ascii="Times New Roman" w:cs="Times New Roman" w:eastAsia="Times New Roman" w:hAnsi="Times New Roman"/>
                <w:sz w:val="12"/>
                <w:szCs w:val="12"/>
                <w:b w:val="1"/>
                <w:bCs w:val="1"/>
                <w:color w:val="auto"/>
              </w:rPr>
              <w:t>Customer Facilities</w:t>
            </w:r>
          </w:p>
        </w:tc>
        <w:tc>
          <w:tcPr>
            <w:tcW w:w="1140" w:type="dxa"/>
            <w:vAlign w:val="bottom"/>
            <w:vMerge w:val="restart"/>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5"/>
        </w:trPr>
        <w:tc>
          <w:tcPr>
            <w:tcW w:w="1600" w:type="dxa"/>
            <w:vAlign w:val="bottom"/>
            <w:gridSpan w:val="2"/>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120" w:type="dxa"/>
            <w:vAlign w:val="bottom"/>
          </w:tcPr>
          <w:p>
            <w:pPr>
              <w:jc w:val="right"/>
              <w:ind w:right="455"/>
              <w:spacing w:after="0"/>
              <w:rPr>
                <w:sz w:val="20"/>
                <w:szCs w:val="20"/>
                <w:color w:val="auto"/>
              </w:rPr>
            </w:pPr>
            <w:r>
              <w:rPr>
                <w:rFonts w:ascii="Times New Roman" w:cs="Times New Roman" w:eastAsia="Times New Roman" w:hAnsi="Times New Roman"/>
                <w:sz w:val="8"/>
                <w:szCs w:val="8"/>
                <w:b w:val="1"/>
                <w:bCs w:val="1"/>
                <w:color w:val="auto"/>
              </w:rPr>
              <w:t>(1)</w:t>
            </w: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jc w:val="right"/>
              <w:ind w:right="455"/>
              <w:spacing w:after="0"/>
              <w:rPr>
                <w:sz w:val="20"/>
                <w:szCs w:val="20"/>
                <w:color w:val="auto"/>
              </w:rPr>
            </w:pPr>
            <w:r>
              <w:rPr>
                <w:rFonts w:ascii="Times New Roman" w:cs="Times New Roman" w:eastAsia="Times New Roman" w:hAnsi="Times New Roman"/>
                <w:sz w:val="8"/>
                <w:szCs w:val="8"/>
                <w:b w:val="1"/>
                <w:bCs w:val="1"/>
                <w:color w:val="auto"/>
              </w:rPr>
              <w:t>(1)</w:t>
            </w:r>
          </w:p>
        </w:tc>
        <w:tc>
          <w:tcPr>
            <w:tcW w:w="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680" w:type="dxa"/>
            <w:vAlign w:val="bottom"/>
            <w:tcBorders>
              <w:top w:val="single" w:sz="8" w:color="auto"/>
              <w:bottom w:val="single" w:sz="8" w:color="auto"/>
            </w:tcBorders>
            <w:gridSpan w:val="3"/>
            <w:shd w:val="clear" w:color="auto" w:fill="CCEEFF"/>
          </w:tcPr>
          <w:p>
            <w:pPr>
              <w:jc w:val="center"/>
              <w:ind w:left="632"/>
              <w:spacing w:after="0"/>
              <w:rPr>
                <w:sz w:val="20"/>
                <w:szCs w:val="20"/>
                <w:color w:val="auto"/>
              </w:rPr>
            </w:pPr>
            <w:r>
              <w:rPr>
                <w:rFonts w:ascii="Times New Roman" w:cs="Times New Roman" w:eastAsia="Times New Roman" w:hAnsi="Times New Roman"/>
                <w:sz w:val="13"/>
                <w:szCs w:val="13"/>
                <w:i w:val="1"/>
                <w:iCs w:val="1"/>
                <w:color w:val="auto"/>
                <w:w w:val="96"/>
              </w:rPr>
              <w:t>(in millions)</w:t>
            </w:r>
          </w:p>
        </w:tc>
        <w:tc>
          <w:tcPr>
            <w:tcW w:w="68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80"/>
        </w:trPr>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80"/>
        </w:trPr>
        <w:tc>
          <w:tcPr>
            <w:tcW w:w="16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(2)</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80"/>
        </w:trPr>
        <w:tc>
          <w:tcPr>
            <w:tcW w:w="16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1"/>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0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8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160" w:hanging="155"/>
        <w:spacing w:after="0"/>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Locations owned or leased by our customers.</w:t>
      </w:r>
    </w:p>
    <w:p>
      <w:pPr>
        <w:spacing w:after="0" w:line="20"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Excludes the United Kingdom.</w:t>
      </w:r>
    </w:p>
    <w:p>
      <w:pPr>
        <w:spacing w:after="0" w:line="11"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Locations are primarily in Asia and Latin America.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Item 8 of Part II, “Financial Statements and Supplementary Data — Note 17. “Commitments and Contingencies”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79" w:right="1440" w:bottom="1440" w:gutter="0" w:footer="0" w:header="0"/>
        </w:sectPr>
      </w:pPr>
    </w:p>
    <w:bookmarkStart w:id="22" w:name="page23"/>
    <w:bookmarkEnd w:id="22"/>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 and Dividends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is traded on the New York Stock Exchange (“NYSE”) under the symbol “GXO.” On February 12, 2024, there were approximately 83 record holders of our common stock.</w:t>
      </w:r>
    </w:p>
    <w:p>
      <w:pPr>
        <w:spacing w:after="0" w:line="20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We have never declared or paid cash dividends on our common stock. Any determination to pay dividends on our common stock will be at the discretion of our board of directors, subject to applicable laws, and will depend on our financial condition, results of operations, capital requirements, general business conditions and other factors that our board of directors considers relevant.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GXO became a standalone publicly traded company on August 2, 2021, and our common stock began regular-way trading. The following graph sets forth the cumulative total stockholder return to GXO’s stockholders for the period beginning August 2, 2021, through December 31, 2023, as well as the corresponding returns on the S&amp;P 400 MidCap Index, the S&amp;P 500 Technology Index and the S&amp;P 500 Transportation Index.</w:t>
      </w:r>
    </w:p>
    <w:p>
      <w:pPr>
        <w:spacing w:after="0" w:line="15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stock performance assumes $100 was invested on August 2, 2021, in our common stock, the S&amp;P 400 MidCap Index, the S&amp;P 500 Technology Index and the S&amp;P 500 Transportation Index, including reinvestment of dividends through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1990725</wp:posOffset>
            </wp:positionH>
            <wp:positionV relativeFrom="paragraph">
              <wp:posOffset>101600</wp:posOffset>
            </wp:positionV>
            <wp:extent cx="3186430" cy="16167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86430" cy="1616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400" w:type="dxa"/>
        <w:tblCellMar>
          <w:top w:w="0" w:type="dxa"/>
          <w:left w:w="0" w:type="dxa"/>
          <w:bottom w:w="0" w:type="dxa"/>
          <w:right w:w="0" w:type="dxa"/>
        </w:tblCellMar>
      </w:tblPr>
      <w:tr>
        <w:trPr>
          <w:trHeight w:val="168"/>
        </w:trPr>
        <w:tc>
          <w:tcPr>
            <w:tcW w:w="500" w:type="dxa"/>
            <w:vAlign w:val="bottom"/>
          </w:tcPr>
          <w:p>
            <w:pPr>
              <w:spacing w:after="0"/>
              <w:rPr>
                <w:sz w:val="14"/>
                <w:szCs w:val="14"/>
                <w:color w:val="auto"/>
              </w:rPr>
            </w:pP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8/2/21</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rPr>
              <w:t>12/31/21</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6/30/22</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12/31/22</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6/30/23</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rPr>
              <w:t>12/31/23</w:t>
            </w:r>
          </w:p>
        </w:tc>
      </w:tr>
      <w:tr>
        <w:trPr>
          <w:trHeight w:val="163"/>
        </w:trPr>
        <w:tc>
          <w:tcPr>
            <w:tcW w:w="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GXO</w:t>
            </w:r>
          </w:p>
        </w:tc>
        <w:tc>
          <w:tcPr>
            <w:tcW w:w="23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100.00</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144.01</w:t>
            </w: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68.61</w:t>
            </w: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67.69</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99.60</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96.97</w:t>
            </w:r>
          </w:p>
        </w:tc>
      </w:tr>
      <w:tr>
        <w:trPr>
          <w:trHeight w:val="168"/>
        </w:trPr>
        <w:tc>
          <w:tcPr>
            <w:tcW w:w="5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7"/>
              </w:rPr>
              <w:t>S&amp;P 400</w:t>
            </w:r>
          </w:p>
        </w:tc>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MidCap Index</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100.00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105.57</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84.28</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90.28</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97.41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103.33</w:t>
            </w:r>
          </w:p>
        </w:tc>
      </w:tr>
      <w:tr>
        <w:trPr>
          <w:trHeight w:val="172"/>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7"/>
              </w:rPr>
              <w:t>S&amp;P 500</w:t>
            </w: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Technology Index</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100.00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113.85</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82.83</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80.94</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114.99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126.59</w:t>
            </w:r>
          </w:p>
        </w:tc>
      </w:tr>
      <w:tr>
        <w:trPr>
          <w:trHeight w:val="176"/>
        </w:trPr>
        <w:tc>
          <w:tcPr>
            <w:tcW w:w="5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7"/>
              </w:rPr>
              <w:t>S&amp;P 500</w:t>
            </w:r>
          </w:p>
        </w:tc>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Transportation Index</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100.00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110.27</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89.94</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88.61</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97.43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1279"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20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our Consolidated Financial Statements and related notes included elsewhere in this Annual Report. This Form 10-K contains certain forward-looking statements that are intended to be covered by the safe harbors created by The Private Securities Litigation Reform Act of 1995. Please see “Cautionary Statement Regarding Forward-Looking Statements” and “Risk Factors” for a discussion of the uncertainties, risks and assumptions associated with these statements.</w:t>
      </w:r>
    </w:p>
    <w:p>
      <w:pPr>
        <w:spacing w:after="0" w:line="159" w:lineRule="exact"/>
        <w:rPr>
          <w:sz w:val="20"/>
          <w:szCs w:val="20"/>
          <w:color w:val="auto"/>
        </w:rPr>
      </w:pPr>
    </w:p>
    <w:p>
      <w:pPr>
        <w:ind w:right="40"/>
        <w:spacing w:after="0" w:line="271" w:lineRule="auto"/>
        <w:rPr>
          <w:rFonts w:ascii="Times New Roman" w:cs="Times New Roman" w:eastAsia="Times New Roman" w:hAnsi="Times New Roman"/>
          <w:sz w:val="14"/>
          <w:szCs w:val="14"/>
          <w:i w:val="1"/>
          <w:iCs w:val="1"/>
          <w:color w:val="0000FF"/>
        </w:rPr>
      </w:pPr>
      <w:r>
        <w:rPr>
          <w:rFonts w:ascii="Times New Roman" w:cs="Times New Roman" w:eastAsia="Times New Roman" w:hAnsi="Times New Roman"/>
          <w:sz w:val="14"/>
          <w:szCs w:val="14"/>
          <w:i w:val="1"/>
          <w:iCs w:val="1"/>
          <w:color w:val="auto"/>
        </w:rPr>
        <w:t xml:space="preserve">Also, the following discussion and analysis of our financial condition and results of operations generally discusses 2023 and 2022 items and year-to-year comparisons between 2023 and 2022. </w:t>
      </w:r>
      <w:hyperlink r:id="rId33">
        <w:r>
          <w:rPr>
            <w:rFonts w:ascii="Times New Roman" w:cs="Times New Roman" w:eastAsia="Times New Roman" w:hAnsi="Times New Roman"/>
            <w:sz w:val="14"/>
            <w:szCs w:val="14"/>
            <w:i w:val="1"/>
            <w:iCs w:val="1"/>
            <w:color w:val="auto"/>
          </w:rPr>
          <w:t>Discussions of 2021 financial condition and year-to-year comparisons between 2022 and 2021 are not included in this Annual Report and can be found in Part II, Item 7, “</w:t>
        </w:r>
        <w:r>
          <w:rPr>
            <w:rFonts w:ascii="Times New Roman" w:cs="Times New Roman" w:eastAsia="Times New Roman" w:hAnsi="Times New Roman"/>
            <w:sz w:val="14"/>
            <w:szCs w:val="14"/>
            <w:i w:val="1"/>
            <w:iCs w:val="1"/>
            <w:u w:val="single" w:color="auto"/>
            <w:color w:val="0000FF"/>
          </w:rPr>
          <w:t>Management’s Discussion</w:t>
        </w:r>
      </w:hyperlink>
      <w:r>
        <w:rPr>
          <w:rFonts w:ascii="Times New Roman" w:cs="Times New Roman" w:eastAsia="Times New Roman" w:hAnsi="Times New Roman"/>
          <w:sz w:val="14"/>
          <w:szCs w:val="14"/>
          <w:i w:val="1"/>
          <w:iCs w:val="1"/>
          <w:color w:val="auto"/>
        </w:rPr>
        <w:t xml:space="preserve"> </w:t>
      </w:r>
      <w:hyperlink r:id="rId33">
        <w:r>
          <w:rPr>
            <w:rFonts w:ascii="Times New Roman" w:cs="Times New Roman" w:eastAsia="Times New Roman" w:hAnsi="Times New Roman"/>
            <w:sz w:val="14"/>
            <w:szCs w:val="14"/>
            <w:i w:val="1"/>
            <w:iCs w:val="1"/>
            <w:u w:val="single" w:color="auto"/>
            <w:color w:val="0000FF"/>
          </w:rPr>
          <w:t>and Analysis of Financial Condition and Results of Operations</w:t>
        </w:r>
        <w:r>
          <w:rPr>
            <w:rFonts w:ascii="Times New Roman" w:cs="Times New Roman" w:eastAsia="Times New Roman" w:hAnsi="Times New Roman"/>
            <w:sz w:val="14"/>
            <w:szCs w:val="14"/>
            <w:i w:val="1"/>
            <w:iCs w:val="1"/>
            <w:color w:val="000000"/>
          </w:rPr>
          <w:t>” in our Annual Report on Form 10-K for the year ended December 31, 2022.</w:t>
        </w:r>
      </w:hyperlink>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Overview</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GXO Logistics, Inc., together with its subsidiaries (“GXO,” the “Company,” “our” or “we”), is the largest pure-play contract logistics provider in the world and a foremost innovator in the industry. We provide our customers with high-value-added warehousing and distribution, order fulfillment, e-commerce, reverse logistics and other supply chain services differentiated by our ability to deliver technology-enabled, customized solutions at scale. Our customers rely on us to move their goods with high efficiency through their supply chains — from the moment goods arrive at our warehouses through fulfillment and distribution, and the management of returned products. Our customer base includes many blue-chip leaders in sectors that demonstrate high growth and/or durable demand, with significant growth potential through customer outsourcing of logistics services.</w:t>
      </w:r>
    </w:p>
    <w:p>
      <w:pPr>
        <w:spacing w:after="0" w:line="164"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We strive to provide all customers with consistent quality service and cutting-edge automation. We also collaborate with our largest customers on planning and forecasting and assist with network optimization, working with these customers to design or redesign their supply chains to meet specific goals, such as environmental, social and governance. Our multidisciplinary, consultative approach has led to many of our key customer relationships extending for years and expanding in scope.</w:t>
      </w:r>
    </w:p>
    <w:p>
      <w:pPr>
        <w:spacing w:after="0" w:line="157"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The most dramatic growth in demand in recent years has been in e-commerce and related sectors, including omnichannel retail and other direct-to-consumer channels. We expect to attract new customers and expand the services we provide to existing customers through new projects, thus earning more of their logistics spending. We use technology to manage advanced automation, labor productivity, sustainability, safety and the complex flow of goods within sophisticated warehouse environments.</w:t>
      </w:r>
    </w:p>
    <w:p>
      <w:pPr>
        <w:spacing w:after="0" w:line="15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business model is asset-light and historically resilient in cycles, with high returns, strong free cash flow and visibility into revenue and earnings. The vast majority of our contracts with customers are long-term in nature, and our warehouse lease arrangements generally align with contract length. The Company has both fixed-price contracts (closed book or hybrid contracts) and cost-plus contracts (open book contracts)</w:t>
      </w:r>
      <w:r>
        <w:rPr>
          <w:rFonts w:ascii="Times New Roman" w:cs="Times New Roman" w:eastAsia="Times New Roman" w:hAnsi="Times New Roman"/>
          <w:sz w:val="14"/>
          <w:szCs w:val="14"/>
          <w:color w:val="0E32E1"/>
        </w:rPr>
        <w:t>.</w:t>
      </w:r>
      <w:r>
        <w:rPr>
          <w:rFonts w:ascii="Times New Roman" w:cs="Times New Roman" w:eastAsia="Times New Roman" w:hAnsi="Times New Roman"/>
          <w:sz w:val="14"/>
          <w:szCs w:val="14"/>
          <w:color w:val="auto"/>
        </w:rPr>
        <w:t xml:space="preserve"> Most of our customer contracts contain both fixed and variable components. The fixed component is typically designed to cover warehouse, technology and equipment costs, while the variable component is determined based on expected volumes and associated labor costs. Under fixed-price contracts, the Company agrees to perform the specified work for a pre-determined price. To the extent the Company’s actual costs vary from the estimates upon which the price was negotiated, the Company will generate more or less profit. Cost-plus contracts provide for the payment of allowable costs incurred during the performance of the contract plus a specified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20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On August 2, 2021, the Company became a standalone publicly traded company and its financial statements post the separation from XPO, Inc. (the “Separation”) are now prepared on a consolidated basis. Before the Separation, GXO’s historical financial statements were prepared on a standalone combined basis and were derived from the Consolidated Financial Statements and accounting records of XPO. The combined Consolidated Financial Statements for all periods presented before the Separation are now referred to as “Consolidated Financial Statements” and have been prepared under the U.S. generally accepted accounting principles (“GAAP”). GXO has one reportable segment.</w:t>
      </w:r>
    </w:p>
    <w:p>
      <w:pPr>
        <w:spacing w:after="0" w:line="162"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On October 23, 2023, the Company completed the acquisition of PFSweb, Inc. (“PFS”), an e-commerce order fulfillment company based in Irving, Texas (the “PFS Acquisition”). On May 24, 2022, the Company completed the acquisition of Clipper Logistics plc (“Clipper”), an omnichannel retail logistics specialist based in Leeds, England (the “Clipper Acquisition”). Due to the acquisitions of Clipper and PFS, comparisons in our results of operations between 2023 and 2022 are less meaningful.</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8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9,778</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8,993</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8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80"/>
        </w:trPr>
        <w:tc>
          <w:tcPr>
            <w:tcW w:w="47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Direct operating expense</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80"/>
        </w:trPr>
        <w:tc>
          <w:tcPr>
            <w:tcW w:w="4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180"/>
        </w:trPr>
        <w:tc>
          <w:tcPr>
            <w:tcW w:w="47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80"/>
        </w:trPr>
        <w:tc>
          <w:tcPr>
            <w:tcW w:w="4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0"/>
        </w:trPr>
        <w:tc>
          <w:tcPr>
            <w:tcW w:w="47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Restructuring costs and other</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4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3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0" w:type="dxa"/>
            <w:vAlign w:val="bottom"/>
          </w:tcPr>
          <w:p>
            <w:pPr>
              <w:spacing w:after="0"/>
              <w:rPr>
                <w:sz w:val="1"/>
                <w:szCs w:val="1"/>
                <w:color w:val="auto"/>
              </w:rPr>
            </w:pPr>
          </w:p>
        </w:tc>
      </w:tr>
      <w:tr>
        <w:trPr>
          <w:trHeight w:val="180"/>
        </w:trPr>
        <w:tc>
          <w:tcPr>
            <w:tcW w:w="47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income, net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80"/>
        </w:trPr>
        <w:tc>
          <w:tcPr>
            <w:tcW w:w="4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expense, net</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83 %</w:t>
            </w:r>
          </w:p>
        </w:tc>
        <w:tc>
          <w:tcPr>
            <w:tcW w:w="0" w:type="dxa"/>
            <w:vAlign w:val="bottom"/>
          </w:tcPr>
          <w:p>
            <w:pPr>
              <w:spacing w:after="0"/>
              <w:rPr>
                <w:sz w:val="1"/>
                <w:szCs w:val="1"/>
                <w:color w:val="auto"/>
              </w:rPr>
            </w:pPr>
          </w:p>
        </w:tc>
      </w:tr>
      <w:tr>
        <w:trPr>
          <w:trHeight w:val="171"/>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80"/>
        </w:trPr>
        <w:tc>
          <w:tcPr>
            <w:tcW w:w="4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Income tax expense</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0" w:type="dxa"/>
            <w:vAlign w:val="bottom"/>
          </w:tcPr>
          <w:p>
            <w:pPr>
              <w:spacing w:after="0"/>
              <w:rPr>
                <w:sz w:val="1"/>
                <w:szCs w:val="1"/>
                <w:color w:val="auto"/>
              </w:rPr>
            </w:pPr>
          </w:p>
        </w:tc>
      </w:tr>
      <w:tr>
        <w:trPr>
          <w:trHeight w:val="171"/>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Revenue for 2023 increased by 9%, or $785 million, to $9.8 billion compared with $9.0 billion for 2022. The increase primarily reflects $378 million from the Clipper Acquisition (for the periods that were not comparable), $82 million from the PFS Acquisition, and growth in Continental Europe. Foreign currency movements increased revenue by $140 million in 2023.</w:t>
      </w:r>
    </w:p>
    <w:p>
      <w:pPr>
        <w:spacing w:after="0" w:line="145" w:lineRule="exact"/>
        <w:rPr>
          <w:sz w:val="20"/>
          <w:szCs w:val="20"/>
          <w:color w:val="auto"/>
        </w:rPr>
      </w:pPr>
    </w:p>
    <w:p>
      <w:pPr>
        <w:ind w:right="400"/>
        <w:spacing w:after="0" w:line="264" w:lineRule="auto"/>
        <w:rPr>
          <w:sz w:val="20"/>
          <w:szCs w:val="20"/>
          <w:color w:val="auto"/>
        </w:rPr>
      </w:pPr>
      <w:r>
        <w:rPr>
          <w:rFonts w:ascii="Times New Roman" w:cs="Times New Roman" w:eastAsia="Times New Roman" w:hAnsi="Times New Roman"/>
          <w:sz w:val="14"/>
          <w:szCs w:val="14"/>
          <w:color w:val="auto"/>
        </w:rPr>
        <w:t>Direct operating expenses comprise both fixed and variable expenses and consist of operating costs related to our warehouse operations, including personnel costs, rent expenses, utility costs, equipment maintenance and repair costs, transportation costs, costs of materials and supplies and information technology expenses. Direct operating expense for 2023 increased by 8%, or $592 million, to $8.0 billion compared with $7.4 billion for 2022. As a percentage of revenue, direct operating expense was 82.2% and 82.8% in 2023 and 2022, respectively. The increase primarily reflects $286 million from the Clipper Acquisition (for the periods that were not comparable), $67 million from the PFS Acquisition, and higher personnel and rent expenses.</w:t>
      </w:r>
    </w:p>
    <w:p>
      <w:pPr>
        <w:spacing w:after="0" w:line="16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Selling, general and administrative expense (“SG&amp;A”) primarily consists of salary and benefit costs for executive and certain administration functions, professional fees, bad debt expense and legal costs. SG&amp;A for 2023 increased by 13%, or $112 million, to $998 million, compared with $886 million in 2022. SG&amp;A primarily increased due to the Clipper Acquisition, higher personnel costs for certain administrative functions and bad debt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9" w:right="319" w:bottom="1440" w:gutter="0" w:footer="0" w:header="0"/>
        </w:sectPr>
      </w:pPr>
    </w:p>
    <w:bookmarkStart w:id="25" w:name="page26"/>
    <w:bookmarkEnd w:id="25"/>
    <w:p>
      <w:pPr>
        <w:ind w:right="340"/>
        <w:spacing w:after="0" w:line="287" w:lineRule="auto"/>
        <w:rPr>
          <w:sz w:val="20"/>
          <w:szCs w:val="20"/>
          <w:color w:val="auto"/>
        </w:rPr>
      </w:pPr>
      <w:r>
        <w:rPr>
          <w:rFonts w:ascii="Times New Roman" w:cs="Times New Roman" w:eastAsia="Times New Roman" w:hAnsi="Times New Roman"/>
          <w:sz w:val="14"/>
          <w:szCs w:val="14"/>
          <w:color w:val="auto"/>
        </w:rPr>
        <w:t>Depreciation and amortization expense for 2023 increased by $32 million to $361 million compared with $329 million for 2022. Depreciation and amortization expense included amortization of intangible assets of $71 million and $68 million in 2023 and 2022, respectively. Depreciation and amortization expense increased primarily due to the Clipper Acquisition.</w:t>
      </w:r>
    </w:p>
    <w:p>
      <w:pPr>
        <w:spacing w:after="0" w:line="14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Transaction and integration costs were $34 million in 2023, compared with $61 million for 2022. Transaction and integration costs in 2023 included $20 million related to the integration of Clipper and $12 million related to the PFS Acquisition, reflecting costs associated with advisory fees and severance costs. Transaction and integration costs in 2022 primarily related to $46 million related to the Clipper Acquisition, reflecting costs associated with financing arrangements, advisory fees and integration costs, and $15 million from the Separation, primarily reflecting rebranding costs.</w:t>
      </w:r>
    </w:p>
    <w:p>
      <w:pPr>
        <w:spacing w:after="0" w:line="15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We engage in restructuring actions as part of our ongoing efforts to best use our resources and infrastructure. These costs are primarily related to severance, including projects to optimize human resources, finance and information technology activities, and are not associated with customer attrition. Restructuring costs and other were $32 million for 2023 and 2022. Restructuring costs and other for 2023 included $16 million related to a restructuring plan initiated in the fourth quarter of 2022 designed to centralize certain processes and standardize operating structures. Restructuring costs and other in 2023 also included impairment charges of $11 million, primarily related to closing certain corporate and administrative offices, and $5 million associated with the exit of a non-core businesses in Asia. Restructuring costs and other for 2022 included $24 million related to severance costs, primarily from the exit of non-core businesses and central efficiency projects, and $8 million related to the deconsolidation of a joint venture.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income, net decreased due to lower pension income and foreign currency movements. Other income, net was as follows: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6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8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periodic pension income</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80"/>
        </w:trPr>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gain (loss):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Realized foreign currency option and forward contracts gain (loss)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80"/>
        </w:trPr>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Unrealized foreign currency option and forward contracts gain (loss)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80"/>
        </w:trPr>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currency transaction and remeasurement loss</w:t>
            </w:r>
          </w:p>
        </w:tc>
        <w:tc>
          <w:tcPr>
            <w:tcW w:w="3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1"/>
        </w:trPr>
        <w:tc>
          <w:tcPr>
            <w:tcW w:w="4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Total foreign currency gain (loss)</w:t>
            </w: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tcPr>
          <w:p>
            <w:pPr>
              <w:spacing w:after="0"/>
              <w:rPr>
                <w:sz w:val="14"/>
                <w:szCs w:val="14"/>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71"/>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71"/>
        </w:trPr>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income, net</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4"/>
          <w:szCs w:val="14"/>
          <w:color w:val="auto"/>
        </w:rPr>
        <w:t>Interest expense, net increased due to the debt from the Clipper Acquisition being outstanding for the full year in 2023 compared with seven months of the prior year and higher variable interest rates on our debt, partially offset by the accretion on cross-currency swaps and interest income in the current period. Interest expense, net was as follows:</w:t>
      </w: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80" w:type="dxa"/>
            <w:vAlign w:val="bottom"/>
            <w:tcBorders>
              <w:bottom w:val="single" w:sz="8" w:color="auto"/>
            </w:tcBorders>
          </w:tcPr>
          <w:p>
            <w:pPr>
              <w:spacing w:after="0"/>
              <w:rPr>
                <w:sz w:val="16"/>
                <w:szCs w:val="16"/>
                <w:color w:val="auto"/>
              </w:rPr>
            </w:pPr>
          </w:p>
        </w:tc>
      </w:tr>
      <w:tr>
        <w:trPr>
          <w:trHeight w:val="171"/>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4"/>
                <w:szCs w:val="14"/>
                <w:color w:val="auto"/>
              </w:rPr>
            </w:pPr>
          </w:p>
        </w:tc>
        <w:tc>
          <w:tcPr>
            <w:tcW w:w="118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8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1"/>
        </w:trPr>
        <w:tc>
          <w:tcPr>
            <w:tcW w:w="4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and capital leases</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center"/>
              <w:ind w:left="849"/>
              <w:spacing w:after="0"/>
              <w:rPr>
                <w:sz w:val="20"/>
                <w:szCs w:val="20"/>
                <w:color w:val="auto"/>
              </w:rPr>
            </w:pPr>
            <w:r>
              <w:rPr>
                <w:rFonts w:ascii="Times New Roman" w:cs="Times New Roman" w:eastAsia="Times New Roman" w:hAnsi="Times New Roman"/>
                <w:sz w:val="14"/>
                <w:szCs w:val="14"/>
                <w:color w:val="auto"/>
                <w:w w:val="99"/>
              </w:rPr>
              <w:t>96</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63 %</w:t>
            </w:r>
          </w:p>
        </w:tc>
      </w:tr>
      <w:tr>
        <w:trPr>
          <w:trHeight w:val="18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Cross-currency swaps</w:t>
            </w:r>
          </w:p>
        </w:tc>
        <w:tc>
          <w:tcPr>
            <w:tcW w:w="360" w:type="dxa"/>
            <w:vAlign w:val="bottom"/>
          </w:tcPr>
          <w:p>
            <w:pPr>
              <w:spacing w:after="0"/>
              <w:rPr>
                <w:sz w:val="15"/>
                <w:szCs w:val="15"/>
                <w:color w:val="auto"/>
              </w:rPr>
            </w:pPr>
          </w:p>
        </w:tc>
        <w:tc>
          <w:tcPr>
            <w:tcW w:w="1180" w:type="dxa"/>
            <w:vAlign w:val="bottom"/>
          </w:tcPr>
          <w:p>
            <w:pPr>
              <w:jc w:val="center"/>
              <w:ind w:left="829"/>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ind w:left="1080"/>
              <w:spacing w:after="0"/>
              <w:rPr>
                <w:sz w:val="20"/>
                <w:szCs w:val="20"/>
                <w:color w:val="auto"/>
              </w:rPr>
            </w:pPr>
            <w:r>
              <w:rPr>
                <w:rFonts w:ascii="Times New Roman" w:cs="Times New Roman" w:eastAsia="Times New Roman" w:hAnsi="Times New Roman"/>
                <w:sz w:val="14"/>
                <w:szCs w:val="14"/>
                <w:color w:val="auto"/>
                <w:w w:val="97"/>
              </w:rPr>
              <w:t>(8)</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32 %</w:t>
            </w:r>
          </w:p>
        </w:tc>
      </w:tr>
      <w:tr>
        <w:trPr>
          <w:trHeight w:val="18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center"/>
              <w:ind w:left="829"/>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w w:val="97"/>
              </w:rPr>
              <w:t>(5)</w:t>
            </w:r>
          </w:p>
        </w:tc>
        <w:tc>
          <w:tcPr>
            <w:tcW w:w="80" w:type="dxa"/>
            <w:vAlign w:val="bottom"/>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71"/>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 net</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center"/>
              <w:ind w:left="849"/>
              <w:spacing w:after="0"/>
              <w:rPr>
                <w:sz w:val="20"/>
                <w:szCs w:val="20"/>
                <w:color w:val="auto"/>
              </w:rPr>
            </w:pPr>
            <w:r>
              <w:rPr>
                <w:rFonts w:ascii="Times New Roman" w:cs="Times New Roman" w:eastAsia="Times New Roman" w:hAnsi="Times New Roman"/>
                <w:sz w:val="14"/>
                <w:szCs w:val="14"/>
                <w:color w:val="auto"/>
                <w:w w:val="99"/>
              </w:rPr>
              <w:t>53</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83 %</w:t>
            </w: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Income before income taxes for 2023 increased by $2 million, to $266 million, compared with $264 million for 2022. The increase was primarily due to growth in our business and lower transaction and integration costs, offset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26" w:name="page27"/>
    <w:bookmarkEnd w:id="26"/>
    <w:p>
      <w:pPr>
        <w:ind w:right="120"/>
        <w:spacing w:after="0" w:line="264" w:lineRule="auto"/>
        <w:rPr>
          <w:sz w:val="20"/>
          <w:szCs w:val="20"/>
          <w:color w:val="auto"/>
        </w:rPr>
      </w:pPr>
      <w:r>
        <w:rPr>
          <w:rFonts w:ascii="Times New Roman" w:cs="Times New Roman" w:eastAsia="Times New Roman" w:hAnsi="Times New Roman"/>
          <w:sz w:val="14"/>
          <w:szCs w:val="14"/>
          <w:color w:val="auto"/>
        </w:rPr>
        <w:t>higher interest expense and lower other income. Income from continuing operations before income taxes for our domestic operations was $97 million for 2023, compared with $105 million in 2022. The decrease was driven by a higher interest expense associated with our debt, partially offset by lower transaction and integration costs. Income from continuing operations before income taxes for our foreign operations was $169 million for 2023 compared with $159 million in 2022. The increase was primarily driven by growth in the business and lower transaction and integration costs, partially offset by lower pension income.</w:t>
      </w:r>
    </w:p>
    <w:p>
      <w:pPr>
        <w:spacing w:after="0" w:line="16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Income tax expense was $33 million in 2023, compared with $64 million in 2022. Our effective tax rate was 12.4% in 2023 and 24.2% in 2022. The decrease in our effective income tax rate in 2023 was driven by tax benefits from intangible assets and the release of valuation allowances.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Our ability to fund our operations and anticipated capital needs is reliant upon the generation of cash from operations, supplemented as necessary by periodic utilization of our revolving credit facility and factoring programs. Our principal uses of cash in the future will be primarily to fund our operations, working capital needs, capital expenditures, repayment of borrowings and strategic business development transactions. The timing and magnitude of our new contract start-ups can vary and may positively or negatively impact our cash flows. We continually evaluate our liquidity requirements and capital structure in light of our operating needs, growth initiatives and capital resources.</w:t>
      </w:r>
    </w:p>
    <w:p>
      <w:pPr>
        <w:spacing w:after="0" w:line="16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As of December 31, 2023, we held cash and cash equivalents of $468 million and we had $799 million of borrowing capacity available, net of letters of credit under our revolving credit facility. We believe that our cash and cash equivalents on hand, cash flows from operations, the revolving credit facility and the use of our factoring programs will provide sufficient liquidity to operate our business and fund our current and assumed obligations for at least the next 12 months.</w:t>
      </w:r>
    </w:p>
    <w:p>
      <w:pPr>
        <w:spacing w:after="0" w:line="157"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For additional information regarding our cash requirement from contractual obligations, indebtedness and lease obligations, see Note 17. “Commitments and Contingencies”, Note 9. “Debt and Financing Arrangements” and Note 8. “Leases” in Part II, Item 8 of this Annual Report on Form 10-K.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 Expenditures</w:t>
      </w:r>
    </w:p>
    <w:p>
      <w:pPr>
        <w:spacing w:after="0" w:line="20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Our future capital spending includes fulfillment costs and investments in technology and automation to improve the speed and accuracy of order fulfillment and the resiliency of our supply chains. The level and the timing of the Company’s capital expenditures within these categories can vary as a result of a variety of factors outside our control, such as the timing of new contracts, availability of labor and materials and foreign currency fluctuations. We believe that we have significant discretion over the amount and timing of our capital expenditures as we are not subject to any agreement that would require significant capital expenditures on a designated schedule or upon the occurrence of designated events.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Condition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asset and liability balances as of December 31, 2023 and 2022:</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r>
      <w:tr>
        <w:trPr>
          <w:trHeight w:val="171"/>
        </w:trPr>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4"/>
                <w:szCs w:val="14"/>
                <w:color w:val="auto"/>
              </w:rPr>
            </w:pPr>
          </w:p>
        </w:tc>
        <w:tc>
          <w:tcPr>
            <w:tcW w:w="116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4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1"/>
        </w:trPr>
        <w:tc>
          <w:tcPr>
            <w:tcW w:w="4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80"/>
        </w:trPr>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long-term assets</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6,791</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80"/>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2,532</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84"/>
        </w:trPr>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4,009</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color w:val="auto"/>
        </w:rPr>
        <w:t>Total assets increased by $288 million from December 31, 2022 to December 31, 2023, primarily reflecting increases from the PFS Acquisition.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liabilities increased by $20 million from December 31, 2022 to December 31, 2023, reflecting the early repayment of debt, partially offset by increases from the PFS Acquisition.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 Activity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cash flows from operating, investing and financing activities, as reflected on our Consolidated Statements of Cash Flows, were summarized as follows:</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4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20" w:type="dxa"/>
            <w:vAlign w:val="bottom"/>
            <w:tcBorders>
              <w:bottom w:val="single" w:sz="8" w:color="auto"/>
            </w:tcBorders>
          </w:tcPr>
          <w:p>
            <w:pPr>
              <w:spacing w:after="0"/>
              <w:rPr>
                <w:sz w:val="15"/>
                <w:szCs w:val="15"/>
                <w:color w:val="auto"/>
              </w:rPr>
            </w:pPr>
          </w:p>
        </w:tc>
      </w:tr>
      <w:tr>
        <w:trPr>
          <w:trHeight w:val="180"/>
        </w:trPr>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5"/>
                <w:szCs w:val="15"/>
                <w:color w:val="auto"/>
              </w:rPr>
            </w:pPr>
          </w:p>
        </w:tc>
        <w:tc>
          <w:tcPr>
            <w:tcW w:w="11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2"/>
        </w:trPr>
        <w:tc>
          <w:tcPr>
            <w:tcW w:w="4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78"/>
        </w:trPr>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83"/>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95"/>
        </w:trPr>
        <w:tc>
          <w:tcPr>
            <w:tcW w:w="4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Effect of exchange rates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00"/>
        </w:trPr>
        <w:tc>
          <w:tcPr>
            <w:tcW w:w="4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(decrease) increase in cash, restricted cash and cash equivalents</w:t>
            </w:r>
          </w:p>
        </w:tc>
        <w:tc>
          <w:tcPr>
            <w:tcW w:w="3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20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Cash flows provided by operating activities for 2023 increased by $16 million compared with 2022. The increase was due to $33 million higher net income and $40 million non-cash adjustments, offset by $57 million of working capital used in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Investing activities used $410 million of cash in 2023 compared with $1.1 billion in 2022. During 2023, we used $274 million of cash for capital expenditures, $149 million in connection with the PFS Acquisition and $3 million in settlement of cross-currency swap agreements, excluding accrued interest, partially offset by $18 million of proceeds from the sales of property and equipment. During 2022, we used $876 million of cash in connection with the Clipper Acquisition, $342 million for capital expenditures, partially offset by $40 million of proceeds from the sales of property and equipment and $21 million in settlement of cross-currency swap agreements, excluding accrued interest.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202"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Financing activities used $186 million of cash in 2023 and generated $787 million in 2022. The primary use of cash from financing activities in 2023 was $169 million in repayment of debt and finance leases and $12 million in payments for employee taxes on net settlement of equity awards. The primary source of cash from financing activities in 2022 was $917 million in proceeds from long-term debt, net, partially offset by $115 million in repayment of debt and finance leases and $16 million in payments for employee taxes on net settlement of equity awards.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202"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We do not engage in any off-balance sheet financial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20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We lease certain facilities and equipment under operating and finance lease arrangements. As of December 31, 2023, our outstanding obligations under operating and finance leases were $2.4 billion and $116 million, respectively. See Note 8. “Leases” to the Consolidated Financial Statements for additional information.</w:t>
      </w:r>
    </w:p>
    <w:p>
      <w:pPr>
        <w:spacing w:after="0" w:line="14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As of December 31, 2023, we had $800 million of unsecured notes outstanding with interest payable in arrears on January 15 and July 15 of each year and $735 million of variable-rate term loans outstanding with interest payable in arrears at our option monthly, quarterly or semiannually. See Note 9. “Debt and Financing Arrangements” to the Consolidated Financial Statements for additional information.</w:t>
      </w:r>
    </w:p>
    <w:p>
      <w:pPr>
        <w:spacing w:after="0" w:line="157"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In addition, we have obligations for agreements to purchase goods or services entered into in the ordinary course of business that are enforceable and legally binding and gross unrecognized tax benefits.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w:t>
      </w:r>
    </w:p>
    <w:p>
      <w:pPr>
        <w:spacing w:after="0" w:line="20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We prepare our Consolidated Financial Statements in accordance with GAAP. We make assumptions, estimates and judgments that affect our reported amounts of assets, liabilities, revenues, expenses, gains and losses. Material changes in these assumptions, estimates and/or judgments have the potential to materially alter our results of operations. We have identified the following accounting policies to be the most critical as they are important to our financial condition and results of operations and require significant judgment and estimates on the part of management in their application.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202"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We record tangible and intangible assets acquired and liabilities assumed in business combinations under the purchase method of accounting. We allocate the fair value of purchase consideration to tangible and intangible assets acquired and liabilities assumed based on their estimated fair values. The excess of the fair value of purchase consideration over the fair values of these identifiable assets and liabilities is allocated to goodwill.</w:t>
      </w:r>
    </w:p>
    <w:p>
      <w:pPr>
        <w:spacing w:after="0" w:line="15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Accounting for business combinations requires us to make significant estimates and assumptions, especially at the acquisition date with respect to tangible and intangible assets acquired and liabilities assumed. We use our best estimates and assumptions to accurately assign fair value to the tangible and intangible assets acquired and liabilities assumed at the acquisition date as well as the useful lives of those acquired intangible assets. Significant assumptions utilized in the allocation of the purchase price related to intangible assets include future expected cash flows from acquired intangibles and discount rates.</w:t>
      </w:r>
    </w:p>
    <w:p>
      <w:pPr>
        <w:spacing w:after="0" w:line="16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Our estimates of fair value are based upon reasonable assumptions but are inherently uncertain and unpredictable, and as a result, actual results may differ from these estimates. During the measurement period, which is up to one year from the acquisition date, we may record adjustments to the assets acquired and liabilities assumed with the corresponding offset to goodwill. Upon the conclusion of the measurement period, any subsequent adjustments are recorded to earnings. See Note 4. “Acquisitions” to the Consolidated Financial Statements for additional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Goodwill</w:t>
      </w:r>
    </w:p>
    <w:p>
      <w:pPr>
        <w:spacing w:after="0" w:line="20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We allocate goodwill to reporting units based on the reporting unit expected to benefit from the business combination. Goodwill is tested at the reporting unit level, which is an operating segment or one level below, on an annual basis and between annual tests if an event occurs or circumstances change that would more likely than not reduce the fair value of a reporting unit below its carrying value. We have three reporting units: i) Americas and Asia-Pacific, ii) United Kingdom and Ireland and iii) Continental Europe.</w:t>
      </w:r>
    </w:p>
    <w:p>
      <w:pPr>
        <w:spacing w:after="0" w:line="157"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For each reporting unit, we first assess qualitative factors that are specific to the reporting unit as well as industry and macroeconomic factors to determine whether it is necessary to perform a quantitative goodwill impairment 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9" w:right="319" w:bottom="1440" w:gutter="0" w:footer="0" w:header="0"/>
        </w:sectPr>
      </w:pPr>
    </w:p>
    <w:bookmarkStart w:id="29" w:name="page30"/>
    <w:bookmarkEnd w:id="29"/>
    <w:p>
      <w:pPr>
        <w:ind w:right="240"/>
        <w:spacing w:after="0" w:line="287" w:lineRule="auto"/>
        <w:rPr>
          <w:sz w:val="20"/>
          <w:szCs w:val="20"/>
          <w:color w:val="auto"/>
        </w:rPr>
      </w:pPr>
      <w:r>
        <w:rPr>
          <w:rFonts w:ascii="Times New Roman" w:cs="Times New Roman" w:eastAsia="Times New Roman" w:hAnsi="Times New Roman"/>
          <w:sz w:val="14"/>
          <w:szCs w:val="14"/>
          <w:color w:val="auto"/>
        </w:rPr>
        <w:t>The qualitative factors could include a significant change in the business climate, legal factors, operating performance indicators, competition or the sale or disposition of a significant portion of a reporting unit. If the qualitative assessment indicates that it is more likely than not that an impairment exists, then a quantitative assessment is performed.</w:t>
      </w:r>
    </w:p>
    <w:p>
      <w:pPr>
        <w:spacing w:after="0" w:line="1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A quantitative goodwill impairment test, when performed, includes estimating the fair value of a reporting unit using the income and/or market approach. The income approach of determining fair value is based on the present value of estimated future cash flows, which requires us to make various assumptions, including assumptions about the timing and amount of future cash flows, growth rates and discount rates. The discount rates reflect management’s judgment and are based on a risk-adjusted weighted-average cost of capital utilizing industry market data of businesses similar to the reporting units. Inherent in our preparation of cash flow projections are assumptions and estimates derived from a review of our operating results, business plans, expected growth rates, cost of capital and tax rates. Our forecasts also reflect expectations concerning future economic conditions, interest rates and other market data. The market approach of determining fair value is based on comparable market multiples for companies engaged in similar businesses, as well as recent transactions within our industry. We believe using these valuation techniques yields the most appropriate evidence of the reporting unit’s fair value.</w:t>
      </w:r>
    </w:p>
    <w:p>
      <w:pPr>
        <w:spacing w:after="0" w:line="168"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Many of the factors used in assessing fair value are outside the control of management, and these assumptions and estimates may change in future periods. Changes in assumptions or estimates could materially affect the estimate of the fair value of a reporting unit and therefore could affect the likelihood and amount of any potential impairment.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Benefit Plans</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We sponsor various retirement plans, the most significant of which is in the U.K. (the “U.K. Retirement Plan”). Assumptions used in the accounting for these employee benefit plans include the discount rate and expected return on plan assets. Assumptions are determined based on company data and appropriate market indicators and are evaluated each year at December 31. A change in any of these assumptions would have an effect on the net periodic pension cost reported in the Consolidated Financial Statements.</w:t>
      </w:r>
    </w:p>
    <w:p>
      <w:pPr>
        <w:spacing w:after="0" w:line="15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The discount rate is determined based on the yield on a portfolio of high-quality bonds, constructed to provide cash flows necessary to meet our pension plans’ expected future benefit payments, as determined for the accumulated benefit obligation. A 50-basis-point decrease in the discount rate of the U.K. Retirement Plan would result in an estimated increase in the accumulated benefit obligation of approximately $44 million. The expected return on plan assets assumption is derived using the current and expected asset allocation of the pension plan assets and considering historical as well as expected returns on various classes of plan assets. An increase or decrease of 50 basis points in the expected long-term rate of return of the U.K. Retirement Plan would have decreased or increased 2023 net periodic pension cost by approximately $4 million. See Note 14. “Employee Benefit Plans” to the Consolidated Financial Statements for additional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 Accounting Standards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related to new accounting standards is included in Note 2. “Basis of Presentation and Significant Accounting Policies”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8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200"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i w:val="1"/>
          <w:iCs w:val="1"/>
          <w:color w:val="auto"/>
        </w:rPr>
        <w:t>Our market risk disclosures involve forward-looking statements. Actual results could differ materially from those projected in such forward-looking statements. We are exposed to market risk related to changes in interest rates and foreign currency exchange rates.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long-term debt portfolio, excluding finance leases and other debt, consists of $800 million fixed-rate notes and $735 million variable-rate loans, complemented by a variable-rate revolving credit facility. We use cross-currency swap agreements to convert $250 million of variable-rate debt from Secured Overnight Financing Rate (“SOFR”) to Euro Interbank Offered Rate (“Euribor”). We also entered into interest rate swap agreements to convert $250 million of variable-rate U.S. dollar (“USD”)-denominated debt into USD-denominated fixed-rate debt. As of December 31, 2023, a hypothetical 1% increase in Euribor would have increased our interest expense by approximately $3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Exchange Rate Risk</w:t>
      </w:r>
    </w:p>
    <w:p>
      <w:pPr>
        <w:spacing w:after="0" w:line="202"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A significant proportion of our net assets and income is in non-USD currencies, primarily the Euro (“EUR”) and British pound sterling (“GBP”). We are exposed to currency risk from potential changes in functional currency values of our foreign currency denominated assets, liabilities and cash flows. Consequently, depreciation of the EUR or the GBP relative to the USD could have an adverse impact on our financial results.</w:t>
      </w:r>
    </w:p>
    <w:p>
      <w:pPr>
        <w:spacing w:after="0" w:line="157"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We entered into cross-currency swap agreements to manage our foreign currency exchange risk by effectively converting a portion of the fixed-rate USD-denominated debt, including the interest payments, to fixed-rate EUR-denominated debt and a portion of the floating-rate USD-denominated loans, including the interest payments, to floating-rate EUR-denominated debt. We use foreign currency option contracts to mitigate the risk of a reduction in the value of earnings from our operations that use the EUR or GBP as their functional currency.</w:t>
      </w:r>
    </w:p>
    <w:p>
      <w:pPr>
        <w:spacing w:after="0" w:line="15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As of December 31, 2023, a uniform 10% strengthening in the value of the USD relative to the EUR would have increased our net assets by approximately $67 million, net of hedging. As of December 31, 2023, a uniform 10% strengthening in the value of the USD relative to the GBP would have decreased our net assets by approximately $143 million, net of hedging. These theoretical calculations assume that an instantaneous, parallel shift in exchange rates occurs, which is not consistent with the history of foreign currency markets. Fluctuations in exchange rates also affect the volume of sales or the foreign currency sales price as competitors’ services become more or less attractive. The sensitivity analysis of the impact of changes in foreign currency exchange rates does not factor in a potential change in sales levels or local currency prices.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10. “Fair Value Measurements and Financial Instruments” to the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79"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Index to Financial Statements</w:t>
      </w: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138"/>
        </w:trPr>
        <w:tc>
          <w:tcPr>
            <w:tcW w:w="10340" w:type="dxa"/>
            <w:vAlign w:val="bottom"/>
            <w:gridSpan w:val="23"/>
          </w:tcPr>
          <w:p>
            <w:pPr>
              <w:spacing w:after="0" w:line="138" w:lineRule="exact"/>
              <w:rPr>
                <w:sz w:val="20"/>
                <w:szCs w:val="20"/>
                <w:color w:val="auto"/>
              </w:rPr>
            </w:pPr>
            <w:r>
              <w:rPr>
                <w:rFonts w:ascii="Times New Roman" w:cs="Times New Roman" w:eastAsia="Times New Roman" w:hAnsi="Times New Roman"/>
                <w:sz w:val="13"/>
                <w:szCs w:val="13"/>
                <w:color w:val="0000FF"/>
              </w:rPr>
              <w:t>Report of Independent Registered Public Accounting Firm</w:t>
            </w:r>
          </w:p>
        </w:tc>
        <w:tc>
          <w:tcPr>
            <w:tcW w:w="9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w w:val="91"/>
              </w:rPr>
              <w:t>29</w:t>
            </w:r>
          </w:p>
        </w:tc>
      </w:tr>
      <w:tr>
        <w:trPr>
          <w:trHeight w:val="20"/>
        </w:trPr>
        <w:tc>
          <w:tcPr>
            <w:tcW w:w="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0"/>
        </w:trPr>
        <w:tc>
          <w:tcPr>
            <w:tcW w:w="51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3"/>
                <w:szCs w:val="13"/>
                <w:color w:val="0000FF"/>
              </w:rPr>
              <w:t>Consolidated Statements of Operations for the Years Ended December 31, 2023, 2022 and 2021</w:t>
            </w:r>
          </w:p>
        </w:tc>
        <w:tc>
          <w:tcPr>
            <w:tcW w:w="5180" w:type="dxa"/>
            <w:vAlign w:val="bottom"/>
            <w:gridSpan w:val="4"/>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32</w:t>
            </w:r>
          </w:p>
        </w:tc>
      </w:tr>
      <w:tr>
        <w:trPr>
          <w:trHeight w:val="160"/>
        </w:trPr>
        <w:tc>
          <w:tcPr>
            <w:tcW w:w="58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3"/>
                <w:szCs w:val="13"/>
                <w:color w:val="0000FF"/>
              </w:rPr>
              <w:t>Consolidated Statements of Comprehensive Income for the Years Ended December 31, 2023, 2022 and 2021</w:t>
            </w:r>
          </w:p>
        </w:tc>
        <w:tc>
          <w:tcPr>
            <w:tcW w:w="45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33</w:t>
            </w:r>
          </w:p>
        </w:tc>
      </w:tr>
      <w:tr>
        <w:trPr>
          <w:trHeight w:val="160"/>
        </w:trPr>
        <w:tc>
          <w:tcPr>
            <w:tcW w:w="10340" w:type="dxa"/>
            <w:vAlign w:val="bottom"/>
            <w:gridSpan w:val="23"/>
          </w:tcPr>
          <w:p>
            <w:pPr>
              <w:spacing w:after="0"/>
              <w:rPr>
                <w:sz w:val="20"/>
                <w:szCs w:val="20"/>
                <w:color w:val="auto"/>
              </w:rPr>
            </w:pPr>
            <w:r>
              <w:rPr>
                <w:rFonts w:ascii="Times New Roman" w:cs="Times New Roman" w:eastAsia="Times New Roman" w:hAnsi="Times New Roman"/>
                <w:sz w:val="13"/>
                <w:szCs w:val="13"/>
                <w:color w:val="0000FF"/>
              </w:rPr>
              <w:t>Consolidated Balance Sheets as of December 31, 2023 and 2022</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34</w:t>
            </w:r>
          </w:p>
        </w:tc>
      </w:tr>
      <w:tr>
        <w:trPr>
          <w:trHeight w:val="20"/>
        </w:trPr>
        <w:tc>
          <w:tcPr>
            <w:tcW w:w="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0"/>
        </w:trPr>
        <w:tc>
          <w:tcPr>
            <w:tcW w:w="52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3"/>
                <w:szCs w:val="13"/>
                <w:color w:val="0000FF"/>
              </w:rPr>
              <w:t>Consolidated Statements of Cash Flows for the Years Ended December 31, 2023, 2022 and 2021</w:t>
            </w:r>
          </w:p>
        </w:tc>
        <w:tc>
          <w:tcPr>
            <w:tcW w:w="5140" w:type="dxa"/>
            <w:vAlign w:val="bottom"/>
            <w:gridSpan w:val="3"/>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35</w:t>
            </w:r>
          </w:p>
        </w:tc>
      </w:tr>
      <w:tr>
        <w:trPr>
          <w:trHeight w:val="160"/>
        </w:trPr>
        <w:tc>
          <w:tcPr>
            <w:tcW w:w="55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3"/>
                <w:szCs w:val="13"/>
                <w:color w:val="0000FF"/>
              </w:rPr>
              <w:t>Consolidated Statements of Changes in Equity for the Years Ended December 31, 2023, 2022 and 2021</w:t>
            </w:r>
          </w:p>
        </w:tc>
        <w:tc>
          <w:tcPr>
            <w:tcW w:w="4780" w:type="dxa"/>
            <w:vAlign w:val="bottom"/>
            <w:gridSpan w:val="2"/>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37</w:t>
            </w:r>
          </w:p>
        </w:tc>
      </w:tr>
      <w:tr>
        <w:trPr>
          <w:trHeight w:val="160"/>
        </w:trPr>
        <w:tc>
          <w:tcPr>
            <w:tcW w:w="10340" w:type="dxa"/>
            <w:vAlign w:val="bottom"/>
            <w:gridSpan w:val="23"/>
          </w:tcPr>
          <w:p>
            <w:pPr>
              <w:spacing w:after="0"/>
              <w:rPr>
                <w:sz w:val="20"/>
                <w:szCs w:val="20"/>
                <w:color w:val="auto"/>
              </w:rPr>
            </w:pPr>
            <w:r>
              <w:rPr>
                <w:rFonts w:ascii="Times New Roman" w:cs="Times New Roman" w:eastAsia="Times New Roman" w:hAnsi="Times New Roman"/>
                <w:sz w:val="13"/>
                <w:szCs w:val="13"/>
                <w:color w:val="0000FF"/>
              </w:rPr>
              <w:t>Notes to Consolidated Financial Statements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38</w:t>
            </w:r>
          </w:p>
        </w:tc>
      </w:tr>
      <w:tr>
        <w:trPr>
          <w:trHeight w:val="160"/>
        </w:trPr>
        <w:tc>
          <w:tcPr>
            <w:tcW w:w="11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3"/>
                <w:szCs w:val="13"/>
                <w:color w:val="0000FF"/>
              </w:rPr>
              <w:t>Note 1 - Organization</w:t>
            </w:r>
          </w:p>
        </w:tc>
        <w:tc>
          <w:tcPr>
            <w:tcW w:w="1160" w:type="dxa"/>
            <w:vAlign w:val="bottom"/>
            <w:tcBorders>
              <w:top w:val="single" w:sz="8" w:color="0000FF"/>
            </w:tcBorders>
            <w:gridSpan w:val="10"/>
          </w:tcPr>
          <w:p>
            <w:pPr>
              <w:spacing w:after="0"/>
              <w:rPr>
                <w:sz w:val="13"/>
                <w:szCs w:val="13"/>
                <w:color w:val="auto"/>
              </w:rPr>
            </w:pPr>
          </w:p>
        </w:tc>
        <w:tc>
          <w:tcPr>
            <w:tcW w:w="8000" w:type="dxa"/>
            <w:vAlign w:val="bottom"/>
            <w:gridSpan w:val="9"/>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38</w:t>
            </w:r>
          </w:p>
        </w:tc>
      </w:tr>
      <w:tr>
        <w:trPr>
          <w:trHeight w:val="160"/>
        </w:trPr>
        <w:tc>
          <w:tcPr>
            <w:tcW w:w="35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3"/>
                <w:szCs w:val="13"/>
                <w:color w:val="0000FF"/>
              </w:rPr>
              <w:t>Note 2 - Basis of Presentation and Significant Accounting Policies</w:t>
            </w:r>
          </w:p>
        </w:tc>
        <w:tc>
          <w:tcPr>
            <w:tcW w:w="6760" w:type="dxa"/>
            <w:vAlign w:val="bottom"/>
            <w:gridSpan w:val="5"/>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38</w:t>
            </w:r>
          </w:p>
        </w:tc>
      </w:tr>
      <w:tr>
        <w:trPr>
          <w:trHeight w:val="160"/>
        </w:trPr>
        <w:tc>
          <w:tcPr>
            <w:tcW w:w="16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3"/>
                <w:szCs w:val="13"/>
                <w:color w:val="0000FF"/>
              </w:rPr>
              <w:t>Note 3 - Revenue Recognition</w:t>
            </w:r>
          </w:p>
        </w:tc>
        <w:tc>
          <w:tcPr>
            <w:tcW w:w="8700" w:type="dxa"/>
            <w:vAlign w:val="bottom"/>
            <w:gridSpan w:val="15"/>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45</w:t>
            </w:r>
          </w:p>
        </w:tc>
      </w:tr>
      <w:tr>
        <w:trPr>
          <w:trHeight w:val="160"/>
        </w:trPr>
        <w:tc>
          <w:tcPr>
            <w:tcW w:w="1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3"/>
                <w:szCs w:val="13"/>
                <w:color w:val="0000FF"/>
              </w:rPr>
              <w:t>Note 4 - Acquisitions</w:t>
            </w:r>
          </w:p>
        </w:tc>
        <w:tc>
          <w:tcPr>
            <w:tcW w:w="9180" w:type="dxa"/>
            <w:vAlign w:val="bottom"/>
            <w:gridSpan w:val="20"/>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46</w:t>
            </w:r>
          </w:p>
        </w:tc>
      </w:tr>
      <w:tr>
        <w:trPr>
          <w:trHeight w:val="160"/>
        </w:trPr>
        <w:tc>
          <w:tcPr>
            <w:tcW w:w="9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3"/>
                <w:szCs w:val="13"/>
                <w:color w:val="0000FF"/>
              </w:rPr>
              <w:t>Note 5 - Goodwill</w:t>
            </w:r>
          </w:p>
        </w:tc>
        <w:tc>
          <w:tcPr>
            <w:tcW w:w="9360" w:type="dxa"/>
            <w:vAlign w:val="bottom"/>
            <w:gridSpan w:val="21"/>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48</w:t>
            </w:r>
          </w:p>
        </w:tc>
      </w:tr>
      <w:tr>
        <w:trPr>
          <w:trHeight w:val="160"/>
        </w:trPr>
        <w:tc>
          <w:tcPr>
            <w:tcW w:w="10340" w:type="dxa"/>
            <w:vAlign w:val="bottom"/>
            <w:gridSpan w:val="23"/>
          </w:tcPr>
          <w:p>
            <w:pPr>
              <w:spacing w:after="0"/>
              <w:rPr>
                <w:sz w:val="20"/>
                <w:szCs w:val="20"/>
                <w:color w:val="auto"/>
              </w:rPr>
            </w:pPr>
            <w:r>
              <w:rPr>
                <w:rFonts w:ascii="Times New Roman" w:cs="Times New Roman" w:eastAsia="Times New Roman" w:hAnsi="Times New Roman"/>
                <w:sz w:val="13"/>
                <w:szCs w:val="13"/>
                <w:color w:val="0000FF"/>
              </w:rPr>
              <w:t>Note 6 - Intangible Assets</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48</w:t>
            </w:r>
          </w:p>
        </w:tc>
      </w:tr>
      <w:tr>
        <w:trPr>
          <w:trHeight w:val="20"/>
        </w:trPr>
        <w:tc>
          <w:tcPr>
            <w:tcW w:w="84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00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0"/>
        </w:trPr>
        <w:tc>
          <w:tcPr>
            <w:tcW w:w="10340" w:type="dxa"/>
            <w:vAlign w:val="bottom"/>
            <w:gridSpan w:val="23"/>
          </w:tcPr>
          <w:p>
            <w:pPr>
              <w:spacing w:after="0"/>
              <w:rPr>
                <w:sz w:val="20"/>
                <w:szCs w:val="20"/>
                <w:color w:val="auto"/>
              </w:rPr>
            </w:pPr>
            <w:r>
              <w:rPr>
                <w:rFonts w:ascii="Times New Roman" w:cs="Times New Roman" w:eastAsia="Times New Roman" w:hAnsi="Times New Roman"/>
                <w:sz w:val="13"/>
                <w:szCs w:val="13"/>
                <w:color w:val="0000FF"/>
              </w:rPr>
              <w:t>Note 7 - Property and Equipment</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49</w:t>
            </w:r>
          </w:p>
        </w:tc>
      </w:tr>
      <w:tr>
        <w:trPr>
          <w:trHeight w:val="160"/>
        </w:trPr>
        <w:tc>
          <w:tcPr>
            <w:tcW w:w="8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3"/>
                <w:szCs w:val="13"/>
                <w:color w:val="0000FF"/>
              </w:rPr>
              <w:t>Note 8 - Leases</w:t>
            </w:r>
          </w:p>
        </w:tc>
        <w:tc>
          <w:tcPr>
            <w:tcW w:w="940" w:type="dxa"/>
            <w:vAlign w:val="bottom"/>
            <w:tcBorders>
              <w:top w:val="single" w:sz="8" w:color="0000FF"/>
            </w:tcBorders>
            <w:gridSpan w:val="9"/>
          </w:tcPr>
          <w:p>
            <w:pPr>
              <w:spacing w:after="0"/>
              <w:rPr>
                <w:sz w:val="13"/>
                <w:szCs w:val="13"/>
                <w:color w:val="auto"/>
              </w:rPr>
            </w:pPr>
          </w:p>
        </w:tc>
        <w:tc>
          <w:tcPr>
            <w:tcW w:w="8560" w:type="dxa"/>
            <w:vAlign w:val="bottom"/>
            <w:gridSpan w:val="13"/>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49</w:t>
            </w:r>
          </w:p>
        </w:tc>
      </w:tr>
      <w:tr>
        <w:trPr>
          <w:trHeight w:val="160"/>
        </w:trPr>
        <w:tc>
          <w:tcPr>
            <w:tcW w:w="10340" w:type="dxa"/>
            <w:vAlign w:val="bottom"/>
            <w:gridSpan w:val="23"/>
          </w:tcPr>
          <w:p>
            <w:pPr>
              <w:spacing w:after="0"/>
              <w:rPr>
                <w:sz w:val="20"/>
                <w:szCs w:val="20"/>
                <w:color w:val="auto"/>
              </w:rPr>
            </w:pPr>
            <w:r>
              <w:rPr>
                <w:rFonts w:ascii="Times New Roman" w:cs="Times New Roman" w:eastAsia="Times New Roman" w:hAnsi="Times New Roman"/>
                <w:sz w:val="13"/>
                <w:szCs w:val="13"/>
                <w:color w:val="0000FF"/>
              </w:rPr>
              <w:t>Note 9 - Debt and Financing Arrangements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51</w:t>
            </w:r>
          </w:p>
        </w:tc>
      </w:tr>
      <w:tr>
        <w:trPr>
          <w:trHeight w:val="20"/>
        </w:trPr>
        <w:tc>
          <w:tcPr>
            <w:tcW w:w="128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00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0"/>
        </w:trPr>
        <w:tc>
          <w:tcPr>
            <w:tcW w:w="10340" w:type="dxa"/>
            <w:vAlign w:val="bottom"/>
            <w:gridSpan w:val="23"/>
          </w:tcPr>
          <w:p>
            <w:pPr>
              <w:spacing w:after="0"/>
              <w:rPr>
                <w:sz w:val="20"/>
                <w:szCs w:val="20"/>
                <w:color w:val="auto"/>
              </w:rPr>
            </w:pPr>
            <w:r>
              <w:rPr>
                <w:rFonts w:ascii="Times New Roman" w:cs="Times New Roman" w:eastAsia="Times New Roman" w:hAnsi="Times New Roman"/>
                <w:sz w:val="13"/>
                <w:szCs w:val="13"/>
                <w:color w:val="0000FF"/>
              </w:rPr>
              <w:t>Note 10 - Fair Value Measurements and Financial Instruments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53</w:t>
            </w:r>
          </w:p>
        </w:tc>
      </w:tr>
      <w:tr>
        <w:trPr>
          <w:trHeight w:val="160"/>
        </w:trPr>
        <w:tc>
          <w:tcPr>
            <w:tcW w:w="15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3"/>
                <w:szCs w:val="13"/>
                <w:color w:val="0000FF"/>
              </w:rPr>
              <w:t>Note 11 - Accrued Expenses</w:t>
            </w:r>
          </w:p>
        </w:tc>
        <w:tc>
          <w:tcPr>
            <w:tcW w:w="1800" w:type="dxa"/>
            <w:vAlign w:val="bottom"/>
            <w:tcBorders>
              <w:top w:val="single" w:sz="8" w:color="0000FF"/>
            </w:tcBorders>
            <w:gridSpan w:val="9"/>
          </w:tcPr>
          <w:p>
            <w:pPr>
              <w:spacing w:after="0"/>
              <w:rPr>
                <w:sz w:val="13"/>
                <w:szCs w:val="13"/>
                <w:color w:val="auto"/>
              </w:rPr>
            </w:pPr>
          </w:p>
        </w:tc>
        <w:tc>
          <w:tcPr>
            <w:tcW w:w="7000" w:type="dxa"/>
            <w:vAlign w:val="bottom"/>
            <w:gridSpan w:val="7"/>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56</w:t>
            </w:r>
          </w:p>
        </w:tc>
      </w:tr>
      <w:tr>
        <w:trPr>
          <w:trHeight w:val="171"/>
        </w:trPr>
        <w:tc>
          <w:tcPr>
            <w:tcW w:w="16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3"/>
                <w:szCs w:val="13"/>
                <w:color w:val="0000FF"/>
              </w:rPr>
              <w:t>Note 12 - Stockholders</w:t>
            </w:r>
            <w:r>
              <w:rPr>
                <w:rFonts w:ascii="Times New Roman" w:cs="Times New Roman" w:eastAsia="Times New Roman" w:hAnsi="Times New Roman"/>
                <w:sz w:val="14"/>
                <w:szCs w:val="14"/>
                <w:color w:val="0000FF"/>
              </w:rPr>
              <w:t>’</w:t>
            </w:r>
            <w:r>
              <w:rPr>
                <w:rFonts w:ascii="Times New Roman" w:cs="Times New Roman" w:eastAsia="Times New Roman" w:hAnsi="Times New Roman"/>
                <w:sz w:val="13"/>
                <w:szCs w:val="13"/>
                <w:color w:val="0000FF"/>
              </w:rPr>
              <w:t xml:space="preserve"> Equity</w:t>
            </w:r>
          </w:p>
        </w:tc>
        <w:tc>
          <w:tcPr>
            <w:tcW w:w="8660" w:type="dxa"/>
            <w:vAlign w:val="bottom"/>
            <w:gridSpan w:val="14"/>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57</w:t>
            </w:r>
          </w:p>
        </w:tc>
      </w:tr>
      <w:tr>
        <w:trPr>
          <w:trHeight w:val="160"/>
        </w:trPr>
        <w:tc>
          <w:tcPr>
            <w:tcW w:w="10340" w:type="dxa"/>
            <w:vAlign w:val="bottom"/>
            <w:gridSpan w:val="23"/>
          </w:tcPr>
          <w:p>
            <w:pPr>
              <w:spacing w:after="0"/>
              <w:rPr>
                <w:sz w:val="20"/>
                <w:szCs w:val="20"/>
                <w:color w:val="auto"/>
              </w:rPr>
            </w:pPr>
            <w:r>
              <w:rPr>
                <w:rFonts w:ascii="Times New Roman" w:cs="Times New Roman" w:eastAsia="Times New Roman" w:hAnsi="Times New Roman"/>
                <w:sz w:val="13"/>
                <w:szCs w:val="13"/>
                <w:color w:val="0000FF"/>
              </w:rPr>
              <w:t>Note 13 - Stock-Based Compensation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57</w:t>
            </w:r>
          </w:p>
        </w:tc>
      </w:tr>
      <w:tr>
        <w:trPr>
          <w:trHeight w:val="160"/>
        </w:trPr>
        <w:tc>
          <w:tcPr>
            <w:tcW w:w="184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3"/>
                <w:szCs w:val="13"/>
                <w:color w:val="0000FF"/>
              </w:rPr>
              <w:t>Note 14 - Employee Benefit Plans</w:t>
            </w:r>
          </w:p>
        </w:tc>
        <w:tc>
          <w:tcPr>
            <w:tcW w:w="180" w:type="dxa"/>
            <w:vAlign w:val="bottom"/>
            <w:tcBorders>
              <w:top w:val="single" w:sz="8" w:color="0000FF"/>
            </w:tcBorders>
          </w:tcPr>
          <w:p>
            <w:pPr>
              <w:spacing w:after="0"/>
              <w:rPr>
                <w:sz w:val="13"/>
                <w:szCs w:val="13"/>
                <w:color w:val="auto"/>
              </w:rPr>
            </w:pPr>
          </w:p>
        </w:tc>
        <w:tc>
          <w:tcPr>
            <w:tcW w:w="8320" w:type="dxa"/>
            <w:vAlign w:val="bottom"/>
            <w:gridSpan w:val="11"/>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59</w:t>
            </w:r>
          </w:p>
        </w:tc>
      </w:tr>
      <w:tr>
        <w:trPr>
          <w:trHeight w:val="160"/>
        </w:trPr>
        <w:tc>
          <w:tcPr>
            <w:tcW w:w="10340" w:type="dxa"/>
            <w:vAlign w:val="bottom"/>
            <w:gridSpan w:val="23"/>
          </w:tcPr>
          <w:p>
            <w:pPr>
              <w:spacing w:after="0"/>
              <w:rPr>
                <w:sz w:val="20"/>
                <w:szCs w:val="20"/>
                <w:color w:val="auto"/>
              </w:rPr>
            </w:pPr>
            <w:r>
              <w:rPr>
                <w:rFonts w:ascii="Times New Roman" w:cs="Times New Roman" w:eastAsia="Times New Roman" w:hAnsi="Times New Roman"/>
                <w:sz w:val="13"/>
                <w:szCs w:val="13"/>
                <w:color w:val="0000FF"/>
              </w:rPr>
              <w:t>Note 15 - Restructuring Charges and Other</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62</w:t>
            </w:r>
          </w:p>
        </w:tc>
      </w:tr>
      <w:tr>
        <w:trPr>
          <w:trHeight w:val="160"/>
        </w:trPr>
        <w:tc>
          <w:tcPr>
            <w:tcW w:w="232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3"/>
                <w:szCs w:val="13"/>
                <w:color w:val="0000FF"/>
              </w:rPr>
              <w:t>Note 16 - Income Taxes</w:t>
            </w:r>
          </w:p>
        </w:tc>
        <w:tc>
          <w:tcPr>
            <w:tcW w:w="8020" w:type="dxa"/>
            <w:vAlign w:val="bottom"/>
            <w:gridSpan w:val="10"/>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62</w:t>
            </w:r>
          </w:p>
        </w:tc>
      </w:tr>
      <w:tr>
        <w:trPr>
          <w:trHeight w:val="20"/>
        </w:trPr>
        <w:tc>
          <w:tcPr>
            <w:tcW w:w="1280" w:type="dxa"/>
            <w:vAlign w:val="bottom"/>
            <w:gridSpan w:val="5"/>
            <w:shd w:val="clear" w:color="auto" w:fill="0000FF"/>
          </w:tcPr>
          <w:p>
            <w:pPr>
              <w:spacing w:after="0" w:line="20" w:lineRule="exact"/>
              <w:rPr>
                <w:sz w:val="1"/>
                <w:szCs w:val="1"/>
                <w:color w:val="auto"/>
              </w:rPr>
            </w:pPr>
          </w:p>
        </w:tc>
        <w:tc>
          <w:tcPr>
            <w:tcW w:w="1060" w:type="dxa"/>
            <w:vAlign w:val="bottom"/>
            <w:gridSpan w:val="9"/>
          </w:tcPr>
          <w:p>
            <w:pPr>
              <w:spacing w:after="0" w:line="20" w:lineRule="exact"/>
              <w:rPr>
                <w:sz w:val="1"/>
                <w:szCs w:val="1"/>
                <w:color w:val="auto"/>
              </w:rPr>
            </w:pPr>
          </w:p>
        </w:tc>
        <w:tc>
          <w:tcPr>
            <w:tcW w:w="800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0"/>
        </w:trPr>
        <w:tc>
          <w:tcPr>
            <w:tcW w:w="23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3"/>
                <w:szCs w:val="13"/>
                <w:color w:val="0000FF"/>
              </w:rPr>
              <w:t>Note 17 - Commitments and Contingencies</w:t>
            </w:r>
          </w:p>
        </w:tc>
        <w:tc>
          <w:tcPr>
            <w:tcW w:w="8000" w:type="dxa"/>
            <w:vAlign w:val="bottom"/>
            <w:gridSpan w:val="9"/>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GXO Logistics, Inc.: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Opinions on the Consolidated Financial Statements and Internal Control Over Financial Reporting</w:t>
      </w:r>
    </w:p>
    <w:p>
      <w:pPr>
        <w:spacing w:after="0" w:line="8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 xml:space="preserve">We have audited the accompanying consolidated balance sheets of GXO Logistics, Inc. and subsidiaries (the Company) as of December 31, 2023 and 2022, the related consolidated statements of operations, comprehensive income, changes in equity, and cash flows for each of the years in the three-year period ended December 31, 2023, and the related notes (collectively,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(2013) </w:t>
      </w:r>
      <w:r>
        <w:rPr>
          <w:rFonts w:ascii="Times New Roman" w:cs="Times New Roman" w:eastAsia="Times New Roman" w:hAnsi="Times New Roman"/>
          <w:sz w:val="14"/>
          <w:szCs w:val="14"/>
          <w:color w:val="auto"/>
        </w:rPr>
        <w:t>issued by the Committee of Sponsoring Organizations of the Treadway Commission.</w:t>
      </w:r>
    </w:p>
    <w:p>
      <w:pPr>
        <w:spacing w:after="0" w:line="16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 xml:space="preserve">In our opinion, the consolidated financial statements referred to above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(2013) </w:t>
      </w:r>
      <w:r>
        <w:rPr>
          <w:rFonts w:ascii="Times New Roman" w:cs="Times New Roman" w:eastAsia="Times New Roman" w:hAnsi="Times New Roman"/>
          <w:sz w:val="14"/>
          <w:szCs w:val="14"/>
          <w:color w:val="auto"/>
        </w:rPr>
        <w:t>issued by the Committee of Sponsoring Organizations of the Treadway Commission.</w:t>
      </w:r>
    </w:p>
    <w:p>
      <w:pPr>
        <w:spacing w:after="0" w:line="16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Company acquired PFSweb, Inc. during 2023, and management excluded from its assessment of the effectiveness of the Company’s internal control over financial reporting as of December 31, 2023, PFSweb, Inc.’s internal control over financial reporting associated with approximately 1.8% of total assets, excluding associated goodwill and intangible assets, and approximately 0.8% of total revenues included in the consolidated financial statements of the Company as of and for the year ended December 31, 2023. Our audit of internal control over financial reporting of the Company also excluded an evaluation of the internal control over the financial reporting of PFSweb, Inc.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for Opinions</w:t>
      </w:r>
    </w:p>
    <w:p>
      <w:pPr>
        <w:spacing w:after="0" w:line="7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2"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color w:val="auto"/>
        </w:rPr>
        <w:t>audits also included performing such other procedures as we considered necessary in the circumstances. We believe that our audits provide a reasonable basis for our opinions.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Definition and Limitations of Internal Control Over Financial Reporting</w:t>
      </w:r>
    </w:p>
    <w:p>
      <w:pPr>
        <w:spacing w:after="0" w:line="8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w:t>
      </w:r>
    </w:p>
    <w:p>
      <w:pPr>
        <w:spacing w:after="0" w:line="7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Sufficiency of audit evidence over revenue from contracts with customers</w:t>
      </w:r>
    </w:p>
    <w:p>
      <w:pPr>
        <w:spacing w:after="0" w:line="202" w:lineRule="exact"/>
        <w:rPr>
          <w:sz w:val="20"/>
          <w:szCs w:val="20"/>
          <w:color w:val="auto"/>
        </w:rPr>
      </w:pPr>
    </w:p>
    <w:p>
      <w:pPr>
        <w:ind w:left="260" w:right="480"/>
        <w:spacing w:after="0" w:line="287" w:lineRule="auto"/>
        <w:rPr>
          <w:sz w:val="20"/>
          <w:szCs w:val="20"/>
          <w:color w:val="auto"/>
        </w:rPr>
      </w:pPr>
      <w:r>
        <w:rPr>
          <w:rFonts w:ascii="Times New Roman" w:cs="Times New Roman" w:eastAsia="Times New Roman" w:hAnsi="Times New Roman"/>
          <w:sz w:val="14"/>
          <w:szCs w:val="14"/>
          <w:color w:val="auto"/>
        </w:rPr>
        <w:t>As discussed in Notes 2 and 3 to the consolidated financial statements, revenue is recognized over the period in which services are provided under the terms of the Company’s contractual relationship with its customers. For the year ended December 31, 2023, the Company reported $9.8 billion of revenue.</w:t>
      </w:r>
    </w:p>
    <w:p>
      <w:pPr>
        <w:spacing w:after="0" w:line="145" w:lineRule="exact"/>
        <w:rPr>
          <w:sz w:val="20"/>
          <w:szCs w:val="20"/>
          <w:color w:val="auto"/>
        </w:rPr>
      </w:pPr>
    </w:p>
    <w:p>
      <w:pPr>
        <w:jc w:val="both"/>
        <w:ind w:left="260" w:right="40"/>
        <w:spacing w:after="0" w:line="270" w:lineRule="auto"/>
        <w:rPr>
          <w:sz w:val="20"/>
          <w:szCs w:val="20"/>
          <w:color w:val="auto"/>
        </w:rPr>
      </w:pPr>
      <w:r>
        <w:rPr>
          <w:rFonts w:ascii="Times New Roman" w:cs="Times New Roman" w:eastAsia="Times New Roman" w:hAnsi="Times New Roman"/>
          <w:sz w:val="14"/>
          <w:szCs w:val="14"/>
          <w:color w:val="auto"/>
        </w:rPr>
        <w:t>We identified the evaluation of the sufficiency of audit evidence over revenue from contracts with customers (revenue) as a critical audit matter. Subjective auditor judgment and IT professionals with specialized skills and knowledge were required to evaluate the sufficiency of audit evidence obtained over revenue due to the number and dispersion of warehouse management and other IT systems used in the processing and recording of revenue.</w:t>
      </w:r>
    </w:p>
    <w:p>
      <w:pPr>
        <w:spacing w:after="0" w:line="157" w:lineRule="exact"/>
        <w:rPr>
          <w:sz w:val="20"/>
          <w:szCs w:val="20"/>
          <w:color w:val="auto"/>
        </w:rPr>
      </w:pPr>
    </w:p>
    <w:p>
      <w:pPr>
        <w:ind w:left="260"/>
        <w:spacing w:after="0" w:line="257" w:lineRule="auto"/>
        <w:rPr>
          <w:sz w:val="20"/>
          <w:szCs w:val="20"/>
          <w:color w:val="auto"/>
        </w:rPr>
      </w:pPr>
      <w:r>
        <w:rPr>
          <w:rFonts w:ascii="Times New Roman" w:cs="Times New Roman" w:eastAsia="Times New Roman" w:hAnsi="Times New Roman"/>
          <w:sz w:val="14"/>
          <w:szCs w:val="14"/>
          <w:color w:val="auto"/>
        </w:rPr>
        <w:t>The following are the primary procedures we performed to address this critical audit matter. We applied auditor judgment to determine the nature and extent of procedures to be performed over the processing and recording of revenue. We evaluated the design and tested the operating effectiveness of certain internal controls related to the processing and recording of revenue, including manual controls related to the examination of revenue contracts and detection of revenues recorded outside of expectations. We involved IT professionals with specialized skills and knowledge to test certain manual and automated controls, including general IT controls, over multiple relevant IT systems and information used in internal control. We compared certain revenue activity recorded during the year to cash received, adjusted for reconciling items. We evaluated the relevance and reliability of certain reconciling items to underlying documentation, including the changes in accounts receivable and deferred revenue. We examined a selection of revenue contracts and transactions to assess that revenue was recorded in accordance with the Company’s accounting policy. Additionally, for a sample of accrued revenue at year-end, we confirmed with the Company’s customers the amount of revenue billed subsequent to year-end and compared the result to the Company’s accounting records. We evaluated the sufficiency of audit evidence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34" w:name="page35"/>
    <w:bookmarkEnd w:id="34"/>
    <w:p>
      <w:pPr>
        <w:ind w:left="260"/>
        <w:spacing w:after="0"/>
        <w:rPr>
          <w:sz w:val="20"/>
          <w:szCs w:val="20"/>
          <w:color w:val="auto"/>
        </w:rPr>
      </w:pPr>
      <w:r>
        <w:rPr>
          <w:rFonts w:ascii="Times New Roman" w:cs="Times New Roman" w:eastAsia="Times New Roman" w:hAnsi="Times New Roman"/>
          <w:sz w:val="14"/>
          <w:szCs w:val="14"/>
          <w:color w:val="auto"/>
        </w:rPr>
        <w:t>obtained by assessing the results of procedures performed, including the appropriateness of the nature and extent of such evidence.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Stamford, Connecticut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143" w:right="1440"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4"/>
          <w:szCs w:val="14"/>
          <w:b w:val="1"/>
          <w:bCs w:val="1"/>
          <w:color w:val="auto"/>
        </w:rPr>
        <w:t>GXO Logistics,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millions, shares in thousands, except per share amounts)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4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9,778</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8,993</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7,940</w:t>
            </w:r>
          </w:p>
        </w:tc>
        <w:tc>
          <w:tcPr>
            <w:tcW w:w="0" w:type="dxa"/>
            <w:vAlign w:val="bottom"/>
          </w:tcPr>
          <w:p>
            <w:pPr>
              <w:spacing w:after="0"/>
              <w:rPr>
                <w:sz w:val="1"/>
                <w:szCs w:val="1"/>
                <w:color w:val="auto"/>
              </w:rPr>
            </w:pPr>
          </w:p>
        </w:tc>
      </w:tr>
      <w:tr>
        <w:trPr>
          <w:trHeight w:val="180"/>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Direct operating expense</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6,637</w:t>
            </w: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0" w:type="dxa"/>
            <w:vAlign w:val="bottom"/>
          </w:tcPr>
          <w:p>
            <w:pPr>
              <w:spacing w:after="0"/>
              <w:rPr>
                <w:sz w:val="1"/>
                <w:szCs w:val="1"/>
                <w:color w:val="auto"/>
              </w:rPr>
            </w:pPr>
          </w:p>
        </w:tc>
      </w:tr>
      <w:tr>
        <w:trPr>
          <w:trHeight w:val="180"/>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80"/>
        </w:trPr>
        <w:tc>
          <w:tcPr>
            <w:tcW w:w="64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Restructuring costs and other</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1"/>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80"/>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Other income, net</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 net</w:t>
            </w: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attributable to Noncontrolling Interests (“NCI”)</w:t>
            </w: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GXO</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80"/>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common shares outstanding</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118,908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117,050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114,632</w:t>
            </w:r>
          </w:p>
        </w:tc>
        <w:tc>
          <w:tcPr>
            <w:tcW w:w="0" w:type="dxa"/>
            <w:vAlign w:val="bottom"/>
          </w:tcPr>
          <w:p>
            <w:pPr>
              <w:spacing w:after="0"/>
              <w:rPr>
                <w:sz w:val="1"/>
                <w:szCs w:val="1"/>
                <w:color w:val="auto"/>
              </w:rPr>
            </w:pPr>
          </w:p>
        </w:tc>
      </w:tr>
      <w:tr>
        <w:trPr>
          <w:trHeight w:val="184"/>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119,490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115,597</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4"/>
          <w:szCs w:val="14"/>
          <w:b w:val="1"/>
          <w:bCs w:val="1"/>
          <w:color w:val="auto"/>
        </w:rPr>
        <w:t>GXO Logistics,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4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(loss), net of tax</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0"/>
        </w:trPr>
        <w:tc>
          <w:tcPr>
            <w:tcW w:w="6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Cash flow hedges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Pension plans</w:t>
            </w: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1"/>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(loss), net of tax</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71"/>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net of tax</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80"/>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Less: Comprehensive income attributable to NCI</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attributable to GXO</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70"/>
        </w:trPr>
        <w:tc>
          <w:tcPr>
            <w:tcW w:w="8060" w:type="dxa"/>
            <w:vAlign w:val="bottom"/>
            <w:gridSpan w:val="2"/>
          </w:tcPr>
          <w:p>
            <w:pPr>
              <w:ind w:left="5300"/>
              <w:spacing w:after="0"/>
              <w:rPr>
                <w:sz w:val="20"/>
                <w:szCs w:val="20"/>
                <w:color w:val="auto"/>
              </w:rPr>
            </w:pPr>
            <w:r>
              <w:rPr>
                <w:rFonts w:ascii="Times New Roman" w:cs="Times New Roman" w:eastAsia="Times New Roman" w:hAnsi="Times New Roman"/>
                <w:sz w:val="14"/>
                <w:szCs w:val="14"/>
                <w:b w:val="1"/>
                <w:bCs w:val="1"/>
                <w:color w:val="auto"/>
              </w:rPr>
              <w:t>GXO Logistics, Inc.</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6"/>
        </w:trPr>
        <w:tc>
          <w:tcPr>
            <w:tcW w:w="8060" w:type="dxa"/>
            <w:vAlign w:val="bottom"/>
            <w:gridSpan w:val="2"/>
          </w:tcPr>
          <w:p>
            <w:pPr>
              <w:ind w:left="478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78"/>
        </w:trPr>
        <w:tc>
          <w:tcPr>
            <w:tcW w:w="7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tcBorders>
              <w:bottom w:val="single" w:sz="8" w:color="auto"/>
            </w:tcBorders>
          </w:tcPr>
          <w:p>
            <w:pPr>
              <w:spacing w:after="0"/>
              <w:rPr>
                <w:sz w:val="24"/>
                <w:szCs w:val="24"/>
                <w:color w:val="auto"/>
              </w:rPr>
            </w:pPr>
          </w:p>
        </w:tc>
      </w:tr>
      <w:tr>
        <w:trPr>
          <w:trHeight w:val="164"/>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millions, shares in thousands, except per share amounts)</w:t>
            </w:r>
          </w:p>
        </w:tc>
        <w:tc>
          <w:tcPr>
            <w:tcW w:w="360" w:type="dxa"/>
            <w:vAlign w:val="bottom"/>
          </w:tcPr>
          <w:p>
            <w:pPr>
              <w:spacing w:after="0"/>
              <w:rPr>
                <w:sz w:val="14"/>
                <w:szCs w:val="14"/>
                <w:color w:val="auto"/>
              </w:rPr>
            </w:pPr>
          </w:p>
        </w:tc>
        <w:tc>
          <w:tcPr>
            <w:tcW w:w="1200" w:type="dxa"/>
            <w:vAlign w:val="bottom"/>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r>
      <w:tr>
        <w:trPr>
          <w:trHeight w:val="169"/>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8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w:t>
            </w:r>
          </w:p>
        </w:tc>
      </w:tr>
      <w:tr>
        <w:trPr>
          <w:trHeight w:val="168"/>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Accounts receivable, net of allowance of $11 and $12</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1,753</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1,647</w:t>
            </w:r>
          </w:p>
        </w:tc>
      </w:tr>
      <w:tr>
        <w:trPr>
          <w:trHeight w:val="172"/>
        </w:trPr>
        <w:tc>
          <w:tcPr>
            <w:tcW w:w="8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current assets</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w:t>
            </w:r>
          </w:p>
        </w:tc>
      </w:tr>
      <w:tr>
        <w:trPr>
          <w:trHeight w:val="158"/>
        </w:trPr>
        <w:tc>
          <w:tcPr>
            <w:tcW w:w="8060" w:type="dxa"/>
            <w:vAlign w:val="bottom"/>
            <w:tcBorders>
              <w:bottom w:val="single" w:sz="8" w:color="CCEEFF"/>
            </w:tcBorders>
            <w:gridSpan w:val="2"/>
          </w:tcPr>
          <w:p>
            <w:pPr>
              <w:ind w:left="400"/>
              <w:spacing w:after="0" w:line="147"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2,568</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2,428</w:t>
            </w:r>
          </w:p>
        </w:tc>
      </w:tr>
      <w:tr>
        <w:trPr>
          <w:trHeight w:val="152"/>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Long-term assets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8"/>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Property and equipment, net of accumulated depreciation of $1,545 and $1,297</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953</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960</w:t>
            </w:r>
          </w:p>
        </w:tc>
      </w:tr>
      <w:tr>
        <w:trPr>
          <w:trHeight w:val="172"/>
        </w:trPr>
        <w:tc>
          <w:tcPr>
            <w:tcW w:w="8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Operating lease assets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2,227</w:t>
            </w:r>
          </w:p>
        </w:tc>
      </w:tr>
      <w:tr>
        <w:trPr>
          <w:trHeight w:val="168"/>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Goodwill</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2,728</w:t>
            </w:r>
          </w:p>
        </w:tc>
      </w:tr>
      <w:tr>
        <w:trPr>
          <w:trHeight w:val="172"/>
        </w:trPr>
        <w:tc>
          <w:tcPr>
            <w:tcW w:w="8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Intangible assets, net of accumulated amortization of $528 and $456</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w:t>
            </w:r>
          </w:p>
        </w:tc>
      </w:tr>
      <w:tr>
        <w:trPr>
          <w:trHeight w:val="168"/>
        </w:trPr>
        <w:tc>
          <w:tcPr>
            <w:tcW w:w="80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color w:val="auto"/>
              </w:rPr>
              <w:t>Other long-term assets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306</w:t>
            </w:r>
          </w:p>
        </w:tc>
      </w:tr>
      <w:tr>
        <w:trPr>
          <w:trHeight w:val="163"/>
        </w:trPr>
        <w:tc>
          <w:tcPr>
            <w:tcW w:w="80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Total long-term assets</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6,939</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6,791</w:t>
            </w:r>
          </w:p>
        </w:tc>
      </w:tr>
      <w:tr>
        <w:trPr>
          <w:trHeight w:val="158"/>
        </w:trPr>
        <w:tc>
          <w:tcPr>
            <w:tcW w:w="8060" w:type="dxa"/>
            <w:vAlign w:val="bottom"/>
            <w:gridSpan w:val="2"/>
          </w:tcPr>
          <w:p>
            <w:pPr>
              <w:ind w:left="600"/>
              <w:spacing w:after="0" w:line="147"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9,507</w:t>
            </w:r>
          </w:p>
        </w:tc>
        <w:tc>
          <w:tcPr>
            <w:tcW w:w="100" w:type="dxa"/>
            <w:vAlign w:val="bottom"/>
          </w:tcPr>
          <w:p>
            <w:pPr>
              <w:spacing w:after="0"/>
              <w:rPr>
                <w:sz w:val="13"/>
                <w:szCs w:val="13"/>
                <w:color w:val="auto"/>
              </w:rPr>
            </w:pPr>
          </w:p>
        </w:tc>
        <w:tc>
          <w:tcPr>
            <w:tcW w:w="4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9,219</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33"/>
        </w:trPr>
        <w:tc>
          <w:tcPr>
            <w:tcW w:w="8060" w:type="dxa"/>
            <w:vAlign w:val="bottom"/>
            <w:gridSpan w:val="2"/>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69"/>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8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w:t>
            </w:r>
          </w:p>
        </w:tc>
      </w:tr>
      <w:tr>
        <w:trPr>
          <w:trHeight w:val="168"/>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Accrued expenses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w:t>
            </w:r>
          </w:p>
        </w:tc>
      </w:tr>
      <w:tr>
        <w:trPr>
          <w:trHeight w:val="172"/>
        </w:trPr>
        <w:tc>
          <w:tcPr>
            <w:tcW w:w="8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Current debt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168"/>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Current operating lease liabilities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w:t>
            </w:r>
          </w:p>
        </w:tc>
      </w:tr>
      <w:tr>
        <w:trPr>
          <w:trHeight w:val="172"/>
        </w:trPr>
        <w:tc>
          <w:tcPr>
            <w:tcW w:w="8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w:t>
            </w:r>
          </w:p>
        </w:tc>
      </w:tr>
      <w:tr>
        <w:trPr>
          <w:trHeight w:val="158"/>
        </w:trPr>
        <w:tc>
          <w:tcPr>
            <w:tcW w:w="8060" w:type="dxa"/>
            <w:vAlign w:val="bottom"/>
            <w:tcBorders>
              <w:bottom w:val="single" w:sz="8" w:color="CCEEFF"/>
            </w:tcBorders>
            <w:gridSpan w:val="2"/>
          </w:tcPr>
          <w:p>
            <w:pPr>
              <w:ind w:left="400"/>
              <w:spacing w:after="0" w:line="147"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2,626</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2,532</w:t>
            </w:r>
          </w:p>
        </w:tc>
      </w:tr>
      <w:tr>
        <w:trPr>
          <w:trHeight w:val="152"/>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Long-term liabilities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8"/>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Long-term debt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1,739</w:t>
            </w:r>
          </w:p>
        </w:tc>
      </w:tr>
      <w:tr>
        <w:trPr>
          <w:trHeight w:val="172"/>
        </w:trPr>
        <w:tc>
          <w:tcPr>
            <w:tcW w:w="8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Long-term operating lease liabilities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1,853</w:t>
            </w:r>
          </w:p>
        </w:tc>
      </w:tr>
      <w:tr>
        <w:trPr>
          <w:trHeight w:val="168"/>
        </w:trPr>
        <w:tc>
          <w:tcPr>
            <w:tcW w:w="80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417</w:t>
            </w:r>
          </w:p>
        </w:tc>
      </w:tr>
      <w:tr>
        <w:trPr>
          <w:trHeight w:val="163"/>
        </w:trPr>
        <w:tc>
          <w:tcPr>
            <w:tcW w:w="80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Total long-term liabilities</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3,935</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4,009</w:t>
            </w:r>
          </w:p>
        </w:tc>
      </w:tr>
      <w:tr>
        <w:trPr>
          <w:trHeight w:val="149"/>
        </w:trPr>
        <w:tc>
          <w:tcPr>
            <w:tcW w:w="806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Commitments and Contingencies (Note 17)</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71"/>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8"/>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Common Stock, $0.01 par value per share; 300,000 shares authorized, 119,057 and 118,728 shares issued and outstanding</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8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Preferred Stock, $0.01 par value per share; 10,000 shares authorized, none issued and outstanding</w:t>
            </w:r>
          </w:p>
        </w:tc>
        <w:tc>
          <w:tcPr>
            <w:tcW w:w="3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Additional Paid-In Capital (“APIC”)</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2,598</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2,575</w:t>
            </w:r>
          </w:p>
        </w:tc>
      </w:tr>
      <w:tr>
        <w:trPr>
          <w:trHeight w:val="172"/>
        </w:trPr>
        <w:tc>
          <w:tcPr>
            <w:tcW w:w="8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Retained earnings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w:t>
            </w:r>
          </w:p>
        </w:tc>
      </w:tr>
      <w:tr>
        <w:trPr>
          <w:trHeight w:val="168"/>
        </w:trPr>
        <w:tc>
          <w:tcPr>
            <w:tcW w:w="80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color w:val="auto"/>
              </w:rPr>
              <w:t>Accumulated Other Comprehensive Income (Loss) (“AOCIL”)</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(254)</w:t>
            </w:r>
          </w:p>
        </w:tc>
      </w:tr>
      <w:tr>
        <w:trPr>
          <w:trHeight w:val="163"/>
        </w:trPr>
        <w:tc>
          <w:tcPr>
            <w:tcW w:w="80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Total stockholders’ equity before NCI</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2,912</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2,645</w:t>
            </w:r>
          </w:p>
        </w:tc>
      </w:tr>
      <w:tr>
        <w:trPr>
          <w:trHeight w:val="158"/>
        </w:trPr>
        <w:tc>
          <w:tcPr>
            <w:tcW w:w="8060" w:type="dxa"/>
            <w:vAlign w:val="bottom"/>
            <w:tcBorders>
              <w:bottom w:val="single" w:sz="8" w:color="CCEEFF"/>
            </w:tcBorders>
            <w:gridSpan w:val="2"/>
          </w:tcPr>
          <w:p>
            <w:pPr>
              <w:ind w:left="180"/>
              <w:spacing w:after="0" w:line="146" w:lineRule="exact"/>
              <w:rPr>
                <w:sz w:val="20"/>
                <w:szCs w:val="20"/>
                <w:color w:val="auto"/>
              </w:rPr>
            </w:pPr>
            <w:r>
              <w:rPr>
                <w:rFonts w:ascii="Times New Roman" w:cs="Times New Roman" w:eastAsia="Times New Roman" w:hAnsi="Times New Roman"/>
                <w:sz w:val="13"/>
                <w:szCs w:val="13"/>
                <w:color w:val="auto"/>
              </w:rPr>
              <w:t>NCI</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63"/>
        </w:trPr>
        <w:tc>
          <w:tcPr>
            <w:tcW w:w="80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2,946</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2,678</w:t>
            </w:r>
          </w:p>
        </w:tc>
      </w:tr>
      <w:tr>
        <w:trPr>
          <w:trHeight w:val="158"/>
        </w:trPr>
        <w:tc>
          <w:tcPr>
            <w:tcW w:w="8060" w:type="dxa"/>
            <w:vAlign w:val="bottom"/>
            <w:gridSpan w:val="2"/>
          </w:tcPr>
          <w:p>
            <w:pPr>
              <w:ind w:left="600"/>
              <w:spacing w:after="0" w:line="147" w:lineRule="exact"/>
              <w:rPr>
                <w:sz w:val="20"/>
                <w:szCs w:val="20"/>
                <w:color w:val="auto"/>
              </w:rPr>
            </w:pPr>
            <w:r>
              <w:rPr>
                <w:rFonts w:ascii="Times New Roman" w:cs="Times New Roman" w:eastAsia="Times New Roman" w:hAnsi="Times New Roman"/>
                <w:sz w:val="13"/>
                <w:szCs w:val="13"/>
                <w:b w:val="1"/>
                <w:bCs w:val="1"/>
                <w:color w:val="auto"/>
              </w:rPr>
              <w:t>Total liabilities and equity</w:t>
            </w: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9,507</w:t>
            </w:r>
          </w:p>
        </w:tc>
        <w:tc>
          <w:tcPr>
            <w:tcW w:w="100" w:type="dxa"/>
            <w:vAlign w:val="bottom"/>
          </w:tcPr>
          <w:p>
            <w:pPr>
              <w:spacing w:after="0"/>
              <w:rPr>
                <w:sz w:val="13"/>
                <w:szCs w:val="13"/>
                <w:color w:val="auto"/>
              </w:rPr>
            </w:pPr>
          </w:p>
        </w:tc>
        <w:tc>
          <w:tcPr>
            <w:tcW w:w="4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9,219</w:t>
            </w:r>
          </w:p>
        </w:tc>
      </w:tr>
      <w:tr>
        <w:trPr>
          <w:trHeight w:val="20"/>
        </w:trPr>
        <w:tc>
          <w:tcPr>
            <w:tcW w:w="7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38" w:name="page39"/>
    <w:bookmarkEnd w:id="38"/>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GXO Logistics,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64"/>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160" w:type="dxa"/>
            <w:vAlign w:val="bottom"/>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62"/>
        </w:trPr>
        <w:tc>
          <w:tcPr>
            <w:tcW w:w="6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r>
      <w:tr>
        <w:trPr>
          <w:trHeight w:val="169"/>
        </w:trPr>
        <w:tc>
          <w:tcPr>
            <w:tcW w:w="64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100" w:type="dxa"/>
            <w:vAlign w:val="bottom"/>
          </w:tcPr>
          <w:p>
            <w:pPr>
              <w:spacing w:after="0"/>
              <w:rPr>
                <w:sz w:val="14"/>
                <w:szCs w:val="14"/>
                <w:color w:val="auto"/>
              </w:rPr>
            </w:pP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tcPr>
          <w:p>
            <w:pPr>
              <w:spacing w:after="0"/>
              <w:rPr>
                <w:sz w:val="14"/>
                <w:szCs w:val="14"/>
                <w:color w:val="auto"/>
              </w:rPr>
            </w:pP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r>
      <w:tr>
        <w:trPr>
          <w:trHeight w:val="171"/>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Adjustments to reconcile net income to net cash provided by operating activities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8"/>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Depreciation and amortization expense</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w:t>
            </w:r>
          </w:p>
        </w:tc>
      </w:tr>
      <w:tr>
        <w:trPr>
          <w:trHeight w:val="172"/>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68"/>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Deferred tax benefit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72"/>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69"/>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Changes in operating assets and liabilities</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receivable</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w:t>
            </w:r>
          </w:p>
        </w:tc>
      </w:tr>
      <w:tr>
        <w:trPr>
          <w:trHeight w:val="168"/>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Other assets</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172"/>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w:t>
            </w:r>
          </w:p>
        </w:tc>
      </w:tr>
      <w:tr>
        <w:trPr>
          <w:trHeight w:val="168"/>
        </w:trPr>
        <w:tc>
          <w:tcPr>
            <w:tcW w:w="64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w:t>
            </w:r>
          </w:p>
        </w:tc>
      </w:tr>
      <w:tr>
        <w:trPr>
          <w:trHeight w:val="163"/>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w:t>
            </w:r>
          </w:p>
        </w:tc>
      </w:tr>
      <w:tr>
        <w:trPr>
          <w:trHeight w:val="149"/>
        </w:trPr>
        <w:tc>
          <w:tcPr>
            <w:tcW w:w="648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71"/>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Capital expenditures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r>
      <w:tr>
        <w:trPr>
          <w:trHeight w:val="168"/>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Proceeds from sale of property and equipment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72"/>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Acquisition of business, net of cash acquired</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68"/>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Cross-currency swap agreements settlement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6480" w:type="dxa"/>
            <w:vAlign w:val="bottom"/>
            <w:tcBorders>
              <w:bottom w:val="single" w:sz="8" w:color="CCEEFF"/>
            </w:tcBorders>
            <w:gridSpan w:val="2"/>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w:t>
            </w:r>
          </w:p>
        </w:tc>
      </w:tr>
      <w:tr>
        <w:trPr>
          <w:trHeight w:val="152"/>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68"/>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Proceeds from debt, net</w:t>
            </w:r>
          </w:p>
        </w:tc>
        <w:tc>
          <w:tcPr>
            <w:tcW w:w="36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794</w:t>
            </w:r>
          </w:p>
        </w:tc>
      </w:tr>
      <w:tr>
        <w:trPr>
          <w:trHeight w:val="172"/>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Repayments of debt, net</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68"/>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Repayment of finance lease obligations</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72"/>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Taxes paid related to net share settlement of equity awards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Repayments related to trade securitization program</w:t>
            </w:r>
          </w:p>
        </w:tc>
        <w:tc>
          <w:tcPr>
            <w:tcW w:w="36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72"/>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Purchase of NCI</w:t>
            </w:r>
          </w:p>
        </w:tc>
        <w:tc>
          <w:tcPr>
            <w:tcW w:w="3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r>
      <w:tr>
        <w:trPr>
          <w:trHeight w:val="168"/>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Net transfers to XPO</w:t>
            </w:r>
          </w:p>
        </w:tc>
        <w:tc>
          <w:tcPr>
            <w:tcW w:w="36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w:t>
            </w:r>
          </w:p>
        </w:tc>
      </w:tr>
      <w:tr>
        <w:trPr>
          <w:trHeight w:val="172"/>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58"/>
        </w:trPr>
        <w:tc>
          <w:tcPr>
            <w:tcW w:w="6480" w:type="dxa"/>
            <w:vAlign w:val="bottom"/>
            <w:tcBorders>
              <w:bottom w:val="single" w:sz="8" w:color="CCEEFF"/>
            </w:tcBorders>
            <w:gridSpan w:val="2"/>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Net cash (used in) provided by financing activities</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787</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w:t>
            </w:r>
          </w:p>
        </w:tc>
      </w:tr>
      <w:tr>
        <w:trPr>
          <w:trHeight w:val="163"/>
        </w:trPr>
        <w:tc>
          <w:tcPr>
            <w:tcW w:w="648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Effect of exchange rates on cash and cash equivalents</w:t>
            </w: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8"/>
        </w:trPr>
        <w:tc>
          <w:tcPr>
            <w:tcW w:w="648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Net (decrease) increase in cash, restricted cash and cash equivalents</w:t>
            </w: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2"/>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restricted cash and cash equivalents, beginning of year</w:t>
            </w: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w:t>
            </w:r>
          </w:p>
        </w:tc>
      </w:tr>
      <w:tr>
        <w:trPr>
          <w:trHeight w:val="158"/>
        </w:trPr>
        <w:tc>
          <w:tcPr>
            <w:tcW w:w="648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Cash, restricted cash and cash equivalents, end of year</w:t>
            </w: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495</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333</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6"/>
        </w:trPr>
        <w:tc>
          <w:tcPr>
            <w:tcW w:w="6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69"/>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Reconciliation of cash, restricted cash and cash equivalents</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r>
      <w:tr>
        <w:trPr>
          <w:trHeight w:val="168"/>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Restricted cash (included in Other long-term assets)</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5"/>
        </w:trPr>
        <w:tc>
          <w:tcPr>
            <w:tcW w:w="64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cash, restricted cash and cash equivalents</w:t>
            </w: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1141" w:right="339" w:bottom="1440" w:gutter="0" w:footer="0" w:header="0"/>
        </w:sectPr>
      </w:pPr>
    </w:p>
    <w:bookmarkStart w:id="39" w:name="page40"/>
    <w:bookmarkEnd w:id="39"/>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GXO Logistics,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4"/>
        </w:trPr>
        <w:tc>
          <w:tcPr>
            <w:tcW w:w="64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0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62"/>
        </w:trPr>
        <w:tc>
          <w:tcPr>
            <w:tcW w:w="6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cash flow information:</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r>
      <w:tr>
        <w:trPr>
          <w:trHeight w:val="168"/>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Cash paid for interest, net</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72"/>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paid for income taxes, net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69"/>
        </w:trPr>
        <w:tc>
          <w:tcPr>
            <w:tcW w:w="64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Common stock issued for acquisition</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5"/>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Settlement of related party debt due to the Separation</w:t>
            </w:r>
          </w:p>
        </w:tc>
        <w:tc>
          <w:tcPr>
            <w:tcW w:w="36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w:t>
            </w:r>
          </w:p>
        </w:tc>
      </w:tr>
    </w:tbl>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141" w:right="31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4"/>
          <w:szCs w:val="14"/>
          <w:b w:val="1"/>
          <w:bCs w:val="1"/>
          <w:color w:val="auto"/>
        </w:rPr>
        <w:t>GXO Logistics,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Equity</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XPO, Inc.</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i w:val="1"/>
                <w:iCs w:val="1"/>
                <w:color w:val="auto"/>
              </w:rPr>
              <w:t>(Shares in thousands, dollars in millions)</w:t>
            </w:r>
          </w:p>
        </w:tc>
        <w:tc>
          <w:tcPr>
            <w:tcW w:w="80" w:type="dxa"/>
            <w:vAlign w:val="bottom"/>
            <w:vMerge w:val="restart"/>
          </w:tcPr>
          <w:p>
            <w:pPr>
              <w:spacing w:after="0"/>
              <w:rPr>
                <w:sz w:val="9"/>
                <w:szCs w:val="9"/>
                <w:color w:val="auto"/>
              </w:rPr>
            </w:pPr>
          </w:p>
        </w:tc>
        <w:tc>
          <w:tcPr>
            <w:tcW w:w="860" w:type="dxa"/>
            <w:vAlign w:val="bottom"/>
            <w:vMerge w:val="restart"/>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vMerge w:val="restart"/>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1"/>
                <w:szCs w:val="11"/>
                <w:b w:val="1"/>
                <w:bCs w:val="1"/>
                <w:color w:val="auto"/>
              </w:rPr>
              <w:t>Invest</w:t>
            </w:r>
          </w:p>
        </w:tc>
        <w:tc>
          <w:tcPr>
            <w:tcW w:w="160" w:type="dxa"/>
            <w:vAlign w:val="bottom"/>
          </w:tcPr>
          <w:p>
            <w:pPr>
              <w:spacing w:after="0"/>
              <w:rPr>
                <w:sz w:val="9"/>
                <w:szCs w:val="9"/>
                <w:color w:val="auto"/>
              </w:rPr>
            </w:pPr>
          </w:p>
        </w:tc>
        <w:tc>
          <w:tcPr>
            <w:tcW w:w="680" w:type="dxa"/>
            <w:vAlign w:val="bottom"/>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APIC</w:t>
            </w:r>
          </w:p>
        </w:tc>
        <w:tc>
          <w:tcPr>
            <w:tcW w:w="8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40" w:type="dxa"/>
            <w:vAlign w:val="bottom"/>
          </w:tcPr>
          <w:p>
            <w:pPr>
              <w:spacing w:after="0"/>
              <w:rPr>
                <w:sz w:val="9"/>
                <w:szCs w:val="9"/>
                <w:color w:val="auto"/>
              </w:rPr>
            </w:pPr>
          </w:p>
        </w:tc>
        <w:tc>
          <w:tcPr>
            <w:tcW w:w="72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AOCIL</w:t>
            </w:r>
          </w:p>
        </w:tc>
        <w:tc>
          <w:tcPr>
            <w:tcW w:w="8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ind w:left="140"/>
              <w:spacing w:after="0" w:line="115" w:lineRule="exact"/>
              <w:rPr>
                <w:sz w:val="20"/>
                <w:szCs w:val="20"/>
                <w:color w:val="auto"/>
              </w:rPr>
            </w:pPr>
            <w:r>
              <w:rPr>
                <w:rFonts w:ascii="Times New Roman" w:cs="Times New Roman" w:eastAsia="Times New Roman" w:hAnsi="Times New Roman"/>
                <w:sz w:val="13"/>
                <w:szCs w:val="13"/>
                <w:b w:val="1"/>
                <w:bCs w:val="1"/>
                <w:color w:val="auto"/>
              </w:rPr>
              <w:t>Equity</w:t>
            </w:r>
          </w:p>
        </w:tc>
        <w:tc>
          <w:tcPr>
            <w:tcW w:w="200" w:type="dxa"/>
            <w:vAlign w:val="bottom"/>
          </w:tcPr>
          <w:p>
            <w:pPr>
              <w:spacing w:after="0"/>
              <w:rPr>
                <w:sz w:val="9"/>
                <w:szCs w:val="9"/>
                <w:color w:val="auto"/>
              </w:rPr>
            </w:pPr>
          </w:p>
        </w:tc>
        <w:tc>
          <w:tcPr>
            <w:tcW w:w="660" w:type="dxa"/>
            <w:vAlign w:val="bottom"/>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NCI</w:t>
            </w:r>
          </w:p>
        </w:tc>
        <w:tc>
          <w:tcPr>
            <w:tcW w:w="8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jc w:val="right"/>
              <w:ind w:right="220"/>
              <w:spacing w:after="0" w:line="11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9"/>
        </w:trPr>
        <w:tc>
          <w:tcPr>
            <w:tcW w:w="25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ment</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6"/>
              </w:rPr>
              <w:t>Before NCI</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5"/>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20"/>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2,765</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2,823</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2,948</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940" w:type="dxa"/>
            <w:vAlign w:val="bottom"/>
            <w:tcBorders>
              <w:top w:val="single" w:sz="8" w:color="CCEEFF"/>
            </w:tcBorders>
            <w:gridSpan w:val="2"/>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660" w:type="dxa"/>
            <w:vAlign w:val="bottom"/>
            <w:tcBorders>
              <w:top w:val="single" w:sz="8" w:color="CCEEFF"/>
            </w:tcBorders>
            <w:gridSpan w:val="2"/>
            <w:vMerge w:val="continue"/>
          </w:tcPr>
          <w:p>
            <w:pPr>
              <w:spacing w:after="0"/>
              <w:rPr>
                <w:sz w:val="10"/>
                <w:szCs w:val="10"/>
                <w:color w:val="auto"/>
              </w:rPr>
            </w:pPr>
          </w:p>
        </w:tc>
        <w:tc>
          <w:tcPr>
            <w:tcW w:w="86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27</w:t>
            </w: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126</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153</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8</w:t>
            </w: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161</w:t>
            </w:r>
          </w:p>
        </w:tc>
        <w:tc>
          <w:tcPr>
            <w:tcW w:w="0" w:type="dxa"/>
            <w:vAlign w:val="bottom"/>
          </w:tcPr>
          <w:p>
            <w:pPr>
              <w:spacing w:after="0"/>
              <w:rPr>
                <w:sz w:val="1"/>
                <w:szCs w:val="1"/>
                <w:color w:val="auto"/>
              </w:rPr>
            </w:pPr>
          </w:p>
        </w:tc>
      </w:tr>
      <w:tr>
        <w:trPr>
          <w:trHeight w:val="161"/>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loss</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0" w:type="dxa"/>
            <w:vAlign w:val="bottom"/>
          </w:tcPr>
          <w:p>
            <w:pPr>
              <w:spacing w:after="0"/>
              <w:rPr>
                <w:sz w:val="1"/>
                <w:szCs w:val="1"/>
                <w:color w:val="auto"/>
              </w:rPr>
            </w:pPr>
          </w:p>
        </w:tc>
      </w:tr>
      <w:tr>
        <w:trPr>
          <w:trHeight w:val="157"/>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161"/>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Vesting of stock compensation awards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5"/>
        </w:trPr>
        <w:tc>
          <w:tcPr>
            <w:tcW w:w="266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2"/>
                <w:szCs w:val="12"/>
                <w:color w:val="auto"/>
              </w:rPr>
              <w:t>Tax withholding related to vesting of stock</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compensation awards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62"/>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 of NCI</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0" w:type="dxa"/>
            <w:vAlign w:val="bottom"/>
          </w:tcPr>
          <w:p>
            <w:pPr>
              <w:spacing w:after="0"/>
              <w:rPr>
                <w:sz w:val="1"/>
                <w:szCs w:val="1"/>
                <w:color w:val="auto"/>
              </w:rPr>
            </w:pPr>
          </w:p>
        </w:tc>
      </w:tr>
      <w:tr>
        <w:trPr>
          <w:trHeight w:val="125"/>
        </w:trPr>
        <w:tc>
          <w:tcPr>
            <w:tcW w:w="266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2"/>
                <w:szCs w:val="12"/>
                <w:color w:val="auto"/>
              </w:rPr>
              <w:t>Net transfers from (to) XPO, including separation</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adjustments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(557)</w:t>
            </w:r>
          </w:p>
        </w:tc>
        <w:tc>
          <w:tcPr>
            <w:tcW w:w="0" w:type="dxa"/>
            <w:vAlign w:val="bottom"/>
          </w:tcPr>
          <w:p>
            <w:pPr>
              <w:spacing w:after="0"/>
              <w:rPr>
                <w:sz w:val="1"/>
                <w:szCs w:val="1"/>
                <w:color w:val="auto"/>
              </w:rPr>
            </w:pPr>
          </w:p>
        </w:tc>
      </w:tr>
      <w:tr>
        <w:trPr>
          <w:trHeight w:val="128"/>
        </w:trPr>
        <w:tc>
          <w:tcPr>
            <w:tcW w:w="26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2"/>
                <w:szCs w:val="12"/>
                <w:color w:val="auto"/>
              </w:rPr>
              <w:t>Issuance of common stock and reclassification of</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XPO investment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114,626</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7"/>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77"/>
        </w:trPr>
        <w:tc>
          <w:tcPr>
            <w:tcW w:w="26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114,659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ind w:right="520"/>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940" w:type="dxa"/>
            <w:vAlign w:val="bottom"/>
            <w:tcBorders>
              <w:top w:val="single" w:sz="8" w:color="CCEEFF"/>
            </w:tcBorders>
            <w:gridSpan w:val="2"/>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660" w:type="dxa"/>
            <w:vAlign w:val="bottom"/>
            <w:tcBorders>
              <w:top w:val="single" w:sz="8" w:color="CCEEFF"/>
            </w:tcBorders>
            <w:gridSpan w:val="2"/>
            <w:vMerge w:val="continue"/>
          </w:tcPr>
          <w:p>
            <w:pPr>
              <w:spacing w:after="0"/>
              <w:rPr>
                <w:sz w:val="10"/>
                <w:szCs w:val="10"/>
                <w:color w:val="auto"/>
              </w:rPr>
            </w:pPr>
          </w:p>
        </w:tc>
        <w:tc>
          <w:tcPr>
            <w:tcW w:w="86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197</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197</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3</w:t>
            </w: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200</w:t>
            </w:r>
          </w:p>
        </w:tc>
        <w:tc>
          <w:tcPr>
            <w:tcW w:w="0" w:type="dxa"/>
            <w:vAlign w:val="bottom"/>
          </w:tcPr>
          <w:p>
            <w:pPr>
              <w:spacing w:after="0"/>
              <w:rPr>
                <w:sz w:val="1"/>
                <w:szCs w:val="1"/>
                <w:color w:val="auto"/>
              </w:rPr>
            </w:pPr>
          </w:p>
        </w:tc>
      </w:tr>
      <w:tr>
        <w:trPr>
          <w:trHeight w:val="161"/>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loss</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0" w:type="dxa"/>
            <w:vAlign w:val="bottom"/>
          </w:tcPr>
          <w:p>
            <w:pPr>
              <w:spacing w:after="0"/>
              <w:rPr>
                <w:sz w:val="1"/>
                <w:szCs w:val="1"/>
                <w:color w:val="auto"/>
              </w:rPr>
            </w:pPr>
          </w:p>
        </w:tc>
      </w:tr>
      <w:tr>
        <w:trPr>
          <w:trHeight w:val="157"/>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0" w:type="dxa"/>
            <w:vAlign w:val="bottom"/>
          </w:tcPr>
          <w:p>
            <w:pPr>
              <w:spacing w:after="0"/>
              <w:rPr>
                <w:sz w:val="1"/>
                <w:szCs w:val="1"/>
                <w:color w:val="auto"/>
              </w:rPr>
            </w:pPr>
          </w:p>
        </w:tc>
      </w:tr>
      <w:tr>
        <w:trPr>
          <w:trHeight w:val="161"/>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Vesting of stock compensation awards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557</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5"/>
        </w:trPr>
        <w:tc>
          <w:tcPr>
            <w:tcW w:w="266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2"/>
                <w:szCs w:val="12"/>
                <w:color w:val="auto"/>
              </w:rPr>
              <w:t>Tax withholding on vesting of stock compensation</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awards</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rPr>
                <w:sz w:val="1"/>
                <w:szCs w:val="1"/>
                <w:color w:val="auto"/>
              </w:rPr>
            </w:pPr>
          </w:p>
        </w:tc>
      </w:tr>
      <w:tr>
        <w:trPr>
          <w:trHeight w:val="162"/>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Common stock issued for acquisition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3,758</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w:t>
            </w:r>
          </w:p>
        </w:tc>
        <w:tc>
          <w:tcPr>
            <w:tcW w:w="0" w:type="dxa"/>
            <w:vAlign w:val="bottom"/>
          </w:tcPr>
          <w:p>
            <w:pPr>
              <w:spacing w:after="0"/>
              <w:rPr>
                <w:sz w:val="1"/>
                <w:szCs w:val="1"/>
                <w:color w:val="auto"/>
              </w:rPr>
            </w:pPr>
          </w:p>
        </w:tc>
      </w:tr>
      <w:tr>
        <w:trPr>
          <w:trHeight w:val="157"/>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77"/>
        </w:trPr>
        <w:tc>
          <w:tcPr>
            <w:tcW w:w="26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118,728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ind w:right="520"/>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2,678</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940" w:type="dxa"/>
            <w:vAlign w:val="bottom"/>
            <w:tcBorders>
              <w:top w:val="single" w:sz="8" w:color="CCEEFF"/>
            </w:tcBorders>
            <w:gridSpan w:val="2"/>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660" w:type="dxa"/>
            <w:vAlign w:val="bottom"/>
            <w:tcBorders>
              <w:top w:val="single" w:sz="8" w:color="CCEEFF"/>
            </w:tcBorders>
            <w:gridSpan w:val="2"/>
            <w:vMerge w:val="continue"/>
          </w:tcPr>
          <w:p>
            <w:pPr>
              <w:spacing w:after="0"/>
              <w:rPr>
                <w:sz w:val="10"/>
                <w:szCs w:val="10"/>
                <w:color w:val="auto"/>
              </w:rPr>
            </w:pPr>
          </w:p>
        </w:tc>
        <w:tc>
          <w:tcPr>
            <w:tcW w:w="86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229</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229</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4</w:t>
            </w: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233</w:t>
            </w:r>
          </w:p>
        </w:tc>
        <w:tc>
          <w:tcPr>
            <w:tcW w:w="0" w:type="dxa"/>
            <w:vAlign w:val="bottom"/>
          </w:tcPr>
          <w:p>
            <w:pPr>
              <w:spacing w:after="0"/>
              <w:rPr>
                <w:sz w:val="1"/>
                <w:szCs w:val="1"/>
                <w:color w:val="auto"/>
              </w:rPr>
            </w:pPr>
          </w:p>
        </w:tc>
      </w:tr>
      <w:tr>
        <w:trPr>
          <w:trHeight w:val="161"/>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rPr>
                <w:sz w:val="1"/>
                <w:szCs w:val="1"/>
                <w:color w:val="auto"/>
              </w:rPr>
            </w:pPr>
          </w:p>
        </w:tc>
      </w:tr>
      <w:tr>
        <w:trPr>
          <w:trHeight w:val="157"/>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0" w:type="dxa"/>
            <w:vAlign w:val="bottom"/>
          </w:tcPr>
          <w:p>
            <w:pPr>
              <w:spacing w:after="0"/>
              <w:rPr>
                <w:sz w:val="1"/>
                <w:szCs w:val="1"/>
                <w:color w:val="auto"/>
              </w:rPr>
            </w:pPr>
          </w:p>
        </w:tc>
      </w:tr>
      <w:tr>
        <w:trPr>
          <w:trHeight w:val="161"/>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Vesting of stock compensation awards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555</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5"/>
        </w:trPr>
        <w:tc>
          <w:tcPr>
            <w:tcW w:w="266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2"/>
                <w:szCs w:val="12"/>
                <w:color w:val="auto"/>
              </w:rPr>
              <w:t>Tax withholding on vesting of stock compensation</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awards</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162"/>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5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119,057</w:t>
            </w: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2,598</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552</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(239)</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2,912</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2,946</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420" w:top="1279" w:right="4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GXO Logistics, Inc.</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Organization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Nature of Operations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GXO Logistics, Inc., together with its subsidiaries (“GXO” or the “Company”), is the largest pure-play contract logistics provider in the world. The Company provides its customers with high-value-added warehousing and distribution, order fulfillment, e-commerce, reverse logistics and other supply chain services differentiated by its ability to deliver technology-enabled, customized solutions at scale. The Company serves a broad range of customers across a range of industries, such as e-commerce, omnichannel retail, technology and consumer electronics, food and beverage, industrial and manufacturing, and consumer packaged goods, among others. The Company presents its operations in the Consolidated Financial Statements as one reportable segment.</w:t>
      </w:r>
    </w:p>
    <w:p>
      <w:pPr>
        <w:spacing w:after="0" w:line="162"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On August 2, 2021, the Company completed the separation (the “Separation”) from XPO, Inc. (“XPO”). The Separation was accomplished by the distribution of 100% of the outstanding common stock of GXO to XPO stockholders as of the close of business on July 23, 2021, the record date for the distribution. XPO stockholders received one share of GXO common stock for every share of XPO common stock held at the close of business on the record date. On August 2, 2021, GXO became a standalone publicly-traded company and regular-way trading of GXO’s common stock commenced on the New York Stock Exchange under the ticker symbol “GXO.” GXO was incorporated as a Delaware corporation in February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Basis of Presentation and Significant Accounting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202"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Before the Separation, the Company’s financial statements were prepared on a standalone combined basis and were derived from the Consolidated Financial Statements and accounting records of XPO (the “historical financial statements”). On August 2, 2021, the Company became a standalone publicly traded company, and its financial statements post-Separation are prepared on a consolidated basis. The combined Consolidated Financial Statements for all periods presented before the Separation are now also referred to as “Consolidated Financial Statements” and have been prepared under the U.S. generally accepted accounting principles (“GAAP”).</w:t>
      </w:r>
    </w:p>
    <w:p>
      <w:pPr>
        <w:spacing w:after="0" w:line="162"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Before the Separation, the Company’s historical assets and liabilities presented were wholly owned by XPO and were reflected on a historical cost basis. In connection with the Separation, the Company’s assets and liabilities were transferred to the Company on a carry-over basis.</w:t>
      </w:r>
    </w:p>
    <w:p>
      <w:pPr>
        <w:spacing w:after="0" w:line="14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Before the Separation, the historical results of operations included allocations of XPO costs and expenses including XPO’s corporate function, which incurred a variety of expenses, including, but not limited to, information technology, human resources, accounting, sales and sales operations, procurement, executive services, legal, corporate finance and communications. An allocation of these expenses is included to burden all business units comprising XPO’s historical results of operations, including GXO. The charges reflected have been either specifically identified or allocated using drivers including adjusted earnings before interest, taxes, depreciation and amortization, which includes adjustments for transaction and integration costs, as well as restructuring costs and other adjustments, or headcount. The majority of these allocated costs are recorded within Selling, general and administrative expense; Depreciation and amortization expense; and Transaction and integration costs in the Consolidated Statements of Operations.</w:t>
      </w:r>
    </w:p>
    <w:p>
      <w:pPr>
        <w:spacing w:after="0" w:line="167"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The Company’s Consolidated Financial Statements include the accounts of GXO Logistics, Inc. and its majority-owned subsidiaries and variable interest entities where the Company is the primary beneficiary. The Company has eliminated intercompany accounts and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2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20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GAAP requires the use of estimates, judgments and assumptions that affect the reported amounts in the Consolidated Financial Statements and accompanying notes. The Company bases its estimates and judgments on historical information and on various other assumptions that it believes are reasonable under the circumstances. GAAP requires the Company to make estimates and judgments in several areas, including, but not limited to, those related to revenue recognition, income taxes, loss contingencies, defined benefit plans, valuation of long-lived assets including goodwill and intangible assets and their associated estimated useful lives, collectability of accounts receivable and the fair value of financial instruments. Actual results may vary from those estimates.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Significant Accounting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Restricted Cash and Cash Equivalents</w:t>
      </w:r>
    </w:p>
    <w:p>
      <w:pPr>
        <w:spacing w:after="0" w:line="202"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The Company considers all highly liquid investments with an original maturity of three months or less on the date of purchase to be cash equivalents. Bank overdraft positions occur when total outstanding issued checks exceed available cash balances at a single financial institution. Restricted cash is included within Other long-term assets on the Consolidated Balance sheets and consists primarily of cash that collateralizes certain operating obligations.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 and Allowance for Credit Losses</w:t>
      </w:r>
    </w:p>
    <w:p>
      <w:pPr>
        <w:spacing w:after="0" w:line="20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Accounts receivable represents the Company’s unconditional right to receive consideration from its customers. The Company records accounts receivable at the contractual amount and records an allowance for doubtful accounts for the amount it estimates it may not collect. In determining the allowance for doubtful accounts, the Company considers historical collection experience, the age of the accounts receivable balances, the credit quality and risk of its customers, any specific customer collection issues, current economic conditions and other factors that may impact its customers’ ability to pay. The Company writes off accounts receivable balances once the receivables are no longer deemed collectible.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roll forward of the allowance for doubtful accounts was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center"/>
              <w:ind w:left="889"/>
              <w:spacing w:after="0"/>
              <w:rPr>
                <w:sz w:val="20"/>
                <w:szCs w:val="20"/>
                <w:color w:val="auto"/>
              </w:rPr>
            </w:pPr>
            <w:r>
              <w:rPr>
                <w:rFonts w:ascii="Times New Roman" w:cs="Times New Roman" w:eastAsia="Times New Roman" w:hAnsi="Times New Roman"/>
                <w:sz w:val="14"/>
                <w:szCs w:val="14"/>
                <w:color w:val="auto"/>
                <w:w w:val="99"/>
              </w:rPr>
              <w:t>12</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Provisions charged to expense</w:t>
            </w:r>
          </w:p>
        </w:tc>
        <w:tc>
          <w:tcPr>
            <w:tcW w:w="360" w:type="dxa"/>
            <w:vAlign w:val="bottom"/>
          </w:tcPr>
          <w:p>
            <w:pPr>
              <w:spacing w:after="0"/>
              <w:rPr>
                <w:sz w:val="15"/>
                <w:szCs w:val="15"/>
                <w:color w:val="auto"/>
              </w:rPr>
            </w:pPr>
          </w:p>
        </w:tc>
        <w:tc>
          <w:tcPr>
            <w:tcW w:w="1220" w:type="dxa"/>
            <w:vAlign w:val="bottom"/>
          </w:tcPr>
          <w:p>
            <w:pPr>
              <w:jc w:val="center"/>
              <w:ind w:left="889"/>
              <w:spacing w:after="0"/>
              <w:rPr>
                <w:sz w:val="20"/>
                <w:szCs w:val="20"/>
                <w:color w:val="auto"/>
              </w:rPr>
            </w:pPr>
            <w:r>
              <w:rPr>
                <w:rFonts w:ascii="Times New Roman" w:cs="Times New Roman" w:eastAsia="Times New Roman" w:hAnsi="Times New Roman"/>
                <w:sz w:val="14"/>
                <w:szCs w:val="14"/>
                <w:color w:val="auto"/>
                <w:w w:val="99"/>
              </w:rPr>
              <w:t>10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Write-offs, less recoveries, and other adjustments</w:t>
            </w: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center"/>
              <w:ind w:left="869"/>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center"/>
              <w:ind w:left="889"/>
              <w:spacing w:after="0"/>
              <w:rPr>
                <w:sz w:val="20"/>
                <w:szCs w:val="20"/>
                <w:color w:val="auto"/>
              </w:rPr>
            </w:pPr>
            <w:r>
              <w:rPr>
                <w:rFonts w:ascii="Times New Roman" w:cs="Times New Roman" w:eastAsia="Times New Roman" w:hAnsi="Times New Roman"/>
                <w:sz w:val="14"/>
                <w:szCs w:val="14"/>
                <w:color w:val="auto"/>
                <w:w w:val="99"/>
              </w:rPr>
              <w:t>11</w:t>
            </w:r>
          </w:p>
        </w:tc>
        <w:tc>
          <w:tcPr>
            <w:tcW w:w="8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
        </w:trPr>
        <w:tc>
          <w:tcPr>
            <w:tcW w:w="6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202"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Property and equipment, which includes assets recorded under finance leases, are stated at cost less accumulated depreciation or, in the case of property and equipment acquired in a business combination, at fair value at the date of acquisition. Maintenance and repair expenditures are charged to expenses as incurred.</w:t>
      </w:r>
    </w:p>
    <w:p>
      <w:pPr>
        <w:spacing w:after="0" w:line="145"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For internally developed computer software, all costs incurred during the planning and evaluation stages are expensed as incurred. Software development costs are capitalized once the preliminary project stage is complete and it is probable that the project will be completed and the software will be used to perform the function intended.</w:t>
      </w:r>
    </w:p>
    <w:p>
      <w:pPr>
        <w:spacing w:after="0" w:line="145"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Depreciation is computed using the straight-line method over the estimated useful lives of the assets or the remaining lease term, whichever is shorter. Land and assets held within construction in progress are not depreciated.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4"/>
        </w:trPr>
        <w:tc>
          <w:tcPr>
            <w:tcW w:w="6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estimated useful lives of property and equipment are described below:</w:t>
            </w:r>
          </w:p>
        </w:tc>
        <w:tc>
          <w:tcPr>
            <w:tcW w:w="4760" w:type="dxa"/>
            <w:vAlign w:val="bottom"/>
          </w:tcPr>
          <w:p>
            <w:pPr>
              <w:spacing w:after="0"/>
              <w:rPr>
                <w:sz w:val="16"/>
                <w:szCs w:val="16"/>
                <w:color w:val="auto"/>
              </w:rPr>
            </w:pPr>
          </w:p>
        </w:tc>
      </w:tr>
      <w:tr>
        <w:trPr>
          <w:trHeight w:val="202"/>
        </w:trPr>
        <w:tc>
          <w:tcPr>
            <w:tcW w:w="64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71"/>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Buildings</w:t>
            </w:r>
          </w:p>
        </w:tc>
        <w:tc>
          <w:tcPr>
            <w:tcW w:w="80" w:type="dxa"/>
            <w:vAlign w:val="bottom"/>
            <w:shd w:val="clear" w:color="auto" w:fill="CCEEFF"/>
          </w:tcPr>
          <w:p>
            <w:pPr>
              <w:spacing w:after="0"/>
              <w:rPr>
                <w:sz w:val="14"/>
                <w:szCs w:val="14"/>
                <w:color w:val="auto"/>
              </w:rPr>
            </w:pPr>
          </w:p>
        </w:tc>
        <w:tc>
          <w:tcPr>
            <w:tcW w:w="4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 years</w:t>
            </w:r>
          </w:p>
        </w:tc>
      </w:tr>
      <w:tr>
        <w:trPr>
          <w:trHeight w:val="18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Shorter of useful life or term of lease</w:t>
            </w:r>
          </w:p>
        </w:tc>
      </w:tr>
      <w:tr>
        <w:trPr>
          <w:trHeight w:val="191"/>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 and automated systems</w:t>
            </w:r>
          </w:p>
        </w:tc>
        <w:tc>
          <w:tcPr>
            <w:tcW w:w="4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 to 15 years</w:t>
            </w:r>
          </w:p>
        </w:tc>
      </w:tr>
      <w:tr>
        <w:trPr>
          <w:trHeight w:val="187"/>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Warehouse equipment and other</w:t>
            </w:r>
          </w:p>
        </w:tc>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 to 15 years</w:t>
            </w:r>
          </w:p>
        </w:tc>
      </w:tr>
      <w:tr>
        <w:trPr>
          <w:trHeight w:val="194"/>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software and equipment</w:t>
            </w:r>
          </w:p>
        </w:tc>
        <w:tc>
          <w:tcPr>
            <w:tcW w:w="4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 to 5 years</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 Obligations</w:t>
      </w:r>
    </w:p>
    <w:p>
      <w:pPr>
        <w:spacing w:after="0" w:line="202"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The Company has operating leases primarily for real estate, warehouse equipment, material handling equipment, trucks, trailers and containers and finance leases for equipment. The Company determines if an arrangement is a lease at inception. For leases with terms greater than 12 months, the Company recognizes lease assets and liabilities at the lease commencement date based on the present value of the lease payments over the lease term.</w:t>
      </w:r>
    </w:p>
    <w:p>
      <w:pPr>
        <w:spacing w:after="0" w:line="15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For most of the Company’s leases, the implicit rate cannot be readily determined and, as a result, the Company uses the incremental borrowing rates at the commencement date to determine the present value of future lease payments. For leases that include fixed rental payments for both the use of the asset (“lease costs”) as well as for other occupancy or service costs relating to the asset (“non-lease costs”), the Company generally includes both the lease costs and non-lease costs as a single lease component in the measurement of the lease asset and liability. Certain lease agreements include rental payments based on changes in the consumer price index (“CPI”). Lease liabilities are not remeasured as a result of changes in the CPI; instead, changes in the CPI are treated as variable lease payments and are excluded from the measurement of the right-of-use asset and lease liability. These payments are recognized in the period in which the related obligation is incurred.</w:t>
      </w:r>
    </w:p>
    <w:p>
      <w:pPr>
        <w:spacing w:after="0" w:line="16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Lease agreements may contain rent escalation clauses, renewal or termination options, rent holidays or certain landlord incentives, including tenant improvement allowances. Lease expense is recognized on a straight-line basis over the non-cancelable lease term and renewal periods that are considered reasonably certain. Amounts received from a landlord are included as a reduction to the lease asset and are included within operating activities on the Consolidated Statement of Cash Flows.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Long-lived assets geographic information</w:t>
      </w:r>
    </w:p>
    <w:p>
      <w:pPr>
        <w:spacing w:after="0" w:line="20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The Company’s long-lived assets for this disclosure is defined as Property and equipment, net of accumulated depreciation, and operating lease assets. The Company’s long-lived assets by geographic region were as follows:</w:t>
      </w: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71"/>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w:t>
            </w:r>
          </w:p>
        </w:tc>
      </w:tr>
      <w:tr>
        <w:trPr>
          <w:trHeight w:val="18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w:t>
            </w:r>
          </w:p>
        </w:tc>
      </w:tr>
      <w:tr>
        <w:trPr>
          <w:trHeight w:val="180"/>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r>
      <w:tr>
        <w:trPr>
          <w:trHeight w:val="171"/>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3,154</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3,187</w:t>
            </w:r>
          </w:p>
        </w:tc>
      </w:tr>
      <w:tr>
        <w:trPr>
          <w:trHeight w:val="20"/>
        </w:trPr>
        <w:tc>
          <w:tcPr>
            <w:tcW w:w="7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and Intangible Assets</w:t>
      </w:r>
    </w:p>
    <w:p>
      <w:pPr>
        <w:spacing w:after="0" w:line="20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The Company records goodwill as the excess of the consideration transferred over the fair value of net assets acquired in business combinations. Goodwill is tested for impairment at the reporting unit level, which is an operating segment, or one level below. The Company has three reporting units: i) Americas and Asia-Pacific, ii) United Kingdom and Ireland and iii) Continental Europe. The Company measures goodwill impairment, if any, as the amount by which the carrying amount of the reporting unit exceeds its fair value, not to exceed the carrying amount of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44" w:name="page45"/>
    <w:bookmarkEnd w:id="44"/>
    <w:p>
      <w:pPr>
        <w:ind w:right="20"/>
        <w:spacing w:after="0" w:line="257" w:lineRule="auto"/>
        <w:rPr>
          <w:sz w:val="20"/>
          <w:szCs w:val="20"/>
          <w:color w:val="auto"/>
        </w:rPr>
      </w:pPr>
      <w:r>
        <w:rPr>
          <w:rFonts w:ascii="Times New Roman" w:cs="Times New Roman" w:eastAsia="Times New Roman" w:hAnsi="Times New Roman"/>
          <w:sz w:val="14"/>
          <w:szCs w:val="14"/>
          <w:color w:val="auto"/>
        </w:rPr>
        <w:t>The Company performed its annual goodwill impairment test on November 1. The review of goodwill impairment consists of either using a qualitative approach to determine whether it is more likely than not that the fair value of the assets is less than their respective carrying values or a one-step quantitative impairment test. In performing the qualitative assessment, the Company considers many factors in evaluating whether the carrying value of goodwill may not be recoverable, including declines in the Company’s stock price, market capitalization of the Company and macroeconomic conditions. If, based on the results of the qualitative assessment, it is concluded that it is not more likely than not that the fair value of a reporting unit exceeds its carrying value, additional quantitative impairment testing is performed. The quantitative test requires that the carrying value of each reporting unit be compared with its estimated fair value. If the carrying value of a reporting unit is greater than its fair value, a goodwill impairment charge will be recorded for the difference (up to the carrying value of goodwill). The Company uses the income approach and/or a market-based approach to determine the reporting units’ fair values. The determination of discounted cash flows used in the income approach requires significant estimates and assumptions. Due to the inherent uncertainty involved in making these estimates, actual results could differ from those estimates.</w:t>
      </w:r>
    </w:p>
    <w:p>
      <w:pPr>
        <w:spacing w:after="0" w:line="17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Company’s intangible assets consist of customer relationships, trade names, trademarks, and developed technology which are amortized on a straight-line basis or over the period the economic benefits are expected to be realized. The Company reviews its intangible assets for impairment whenever events or changes in circumstances indicate that the carrying amount of the assets may not be recoverable.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reviews long-lived assets to be held-and-used for impairment whenever events or changes in circumstances indicate that the carrying amount of the assets may not be recoverable. If an impairment indicator is present, the Company evaluates recoverability by comparing the carrying amount of the asset group to the sum of the undiscounted expected future cash flows over the remaining useful life of a long-lived asset group. If the assets are impaired, an impairment loss is measured as the amount by which the carrying amount of the asset group exceeds the fair value of the asset. The Company estimates fair value using the expected future cash flows discounted at a rate consistent with the risks associated with the recovery of the asset.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 Reporting</w:t>
      </w:r>
    </w:p>
    <w:p>
      <w:pPr>
        <w:spacing w:after="0" w:line="202"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The Company is comprised of three operating segments based on the operating results regularly reviewed by the chief operating decision-maker (“CODM”), who is the Chief Executive Officer (“CEO”), to make decisions about resource allocation and the performance of the business. These three operating segments have been aggregated into a single reporting segment.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The Company generates revenue by providing logistics services for its customers, including warehousing and distribution, order fulfillment, reverse logistics, packaging and labeling, factory and aftermarket support and inventory management ranging from a few months to a few years. Generally, the Company’s contracts provide the customer an integrated service that includes two or more services, including but not limited to facility and equipment costs, construction, repair and maintenance services and labor. For these contracts, the Company does not consider the services to be distinct within the context of the contract when the separate scopes of work combine into a single commercial objective or capability for the customer. Accordingly, the Company generally identifies one performance obligation in its contracts, which is a series of distinct services that remain substantially the same over time and possess the same pattern of transfer.</w:t>
      </w:r>
    </w:p>
    <w:p>
      <w:pPr>
        <w:spacing w:after="0" w:line="16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Revenue is recognized using the series guidance over the period in which services are provided under the terms of the Company’s contractual relationships with its customers. The transaction price is based on the amount specified in the contract with the customer and contains fixed and variable consideration. In general, the fixed consideration in a contract represents reimbursement for warehouse, technology and equipment costs incurred to satisfy the performance obligation and is recognized on a straight-line basis over the term of the contract. The variable consideration is comprised of cost reimbursement based on the costs incurred, per-unit pricing is determined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45" w:name="page46"/>
    <w:bookmarkEnd w:id="45"/>
    <w:p>
      <w:pPr>
        <w:ind w:right="80"/>
        <w:spacing w:after="0" w:line="261" w:lineRule="auto"/>
        <w:rPr>
          <w:sz w:val="20"/>
          <w:szCs w:val="20"/>
          <w:color w:val="auto"/>
        </w:rPr>
      </w:pPr>
      <w:r>
        <w:rPr>
          <w:rFonts w:ascii="Times New Roman" w:cs="Times New Roman" w:eastAsia="Times New Roman" w:hAnsi="Times New Roman"/>
          <w:sz w:val="14"/>
          <w:szCs w:val="14"/>
          <w:color w:val="auto"/>
        </w:rPr>
        <w:t>on units provided and time and materials pricing is based on the hours of services provided. The variable consideration component is recognized over time based on the level of activity. Generally, pricing can be adjusted based on contractual provisions related to achieving agreed-upon performance metrics, changes in volumes, services and market conditions. Revenue relating to these pricing adjustments is estimated and included in the consideration if it is probable that a significant revenue reversal will not occur in the future. The estimate of variable consideration is determined by the expected value or most likely amount method and factors in current, past and forecasted experience with the customer. Customers are billed based on terms specified in the revenue contract and they pay us according to approved payment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Assets and Liabilities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Contract assets consist of two components: customer acquisition costs and costs to fulfill a contract. The Company capitalizes direct and incremental costs incurred to obtain and to fulfill a contract in advance of revenue recognition, such as certain labor, third-party service and related product costs. These costs are recognized as an asset if the Company expects to recover them. Contract assets are recognized consistent with the transfer of the underlying performance obligations to the customer based on the specific contracts to which they relate. Contract assets are primarily amortized to Direct operating expense in the Consolidated Statements of Operations over the contract term.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Contract liabilities represent the Company’s obligation to transfer services to a customer for which the Company has received consideration or the amount that is due from the customer.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Instruments</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The Company records all its derivative financial instruments on the Consolidated Balance Sheets as assets or liabilities measured at fair value. For derivatives designated as a hedge, and effective as part of a hedge transaction, the effective portion of the gain or loss on the hedging derivative instrument is reported as a component of other comprehensive income or as a basis adjustment to the underlying hedged item and reclassified to earnings in the year in which the hedged item affects earnings. The effective portion of the gain or loss on hedges of foreign net investments is generally not reclassified to earnings unless the net investment is disposed. To the extent derivatives do not qualify or are not designated as hedges, or are ineffective, their changes in fair value are recorded in earnings immediately, which may subject us to increased earnings volatility.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202"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The Company accounts for stock-based compensation based on the equity instrument’s grant date fair value. Stock compensation expense is recognized using the straight-line method, based on the grant date fair value, over the requisite service period of the award, which is generally the vesting term. For grants of restricted stock units (“RSU”) subject to service-based or performance-based vesting conditions only, the Company establishes the fair value based on the market price on the date of the grant. For grants of awards subject to market-based vesting conditions (“PSU”), the Company determines the fair value based on a Monte Carlo simulation model. The Company accounts for forfeitures as they occur.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Earnings per Share</w:t>
      </w:r>
    </w:p>
    <w:p>
      <w:pPr>
        <w:spacing w:after="0" w:line="20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Basic earnings per share (“EPS”) is based upon net earnings available to common stockholders divided by the weighted average number of common shares outstanding during the period. Diluted earnings per share is computed by giving effect to all potentially dilutive stock awards that were outstanding. The computation of diluted earnings per share excludes the effect of the potential exercise of stock-based awards when the effect of the potential exercise would be anti-dilutive. For the years ended December 31, 2023, 2022 and 2021, the number of common shares excluded from diluted shares outstanding was 1.5 million, 2.0 million and 0.1 million, respectively, because the effect of including those common shares in the calculation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3" w:right="339" w:bottom="1440" w:gutter="0" w:footer="0" w:header="0"/>
        </w:sectPr>
      </w:pPr>
    </w:p>
    <w:bookmarkStart w:id="46" w:name="page47"/>
    <w:bookmarkEnd w:id="46"/>
    <w:p>
      <w:pPr>
        <w:spacing w:after="0" w:line="270" w:lineRule="auto"/>
        <w:rPr>
          <w:sz w:val="20"/>
          <w:szCs w:val="20"/>
          <w:color w:val="auto"/>
        </w:rPr>
      </w:pPr>
      <w:r>
        <w:rPr>
          <w:rFonts w:ascii="Times New Roman" w:cs="Times New Roman" w:eastAsia="Times New Roman" w:hAnsi="Times New Roman"/>
          <w:sz w:val="14"/>
          <w:szCs w:val="14"/>
          <w:color w:val="auto"/>
        </w:rPr>
        <w:t>On August 2, 2021, the date of the Separation, 114.6 million shares of the Company’s common stock were distributed to XPO stockholders. These 114.6 million shares have been utilized for the calculation of basic and diluted earnings per share for all periods prior to the date of the Separation as no shares of common stock or equity-based awards of the Company were outstanding before that date.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Defined Benefit Plans</w:t>
      </w:r>
    </w:p>
    <w:p>
      <w:pPr>
        <w:spacing w:after="0" w:line="202"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4"/>
          <w:szCs w:val="14"/>
          <w:color w:val="auto"/>
        </w:rPr>
        <w:t>The Company calculates its employer-sponsored retirement plan obligations using various actuarial assumptions and methodologies. Assumptions include discount rates, expected long-term rate of return on plan assets, mortality rates and other factors. The assumptions used in recording the projected benefit obligation and fair value of plan assets represent the Company’s best estimates based on available information regarding historical experience and factors that may cause future expectations to differ. The Company’s obligation and future expense amounts could be materially impacted by differences in experience or changes in assumptions.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determines the net periodic benefit cost of the plans using assumptions regarding the projected benefit obligation and the fair value of the plan assets as of the beginning of the year. Net periodic benefit cost is recorded within Other income, net in the Consolidated Statement of Operations. The Company calculates the funded status of the defined benefit plan as the difference between the projected benefit obligation and the fair value of the plan assets.</w:t>
      </w:r>
    </w:p>
    <w:p>
      <w:pPr>
        <w:spacing w:after="0" w:line="157"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impact of plan amendments, actuarial gains and losses and prior-service costs are recorded in AOCIL and are generally amortized as a component of net periodic benefit cost over the remaining service period of the active employees covered by the defined benefit pension plans. Cumulative gains and losses over 10% of the greater of the beginning of year benefit obligation or fair value of the plan assets are amortized over the expected average life expectancy.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202"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4"/>
          <w:szCs w:val="14"/>
          <w:color w:val="auto"/>
        </w:rPr>
        <w:t>The Company accounts for income taxes using the asset and liability method on a legal entity and jurisdictional basis, under which the Company recognizes the amount of taxes payable or refundable for the current year and deferred tax assets and liabilities for the future tax consequences of events that have been recognized in the Consolidated Financial Statements or tax returns. The calculation of the annual effective tax rate relies on several factors including pre-tax earnings, various jurisdiction statutory tax rates, tax credits, uncertain tax positions, valuation allowances and differences between tax laws and accounting laws. The effective tax rate in any financial statement period may be materially impacted by changes in the blend and/or level of earnings by individual taxing jurisdictions.</w:t>
      </w:r>
    </w:p>
    <w:p>
      <w:pPr>
        <w:spacing w:after="0" w:line="334"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If the Company considers that a tax position is more likely than not to be sustained upon audit, based solely on the technical merits of the position, presuming an examination by a taxing authority with full knowledge of all relevant information, the Company recognizes all or a portion of the benefit. Valuation allowances are established when it is more likely than not that the Company’s deferred tax assets will not be realized based on all available evidence.</w:t>
      </w:r>
    </w:p>
    <w:p>
      <w:pPr>
        <w:spacing w:after="0" w:line="15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Company uses judgments and estimates in evaluating its tax positions. The Company’s tax returns are subject to examination by U.S. Federal, state and local and foreign taxing jurisdictions. The Company regularly assesses the potential outcomes of these examinations and any future examinations for the current or prior years. The Company recognizes tax benefits from uncertain tax positions only if based on the technical merits of the position it is more likely than not that the tax positions will be sustained upon audit. The Company adjusts these tax liabilities, including related interest and penalties, based on the current facts and circumstances. The Company reports tax-related interest and penalties as a component of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 and Transactions</w:t>
      </w:r>
    </w:p>
    <w:p>
      <w:pPr>
        <w:spacing w:after="0" w:line="20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assets and liabilities of the Company’s foreign subsidiaries that use their local currency as their functional currency are translated to U.S. dollars (“USD”) using the exchange rate prevailing at each balance sheet date, with balance sheet currency translation adjustments recorded in AOCIL in the Consolidated Balance Sheets. The Company converts foreign currency transactions recognized in the Consolidated Statements of Operations to USD by applying the exchange rate prevailing on the date of the transaction. Gains and losses arising from foreign currency transactions and the effects of remeasuring monetary assets and liabilities are recorded in Other income, net in the Consolidated Statements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Adoption of New Accounting Standards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In 2020, the Financial Accounting Standards Board (“FASB”) issued ASU 2020-04, “Reference Rate Reform (Topic 848): Facilitation of the Effects of Reference Rate Reform on Financial Reporting.” The ASU provides optional expedients and exceptions for applying GAAP to contracts, hedging relationships and other transactions affected by reference rate reform if certain criteria are met. The ASU applies only to contracts and hedging relationships that reference London Interbank Offered Rate (“LIBOR”) or another reference rate expected to be discontinued due to reference rate reform. In 2021, the FASB expanded the scope of the guidance to include derivatives. On March 9, 2023, the Company entered into Amendment No. 1 to its revolving credit facility replacing LIBOR-based benchmark rates with SOFR-based benchmark rates and other conforming changes (the “Revolving Credit Facility”). The Company has transitioned its existing contracts to a replacement index. ASU 2020-04 and its amendments did not have a material impact on the Company’s Condensed Consolidated Financial Statements.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Pronouncements Issued But Not Yet Adopted</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November 2023, the Financial Accounting Standards Board (“FASB”) issued Accounting Standard Update (“ASU”) 2023-07, Segment Reporting (Topic 280): Improvements to Reportable Segment Disclosures, which requires disclosure of incremental segment information on an annual and interim basis. This ASU is effective for fiscal years beginning after December 15, 2023, and interim periods within fiscal years beginning after December 15, 2024, and requires retrospective application to all prior periods presented in the financial statements. Early adoption is permitted. The Company is currently evaluating the impact of this ASU on its Consolidated Financial Statements.</w:t>
      </w:r>
    </w:p>
    <w:p>
      <w:pPr>
        <w:spacing w:after="0" w:line="16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which provides for expanded disclosures primarily related to income taxes paid and the rate reconciliation. The amendments are effective prospectively for annual periods beginning after December 15, 2024, and early adoption and retrospective application are permitted. The Company is currently evaluating the impact of this ASU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color w:val="auto"/>
        </w:rPr>
        <w:t>3. Revenue Recognition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disaggregated by geographical area was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3,664</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2,634</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2,469</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Netherlands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France</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Spain</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Italy</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9,778</w:t>
            </w:r>
          </w:p>
        </w:tc>
        <w:tc>
          <w:tcPr>
            <w:tcW w:w="8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8,993</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7,940</w:t>
            </w:r>
          </w:p>
        </w:tc>
      </w:tr>
      <w:tr>
        <w:trPr>
          <w:trHeight w:val="20"/>
        </w:trPr>
        <w:tc>
          <w:tcPr>
            <w:tcW w:w="6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revenue can also be disaggregated by various verticals, reflecting the customers’ principal industry. Revenue disaggregated by industry was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6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Omnichannel retail</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3,649</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Technology and consumer electronics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Food and beverage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Industrial and manufacturing</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 packaged goods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6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6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9,778</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8,993</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Balances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40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6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 assets included in:</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current assets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long-term assets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contract assets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638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Contract liabilities included in:</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contract liabilities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Revenue recognized included the following:</w:t>
            </w: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40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Amounts included in the beginning of year contract liability balance</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i w:val="1"/>
          <w:iCs w:val="1"/>
          <w:color w:val="auto"/>
        </w:rPr>
        <w:t>Remaining Performance Obligations</w:t>
      </w:r>
    </w:p>
    <w:p>
      <w:pPr>
        <w:spacing w:after="0" w:line="202"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The remaining performance obligations relate to firm customer contracts for which services have not been performed and future revenue recognition is expected. As permitted in determining the remaining performance obligation, the Company omits obligations that have original expected durations of one year or less or contain variable consideration.</w:t>
      </w:r>
    </w:p>
    <w:p>
      <w:pPr>
        <w:spacing w:after="0" w:line="14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As of December 31, 2023, the fixed consideration component of the Company’s remaining performance obligations was approximately $3.3 billion, and the Company expects to recognize approximately 74% of that amount over the next three years and the remainder thereafter. The Company estimates remaining performance obligations at a point in time and actual amounts may differ from these estimates due to changes in foreign currency exchange rates and contract revisions or terminations.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Acquisitions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PFSweb Acquisition</w:t>
      </w:r>
    </w:p>
    <w:p>
      <w:pPr>
        <w:spacing w:after="0" w:line="20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On September 13, 2023, the Company entered into an Agreement and Plan of Merger to acquire PFSweb, Inc., a Delaware corporation headquartered in Irving, Texas (“PFS”), and on October 23, 2023, the Company completed its acquisition of PFS (the “PFS Acquisition”). The Company acquired the shares of PFS at a price per share of $7.50 in cash, totaling approximately $149 million, net of cash acquired. PFS is a global provider of omnichannel commerce solutions, including a broad range of technology, infrastructure and professional services, in the United States, Canada and Europe. PFS’s service offerings include order fulfillment, fulfillment-as-a-service, order management and customer care.</w:t>
      </w:r>
    </w:p>
    <w:p>
      <w:pPr>
        <w:spacing w:after="0" w:line="16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recorded the preliminary fair value of assets acquired and liabilities assumed on the date of acquisition, including intangible assets comprising customer relationships, trademarks, trade names and developed technology of $56 million with a weighted-average amortization period of 13 years. Goodwill acquired in connection with the acquisition was $76 million, recorded in the Americas and Asia-Pacific reporting unit, and was attributed to anticipated synergies. The Company expects to finalize the purchase price allocation within the measurement period, which will not exceed one year from the acquisition date. The Company does not expect the goodwill recognized in connection with the PFS Acquisition to be deductible for income tax purposes.</w:t>
      </w:r>
    </w:p>
    <w:p>
      <w:pPr>
        <w:spacing w:after="0" w:line="16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2023, PFS generated revenues of $82 million and income before income taxes was not material. Pro forma results of operations for this acquisition have not been presented as they are not material to the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Clipper Acquisition</w:t>
      </w:r>
    </w:p>
    <w:p>
      <w:pPr>
        <w:spacing w:after="0" w:line="202"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On May 24, 2022, the Company completed the acquisition of Clipper Logistics plc (“Clipper”), an omnichannel retail logistics specialist based in Leeds, England (the “Clipper Acquisition”). The Company acquired Clipper for $1,106 million, consisting of $902 million in cash and the issuance of 3,757,657 shares of GXO common stock having a value of $204 million.</w:t>
      </w:r>
    </w:p>
    <w:p>
      <w:pPr>
        <w:spacing w:after="0" w:line="145"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The Company accounted for the Clipper Acquisition as a business combination using the acquisition method of accounting. The fair value of assets acquired and liabilities assumed was based on management’s estimate of the fair values of the assets acquired and liabilities assumed using valuation techniques including income, cost and market approaches.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color w:val="auto"/>
        </w:rPr>
        <w:t>The following table summarizes the fair values of assets acquired and liabilities assumed at the acquisition date:</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13970</wp:posOffset>
            </wp:positionV>
            <wp:extent cx="7148195" cy="1143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-93980</wp:posOffset>
            </wp:positionV>
            <wp:extent cx="7148195" cy="1079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3"/>
          <w:szCs w:val="13"/>
          <w:color w:val="auto"/>
        </w:rPr>
        <w:t>Accounts receivable</w:t>
      </w:r>
    </w:p>
    <w:p>
      <w:pPr>
        <w:spacing w:after="0" w:line="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-93980</wp:posOffset>
            </wp:positionV>
            <wp:extent cx="7148195" cy="1079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3"/>
          <w:szCs w:val="13"/>
          <w:b w:val="1"/>
          <w:bCs w:val="1"/>
          <w:color w:val="auto"/>
        </w:rPr>
        <w:t>Total current assets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-92710</wp:posOffset>
            </wp:positionV>
            <wp:extent cx="7148195" cy="1079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pacing w:after="0" w:line="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Property and equipment</w:t>
      </w:r>
    </w:p>
    <w:p>
      <w:pPr>
        <w:spacing w:after="0" w:line="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Operating lease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-93980</wp:posOffset>
            </wp:positionV>
            <wp:extent cx="7148195" cy="1079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3"/>
          <w:szCs w:val="13"/>
          <w:color w:val="auto"/>
        </w:rPr>
        <w:t xml:space="preserve">Intangible assets </w:t>
      </w:r>
      <w:r>
        <w:rPr>
          <w:rFonts w:ascii="Times New Roman" w:cs="Times New Roman" w:eastAsia="Times New Roman" w:hAnsi="Times New Roman"/>
          <w:sz w:val="16"/>
          <w:szCs w:val="1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-8255</wp:posOffset>
            </wp:positionV>
            <wp:extent cx="7148195" cy="1079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3"/>
          <w:szCs w:val="13"/>
          <w:color w:val="auto"/>
        </w:rPr>
        <w:t>Other long-term assets</w:t>
      </w:r>
    </w:p>
    <w:p>
      <w:pPr>
        <w:spacing w:after="0" w:line="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color w:val="auto"/>
        </w:rPr>
        <w:t>Total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20955</wp:posOffset>
            </wp:positionV>
            <wp:extent cx="7148195" cy="1282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48195" cy="128270"/>
                    </a:xfrm>
                    <a:prstGeom prst="rect">
                      <a:avLst/>
                    </a:prstGeom>
                    <a:noFill/>
                  </pic:spPr>
                </pic:pic>
              </a:graphicData>
            </a:graphic>
          </wp:anchor>
        </w:drawing>
      </w:r>
    </w:p>
    <w:p>
      <w:pPr>
        <w:spacing w:after="0" w:line="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b w:val="1"/>
          <w:bCs w:val="1"/>
          <w:color w:val="auto"/>
        </w:rPr>
        <w:t>Total assets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-92710</wp:posOffset>
            </wp:positionV>
            <wp:extent cx="7148195" cy="1079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pacing w:after="0" w:line="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Accounts payable</w:t>
      </w:r>
    </w:p>
    <w:p>
      <w:pPr>
        <w:spacing w:after="0" w:line="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-93980</wp:posOffset>
            </wp:positionV>
            <wp:extent cx="7148195" cy="1079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3"/>
          <w:szCs w:val="13"/>
          <w:color w:val="auto"/>
        </w:rPr>
        <w:t>Current debt</w:t>
      </w:r>
    </w:p>
    <w:p>
      <w:pPr>
        <w:spacing w:after="0" w:line="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-93980</wp:posOffset>
            </wp:positionV>
            <wp:extent cx="7148195" cy="1079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3"/>
          <w:szCs w:val="13"/>
          <w:color w:val="auto"/>
        </w:rPr>
        <w:t>Other current liabilities</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-92710</wp:posOffset>
            </wp:positionV>
            <wp:extent cx="7148195" cy="1143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Long-term liabilities</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-93980</wp:posOffset>
            </wp:positionV>
            <wp:extent cx="7148195" cy="1079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3"/>
          <w:szCs w:val="13"/>
          <w:color w:val="auto"/>
        </w:rPr>
        <w:t>Long-term operating lease liabilities</w:t>
      </w:r>
    </w:p>
    <w:p>
      <w:pPr>
        <w:spacing w:after="0" w:line="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-93980</wp:posOffset>
            </wp:positionV>
            <wp:extent cx="7148195" cy="1079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65"/>
        </w:trPr>
        <w:tc>
          <w:tcPr>
            <w:tcW w:w="720" w:type="dxa"/>
            <w:vAlign w:val="bottom"/>
          </w:tcPr>
          <w:p>
            <w:pPr>
              <w:jc w:val="right"/>
              <w:ind w:right="60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bl>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143</w:t>
      </w:r>
    </w:p>
    <w:p>
      <w:pPr>
        <w:spacing w:after="0" w:line="2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99695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996950" cy="6985"/>
                    </a:xfrm>
                    <a:prstGeom prst="rect">
                      <a:avLst/>
                    </a:prstGeom>
                    <a:noFill/>
                  </pic:spPr>
                </pic:pic>
              </a:graphicData>
            </a:graphic>
          </wp:anchor>
        </w:drawing>
      </w:r>
    </w:p>
    <w:p>
      <w:pPr>
        <w:spacing w:after="0" w:line="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236</w:t>
      </w:r>
    </w:p>
    <w:p>
      <w:pPr>
        <w:spacing w:after="0" w:line="19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80</w:t>
      </w:r>
    </w:p>
    <w:p>
      <w:pPr>
        <w:spacing w:after="0" w:line="2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219</w:t>
      </w:r>
    </w:p>
    <w:p>
      <w:pPr>
        <w:spacing w:after="0" w:line="2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392</w:t>
      </w:r>
    </w:p>
    <w:p>
      <w:pPr>
        <w:spacing w:after="0" w:line="2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99695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996950" cy="6985"/>
                    </a:xfrm>
                    <a:prstGeom prst="rect">
                      <a:avLst/>
                    </a:prstGeom>
                    <a:noFill/>
                  </pic:spPr>
                </pic:pic>
              </a:graphicData>
            </a:graphic>
          </wp:anchor>
        </w:drawing>
      </w:r>
    </w:p>
    <w:p>
      <w:pPr>
        <w:spacing w:after="0" w:line="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720</w:t>
      </w:r>
    </w:p>
    <w:p>
      <w:pPr>
        <w:spacing w:after="0" w:line="31" w:lineRule="exact"/>
        <w:rPr>
          <w:sz w:val="20"/>
          <w:szCs w:val="20"/>
          <w:color w:val="auto"/>
        </w:rPr>
      </w:pPr>
    </w:p>
    <w:p>
      <w:pPr>
        <w:ind w:left="1320" w:hanging="1304"/>
        <w:spacing w:after="0"/>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956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99695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996950" cy="6985"/>
                    </a:xfrm>
                    <a:prstGeom prst="rect">
                      <a:avLst/>
                    </a:prstGeom>
                    <a:noFill/>
                  </pic:spPr>
                </pic:pic>
              </a:graphicData>
            </a:graphic>
          </wp:anchor>
        </w:drawing>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70"/>
        </w:trPr>
        <w:tc>
          <w:tcPr>
            <w:tcW w:w="7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r>
      <w:tr>
        <w:trPr>
          <w:trHeight w:val="170"/>
        </w:trPr>
        <w:tc>
          <w:tcPr>
            <w:tcW w:w="7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70"/>
        </w:trPr>
        <w:tc>
          <w:tcPr>
            <w:tcW w:w="7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72"/>
        </w:trPr>
        <w:tc>
          <w:tcPr>
            <w:tcW w:w="7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60"/>
        </w:trPr>
        <w:tc>
          <w:tcPr>
            <w:tcW w:w="7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331</w:t>
            </w:r>
          </w:p>
        </w:tc>
      </w:tr>
    </w:tbl>
    <w:p>
      <w:pPr>
        <w:spacing w:after="0" w:line="15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176</w:t>
      </w:r>
    </w:p>
    <w:p>
      <w:pPr>
        <w:spacing w:after="0" w:line="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173</w:t>
      </w:r>
    </w:p>
    <w:p>
      <w:pPr>
        <w:spacing w:after="0" w:line="16" w:lineRule="exact"/>
        <w:rPr>
          <w:sz w:val="20"/>
          <w:szCs w:val="20"/>
          <w:color w:val="auto"/>
        </w:rPr>
      </w:pPr>
    </w:p>
    <w:p>
      <w:pPr>
        <w:sectPr>
          <w:pgSz w:w="11900" w:h="16838" w:orient="portrait"/>
          <w:cols w:equalWidth="0" w:num="2">
            <w:col w:w="8980" w:space="720"/>
            <w:col w:w="1580"/>
          </w:cols>
          <w:pgMar w:left="300" w:top="1143" w:right="319" w:bottom="1440" w:gutter="0" w:footer="0" w:header="0"/>
        </w:sectPr>
      </w:pPr>
    </w:p>
    <w:tbl>
      <w:tblPr>
        <w:tblLayout w:type="fixed"/>
        <w:tblInd w:w="20" w:type="dxa"/>
        <w:tblCellMar>
          <w:top w:w="0" w:type="dxa"/>
          <w:left w:w="0" w:type="dxa"/>
          <w:bottom w:w="0" w:type="dxa"/>
          <w:right w:w="0" w:type="dxa"/>
        </w:tblCellMar>
      </w:tblPr>
      <w:tr>
        <w:trPr>
          <w:trHeight w:val="165"/>
        </w:trPr>
        <w:tc>
          <w:tcPr>
            <w:tcW w:w="96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3"/>
                <w:szCs w:val="13"/>
                <w:b w:val="1"/>
                <w:bCs w:val="1"/>
                <w:color w:val="auto"/>
              </w:rPr>
              <w:t>Total long-term liabilities</w:t>
            </w:r>
          </w:p>
        </w:tc>
        <w:tc>
          <w:tcPr>
            <w:tcW w:w="6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0" w:type="dxa"/>
            <w:vAlign w:val="bottom"/>
          </w:tcPr>
          <w:p>
            <w:pPr>
              <w:spacing w:after="0"/>
              <w:rPr>
                <w:sz w:val="1"/>
                <w:szCs w:val="1"/>
                <w:color w:val="auto"/>
              </w:rPr>
            </w:pPr>
          </w:p>
        </w:tc>
      </w:tr>
      <w:tr>
        <w:trPr>
          <w:trHeight w:val="183"/>
        </w:trPr>
        <w:tc>
          <w:tcPr>
            <w:tcW w:w="96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66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Net assets purchased</w:t>
            </w: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9680" w:type="dxa"/>
            <w:vAlign w:val="bottom"/>
            <w:vMerge w:val="continue"/>
          </w:tcPr>
          <w:p>
            <w:pPr>
              <w:spacing w:after="0"/>
              <w:rPr>
                <w:sz w:val="11"/>
                <w:szCs w:val="11"/>
                <w:color w:val="auto"/>
              </w:rPr>
            </w:pPr>
          </w:p>
        </w:tc>
        <w:tc>
          <w:tcPr>
            <w:tcW w:w="660" w:type="dxa"/>
            <w:vAlign w:val="bottom"/>
            <w:tcBorders>
              <w:bottom w:val="single" w:sz="8" w:color="auto"/>
            </w:tcBorders>
          </w:tcPr>
          <w:p>
            <w:pPr>
              <w:jc w:val="right"/>
              <w:ind w:right="5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266</w:t>
            </w:r>
          </w:p>
        </w:tc>
        <w:tc>
          <w:tcPr>
            <w:tcW w:w="0" w:type="dxa"/>
            <w:vAlign w:val="bottom"/>
          </w:tcPr>
          <w:p>
            <w:pPr>
              <w:spacing w:after="0"/>
              <w:rPr>
                <w:sz w:val="1"/>
                <w:szCs w:val="1"/>
                <w:color w:val="auto"/>
              </w:rPr>
            </w:pP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968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Cash paid</w:t>
            </w:r>
          </w:p>
        </w:tc>
        <w:tc>
          <w:tcPr>
            <w:tcW w:w="66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w:t>
            </w:r>
          </w:p>
        </w:tc>
        <w:tc>
          <w:tcPr>
            <w:tcW w:w="0" w:type="dxa"/>
            <w:vAlign w:val="bottom"/>
          </w:tcPr>
          <w:p>
            <w:pPr>
              <w:spacing w:after="0"/>
              <w:rPr>
                <w:sz w:val="1"/>
                <w:szCs w:val="1"/>
                <w:color w:val="auto"/>
              </w:rPr>
            </w:pPr>
          </w:p>
        </w:tc>
      </w:tr>
      <w:tr>
        <w:trPr>
          <w:trHeight w:val="170"/>
        </w:trPr>
        <w:tc>
          <w:tcPr>
            <w:tcW w:w="9680" w:type="dxa"/>
            <w:vAlign w:val="bottom"/>
            <w:tcBorders>
              <w:bottom w:val="single" w:sz="8" w:color="CCEEFF"/>
            </w:tcBorders>
          </w:tcPr>
          <w:p>
            <w:pPr>
              <w:spacing w:after="0" w:line="170" w:lineRule="exact"/>
              <w:rPr>
                <w:sz w:val="20"/>
                <w:szCs w:val="20"/>
                <w:color w:val="auto"/>
              </w:rPr>
            </w:pPr>
            <w:r>
              <w:rPr>
                <w:rFonts w:ascii="Times New Roman" w:cs="Times New Roman" w:eastAsia="Times New Roman" w:hAnsi="Times New Roman"/>
                <w:sz w:val="13"/>
                <w:szCs w:val="13"/>
                <w:color w:val="auto"/>
              </w:rPr>
              <w:t xml:space="preserve">Common stock issued </w:t>
            </w:r>
            <w:r>
              <w:rPr>
                <w:rFonts w:ascii="Times New Roman" w:cs="Times New Roman" w:eastAsia="Times New Roman" w:hAnsi="Times New Roman"/>
                <w:sz w:val="16"/>
                <w:szCs w:val="16"/>
                <w:color w:val="auto"/>
                <w:vertAlign w:val="superscript"/>
              </w:rPr>
              <w:t>(2)</w:t>
            </w:r>
          </w:p>
        </w:tc>
        <w:tc>
          <w:tcPr>
            <w:tcW w:w="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0" w:type="dxa"/>
            <w:vAlign w:val="bottom"/>
          </w:tcPr>
          <w:p>
            <w:pPr>
              <w:spacing w:after="0"/>
              <w:rPr>
                <w:sz w:val="1"/>
                <w:szCs w:val="1"/>
                <w:color w:val="auto"/>
              </w:rPr>
            </w:pPr>
          </w:p>
        </w:tc>
      </w:tr>
      <w:tr>
        <w:trPr>
          <w:trHeight w:val="160"/>
        </w:trPr>
        <w:tc>
          <w:tcPr>
            <w:tcW w:w="96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Purchase price paid</w:t>
            </w:r>
          </w:p>
        </w:tc>
        <w:tc>
          <w:tcPr>
            <w:tcW w:w="66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1,106</w:t>
            </w:r>
          </w:p>
        </w:tc>
        <w:tc>
          <w:tcPr>
            <w:tcW w:w="0" w:type="dxa"/>
            <w:vAlign w:val="bottom"/>
          </w:tcPr>
          <w:p>
            <w:pPr>
              <w:spacing w:after="0"/>
              <w:rPr>
                <w:sz w:val="1"/>
                <w:szCs w:val="1"/>
                <w:color w:val="auto"/>
              </w:rPr>
            </w:pPr>
          </w:p>
        </w:tc>
      </w:tr>
      <w:tr>
        <w:trPr>
          <w:trHeight w:val="160"/>
        </w:trPr>
        <w:tc>
          <w:tcPr>
            <w:tcW w:w="9680" w:type="dxa"/>
            <w:vAlign w:val="bottom"/>
          </w:tcPr>
          <w:p>
            <w:pPr>
              <w:spacing w:after="0" w:line="161" w:lineRule="exact"/>
              <w:rPr>
                <w:sz w:val="20"/>
                <w:szCs w:val="20"/>
                <w:color w:val="auto"/>
              </w:rPr>
            </w:pPr>
            <w:r>
              <w:rPr>
                <w:rFonts w:ascii="Times New Roman" w:cs="Times New Roman" w:eastAsia="Times New Roman" w:hAnsi="Times New Roman"/>
                <w:sz w:val="13"/>
                <w:szCs w:val="13"/>
                <w:b w:val="1"/>
                <w:bCs w:val="1"/>
                <w:color w:val="auto"/>
              </w:rPr>
              <w:t xml:space="preserve">Goodwill recorded </w:t>
            </w:r>
            <w:r>
              <w:rPr>
                <w:rFonts w:ascii="Times New Roman" w:cs="Times New Roman" w:eastAsia="Times New Roman" w:hAnsi="Times New Roman"/>
                <w:sz w:val="16"/>
                <w:szCs w:val="16"/>
                <w:b w:val="1"/>
                <w:bCs w:val="1"/>
                <w:color w:val="auto"/>
                <w:vertAlign w:val="superscript"/>
              </w:rPr>
              <w:t>(3)</w:t>
            </w:r>
          </w:p>
        </w:tc>
        <w:tc>
          <w:tcPr>
            <w:tcW w:w="6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840</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160" w:hanging="155"/>
        <w:spacing w:after="0"/>
        <w:tabs>
          <w:tab w:leader="none" w:pos="16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acquired $392 million of intangible assets comprising customer relationships and trade names, with weighted-average useful lives of 15 years.</w:t>
      </w:r>
    </w:p>
    <w:p>
      <w:pPr>
        <w:spacing w:after="0" w:line="12"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fair value of the Company’s common stock issued.</w:t>
      </w:r>
    </w:p>
    <w:p>
      <w:pPr>
        <w:spacing w:after="0" w:line="8" w:lineRule="exact"/>
        <w:rPr>
          <w:rFonts w:ascii="Times New Roman" w:cs="Times New Roman" w:eastAsia="Times New Roman" w:hAnsi="Times New Roman"/>
          <w:sz w:val="11"/>
          <w:szCs w:val="11"/>
          <w:color w:val="auto"/>
        </w:rPr>
      </w:pPr>
    </w:p>
    <w:p>
      <w:pPr>
        <w:ind w:right="240" w:firstLine="5"/>
        <w:spacing w:after="0" w:line="283" w:lineRule="auto"/>
        <w:tabs>
          <w:tab w:leader="none" w:pos="16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Goodwill represents the excess of the purchase price over the fair value of identifiable assets acquired and liabilities assumed at the acquisition date. Goodwill acquired was recorded in the United Kingdom and Ireland reporting unit and was primarily attributed to anticipated synergies. The Company does not expect the goodwill recognized in connection with the Clipper Acquisition to be 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color w:val="auto"/>
        </w:rPr>
        <w:t>5. Goodwill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the changes in goodwill for the years ended December 31, 2023 and 2022.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3"/>
        </w:trPr>
        <w:tc>
          <w:tcPr>
            <w:tcW w:w="9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w:t>
            </w:r>
          </w:p>
        </w:tc>
      </w:tr>
      <w:tr>
        <w:trPr>
          <w:trHeight w:val="180"/>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Acquisition</w:t>
            </w:r>
          </w:p>
        </w:tc>
        <w:tc>
          <w:tcPr>
            <w:tcW w:w="6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w:t>
            </w:r>
          </w:p>
        </w:tc>
      </w:tr>
      <w:tr>
        <w:trPr>
          <w:trHeight w:val="180"/>
        </w:trPr>
        <w:tc>
          <w:tcPr>
            <w:tcW w:w="97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Impact of foreign exchange translation </w:t>
            </w:r>
            <w:r>
              <w:rPr>
                <w:rFonts w:ascii="Times New Roman" w:cs="Times New Roman" w:eastAsia="Times New Roman" w:hAnsi="Times New Roman"/>
                <w:sz w:val="18"/>
                <w:szCs w:val="18"/>
                <w:color w:val="auto"/>
                <w:vertAlign w:val="superscript"/>
              </w:rPr>
              <w:t>(1)</w:t>
            </w:r>
          </w:p>
        </w:tc>
        <w:tc>
          <w:tcPr>
            <w:tcW w:w="6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71"/>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2,728</w:t>
            </w:r>
          </w:p>
        </w:tc>
      </w:tr>
      <w:tr>
        <w:trPr>
          <w:trHeight w:val="180"/>
        </w:trPr>
        <w:tc>
          <w:tcPr>
            <w:tcW w:w="97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Acquisitions </w:t>
            </w:r>
            <w:r>
              <w:rPr>
                <w:rFonts w:ascii="Times New Roman" w:cs="Times New Roman" w:eastAsia="Times New Roman" w:hAnsi="Times New Roman"/>
                <w:sz w:val="18"/>
                <w:szCs w:val="18"/>
                <w:color w:val="auto"/>
                <w:vertAlign w:val="superscript"/>
              </w:rPr>
              <w:t>(2)</w:t>
            </w:r>
          </w:p>
        </w:tc>
        <w:tc>
          <w:tcPr>
            <w:tcW w:w="6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180"/>
        </w:trPr>
        <w:tc>
          <w:tcPr>
            <w:tcW w:w="9720" w:type="dxa"/>
            <w:vAlign w:val="bottom"/>
            <w:tcBorders>
              <w:bottom w:val="single" w:sz="8" w:color="CCEEFF"/>
            </w:tcBorders>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Impact of foreign exchange translation </w:t>
            </w:r>
            <w:r>
              <w:rPr>
                <w:rFonts w:ascii="Times New Roman" w:cs="Times New Roman" w:eastAsia="Times New Roman" w:hAnsi="Times New Roman"/>
                <w:sz w:val="18"/>
                <w:szCs w:val="18"/>
                <w:color w:val="auto"/>
                <w:vertAlign w:val="superscript"/>
              </w:rPr>
              <w:t>(1)</w:t>
            </w:r>
          </w:p>
        </w:tc>
        <w:tc>
          <w:tcPr>
            <w:tcW w:w="6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96"/>
        </w:trPr>
        <w:tc>
          <w:tcPr>
            <w:tcW w:w="9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640" w:type="dxa"/>
            <w:vAlign w:val="bottom"/>
            <w:tcBorders>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2,891</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160" w:hanging="155"/>
        <w:spacing w:after="0"/>
        <w:tabs>
          <w:tab w:leader="none" w:pos="16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Changes to goodwill amounts resulting from foreign currency translation after the acquisition date are presented as the impact of foreign exchange translation.</w:t>
      </w:r>
    </w:p>
    <w:p>
      <w:pPr>
        <w:spacing w:after="0" w:line="20"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$44 million adjustment from the finalization of the purchase price allocation for the Clipper Acquisition.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and 2022, there were no accumulated goodwill impairment losses.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Intangible Assets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identifiable intangible assets:</w:t>
      </w:r>
    </w:p>
    <w:p>
      <w:pPr>
        <w:spacing w:after="0" w:line="117"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December 31, 2023</w:t>
            </w:r>
          </w:p>
        </w:tc>
        <w:tc>
          <w:tcPr>
            <w:tcW w:w="8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December 31, 2022</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center"/>
              <w:ind w:left="296"/>
              <w:spacing w:after="0" w:line="120"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jc w:val="center"/>
              <w:ind w:left="276"/>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vMerge w:val="restart"/>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Net</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center"/>
              <w:ind w:right="320"/>
              <w:spacing w:after="0" w:line="120"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120" w:type="dxa"/>
            <w:vAlign w:val="bottom"/>
          </w:tcPr>
          <w:p>
            <w:pPr>
              <w:spacing w:after="0"/>
              <w:rPr>
                <w:sz w:val="10"/>
                <w:szCs w:val="10"/>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60" w:type="dxa"/>
            <w:vAlign w:val="bottom"/>
          </w:tcPr>
          <w:p>
            <w:pPr>
              <w:spacing w:after="0"/>
              <w:rPr>
                <w:sz w:val="10"/>
                <w:szCs w:val="10"/>
                <w:color w:val="auto"/>
              </w:rPr>
            </w:pPr>
          </w:p>
        </w:tc>
        <w:tc>
          <w:tcPr>
            <w:tcW w:w="960" w:type="dxa"/>
            <w:vAlign w:val="bottom"/>
            <w:vMerge w:val="restart"/>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27"/>
        </w:trPr>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880" w:type="dxa"/>
            <w:vAlign w:val="bottom"/>
          </w:tcPr>
          <w:p>
            <w:pPr>
              <w:jc w:val="center"/>
              <w:ind w:left="316"/>
              <w:spacing w:after="0" w:line="128"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1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920" w:type="dxa"/>
            <w:vAlign w:val="bottom"/>
            <w:gridSpan w:val="2"/>
            <w:vMerge w:val="continue"/>
          </w:tcPr>
          <w:p>
            <w:pPr>
              <w:spacing w:after="0"/>
              <w:rPr>
                <w:sz w:val="14"/>
                <w:szCs w:val="14"/>
                <w:color w:val="auto"/>
              </w:rPr>
            </w:pPr>
          </w:p>
        </w:tc>
        <w:tc>
          <w:tcPr>
            <w:tcW w:w="880" w:type="dxa"/>
            <w:vAlign w:val="bottom"/>
          </w:tcPr>
          <w:p>
            <w:pPr>
              <w:jc w:val="center"/>
              <w:ind w:left="296"/>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ind w:left="256"/>
              <w:spacing w:after="0"/>
              <w:rPr>
                <w:sz w:val="20"/>
                <w:szCs w:val="20"/>
                <w:color w:val="auto"/>
              </w:rPr>
            </w:pPr>
            <w:r>
              <w:rPr>
                <w:rFonts w:ascii="Times New Roman" w:cs="Times New Roman" w:eastAsia="Times New Roman" w:hAnsi="Times New Roman"/>
                <w:sz w:val="13"/>
                <w:szCs w:val="13"/>
                <w:b w:val="1"/>
                <w:bCs w:val="1"/>
                <w:color w:val="auto"/>
                <w:w w:val="99"/>
              </w:rPr>
              <w:t>Amortization</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Value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260" w:type="dxa"/>
            <w:vAlign w:val="bottom"/>
          </w:tcPr>
          <w:p>
            <w:pPr>
              <w:spacing w:after="0"/>
              <w:rPr>
                <w:sz w:val="14"/>
                <w:szCs w:val="14"/>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162"/>
        </w:trPr>
        <w:tc>
          <w:tcPr>
            <w:tcW w:w="2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Customer relationships</w:t>
            </w: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1,046</w:t>
            </w: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(524)</w:t>
            </w: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w:t>
            </w:r>
          </w:p>
        </w:tc>
        <w:tc>
          <w:tcPr>
            <w:tcW w:w="0" w:type="dxa"/>
            <w:vAlign w:val="bottom"/>
          </w:tcPr>
          <w:p>
            <w:pPr>
              <w:spacing w:after="0"/>
              <w:rPr>
                <w:sz w:val="1"/>
                <w:szCs w:val="1"/>
                <w:color w:val="auto"/>
              </w:rPr>
            </w:pPr>
          </w:p>
        </w:tc>
      </w:tr>
      <w:tr>
        <w:trPr>
          <w:trHeight w:val="168"/>
        </w:trPr>
        <w:tc>
          <w:tcPr>
            <w:tcW w:w="2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Trade names and trademarks</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70"/>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Developed technology</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2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8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1,095</w:t>
            </w:r>
          </w:p>
        </w:tc>
        <w:tc>
          <w:tcPr>
            <w:tcW w:w="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(528)</w:t>
            </w:r>
          </w:p>
        </w:tc>
        <w:tc>
          <w:tcPr>
            <w:tcW w:w="8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567</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1,026</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Intangible asset amortization expense was $71 million, $68 million and $61 million for the years ended December 31, 2023, 2022 and 2021,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Estimated amortization expense for each of the five succeeding fiscal years and thereafter is as follows: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29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00" w:type="dxa"/>
            <w:vAlign w:val="bottom"/>
          </w:tcPr>
          <w:p>
            <w:pPr>
              <w:spacing w:after="0"/>
              <w:rPr>
                <w:sz w:val="14"/>
                <w:szCs w:val="14"/>
                <w:color w:val="auto"/>
              </w:rPr>
            </w:pPr>
          </w:p>
        </w:tc>
        <w:tc>
          <w:tcPr>
            <w:tcW w:w="100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Thereafter</w:t>
            </w:r>
          </w:p>
        </w:tc>
      </w:tr>
      <w:tr>
        <w:trPr>
          <w:trHeight w:val="163"/>
        </w:trPr>
        <w:tc>
          <w:tcPr>
            <w:tcW w:w="2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Estimated amortization expense</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color w:val="auto"/>
        </w:rPr>
        <w:t>7. Property and Equipment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property and equipment: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71"/>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 buildings and leasehold improvements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r>
      <w:tr>
        <w:trPr>
          <w:trHeight w:val="191"/>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Warehouse equipment and other</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w:t>
            </w:r>
          </w:p>
        </w:tc>
      </w:tr>
      <w:tr>
        <w:trPr>
          <w:trHeight w:val="181"/>
        </w:trPr>
        <w:tc>
          <w:tcPr>
            <w:tcW w:w="80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Computer, software and equipment </w:t>
            </w:r>
            <w:r>
              <w:rPr>
                <w:rFonts w:ascii="Times New Roman" w:cs="Times New Roman" w:eastAsia="Times New Roman" w:hAnsi="Times New Roman"/>
                <w:sz w:val="18"/>
                <w:szCs w:val="18"/>
                <w:color w:val="auto"/>
                <w:vertAlign w:val="superscript"/>
              </w:rPr>
              <w:t>(1)</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r>
      <w:tr>
        <w:trPr>
          <w:trHeight w:val="191"/>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Technology and automated systems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w:t>
            </w:r>
          </w:p>
        </w:tc>
      </w:tr>
      <w:tr>
        <w:trPr>
          <w:trHeight w:val="171"/>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property and equipment, gross</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2,498</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2,257</w:t>
            </w:r>
          </w:p>
        </w:tc>
      </w:tr>
      <w:tr>
        <w:trPr>
          <w:trHeight w:val="171"/>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(1,297)</w:t>
            </w:r>
          </w:p>
        </w:tc>
      </w:tr>
      <w:tr>
        <w:trPr>
          <w:trHeight w:val="196"/>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property and equipment, net</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Includes internally developed software of $237 million and $223 million as of December 31, 2023 and 2022,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of property and equipment was $290 million, $261 million and $274 million for the years ended December 31, 2023, 2022 and 2021,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Leases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amounts were recorded in the Consolidated Balance Sheets related to leases: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80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2"/>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 assets</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2,201</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2,227</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tcPr>
          <w:p>
            <w:pPr>
              <w:spacing w:after="0"/>
              <w:rPr>
                <w:sz w:val="16"/>
                <w:szCs w:val="16"/>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0" w:type="dxa"/>
            <w:vAlign w:val="bottom"/>
          </w:tcPr>
          <w:p>
            <w:pPr>
              <w:spacing w:after="0"/>
              <w:rPr>
                <w:sz w:val="1"/>
                <w:szCs w:val="1"/>
                <w:color w:val="auto"/>
              </w:rPr>
            </w:pPr>
          </w:p>
        </w:tc>
      </w:tr>
      <w:tr>
        <w:trPr>
          <w:trHeight w:val="210"/>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0" w:type="dxa"/>
            <w:vAlign w:val="bottom"/>
          </w:tcPr>
          <w:p>
            <w:pPr>
              <w:spacing w:after="0"/>
              <w:rPr>
                <w:sz w:val="1"/>
                <w:szCs w:val="1"/>
                <w:color w:val="auto"/>
              </w:rPr>
            </w:pPr>
          </w:p>
        </w:tc>
      </w:tr>
      <w:tr>
        <w:trPr>
          <w:trHeight w:val="18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lease liabilities</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2,439</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2,413</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Finance leases: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and equipment, net</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debt</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93"/>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05"/>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finance lease liabilities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84"/>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Supplemental weighted-average information for leases was as follows:</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5"/>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6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2"/>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w:t>
            </w: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Operating leases</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5.6 years</w:t>
            </w: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 years</w:t>
            </w:r>
          </w:p>
        </w:tc>
        <w:tc>
          <w:tcPr>
            <w:tcW w:w="0" w:type="dxa"/>
            <w:vAlign w:val="bottom"/>
          </w:tcPr>
          <w:p>
            <w:pPr>
              <w:spacing w:after="0"/>
              <w:rPr>
                <w:sz w:val="1"/>
                <w:szCs w:val="1"/>
                <w:color w:val="auto"/>
              </w:rPr>
            </w:pPr>
          </w:p>
        </w:tc>
      </w:tr>
      <w:tr>
        <w:trPr>
          <w:trHeight w:val="210"/>
        </w:trPr>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Finance leases</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11.7 years</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 years</w:t>
            </w:r>
          </w:p>
        </w:tc>
        <w:tc>
          <w:tcPr>
            <w:tcW w:w="0" w:type="dxa"/>
            <w:vAlign w:val="bottom"/>
          </w:tcPr>
          <w:p>
            <w:pPr>
              <w:spacing w:after="0"/>
              <w:rPr>
                <w:sz w:val="1"/>
                <w:szCs w:val="1"/>
                <w:color w:val="auto"/>
              </w:rPr>
            </w:pPr>
          </w:p>
        </w:tc>
      </w:tr>
      <w:tr>
        <w:trPr>
          <w:trHeight w:val="193"/>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leases</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0" w:type="dxa"/>
            <w:vAlign w:val="bottom"/>
          </w:tcPr>
          <w:p>
            <w:pPr>
              <w:spacing w:after="0"/>
              <w:rPr>
                <w:sz w:val="1"/>
                <w:szCs w:val="1"/>
                <w:color w:val="auto"/>
              </w:rPr>
            </w:pPr>
          </w:p>
        </w:tc>
      </w:tr>
      <w:tr>
        <w:trPr>
          <w:trHeight w:val="184"/>
        </w:trPr>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Finance leases</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0" w:type="dxa"/>
            <w:vAlign w:val="bottom"/>
          </w:tcPr>
          <w:p>
            <w:pPr>
              <w:spacing w:after="0"/>
              <w:rPr>
                <w:sz w:val="1"/>
                <w:szCs w:val="1"/>
                <w:color w:val="auto"/>
              </w:rPr>
            </w:pPr>
          </w:p>
        </w:tc>
      </w:tr>
      <w:tr>
        <w:trPr>
          <w:trHeight w:val="452"/>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components of lease expense were as follows: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04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Operating lease cost</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751</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697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Short-term lease cost</w:t>
            </w:r>
          </w:p>
        </w:tc>
        <w:tc>
          <w:tcPr>
            <w:tcW w:w="36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80"/>
        </w:trPr>
        <w:tc>
          <w:tcPr>
            <w:tcW w:w="64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Variable lease cost</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106</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Total operating lease cost </w:t>
            </w:r>
            <w:r>
              <w:rPr>
                <w:rFonts w:ascii="Times New Roman" w:cs="Times New Roman" w:eastAsia="Times New Roman" w:hAnsi="Times New Roman"/>
                <w:sz w:val="18"/>
                <w:szCs w:val="18"/>
                <w:b w:val="1"/>
                <w:bCs w:val="1"/>
                <w:color w:val="auto"/>
                <w:vertAlign w:val="superscript"/>
              </w:rPr>
              <w:t>(1)</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1,105</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921</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Finance leases: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4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Amortization of leased assets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0"/>
        </w:trPr>
        <w:tc>
          <w:tcPr>
            <w:tcW w:w="64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Interest expense on lease liabilities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1"/>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finance lease cost</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and finance lease cost</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1,140</w:t>
            </w:r>
          </w:p>
        </w:tc>
        <w:tc>
          <w:tcPr>
            <w:tcW w:w="8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956</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Operating lease cost is primarily included in Direct operating expense in the Consolidated Statements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Supplemental cash flow information related to leases was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r>
      <w:tr>
        <w:trPr>
          <w:trHeight w:val="180"/>
        </w:trPr>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Operating cash flows for operating leases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w:t>
            </w:r>
          </w:p>
        </w:tc>
      </w:tr>
      <w:tr>
        <w:trPr>
          <w:trHeight w:val="180"/>
        </w:trPr>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cash flows for finance leases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Financing cash flows for finance leases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Leased assets obtained in exchange for new lease obligations: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Operating leases, including $52, $233, and $281 from an acquisition in 2023, 2022 and 2021 respectively</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w:t>
            </w:r>
          </w:p>
        </w:tc>
      </w:tr>
      <w:tr>
        <w:trPr>
          <w:trHeight w:val="180"/>
        </w:trPr>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Finance leases, including $1, $16, and $23 from an acquisition in 2023, 2022 and 2021 respectively</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84"/>
        </w:trPr>
        <w:tc>
          <w:tcPr>
            <w:tcW w:w="8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Maturities of lease liabilities as of December 31, 2023 were as follows:</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2"/>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20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60" w:type="dxa"/>
            <w:vAlign w:val="bottom"/>
          </w:tcPr>
          <w:p>
            <w:pPr>
              <w:spacing w:after="0"/>
              <w:rPr>
                <w:sz w:val="17"/>
                <w:szCs w:val="17"/>
                <w:color w:val="auto"/>
              </w:rPr>
            </w:pPr>
          </w:p>
        </w:tc>
        <w:tc>
          <w:tcPr>
            <w:tcW w:w="140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171"/>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r>
      <w:tr>
        <w:trPr>
          <w:trHeight w:val="18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w:t>
            </w:r>
          </w:p>
        </w:tc>
      </w:tr>
      <w:tr>
        <w:trPr>
          <w:trHeight w:val="18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r>
      <w:tr>
        <w:trPr>
          <w:trHeight w:val="18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r>
      <w:tr>
        <w:trPr>
          <w:trHeight w:val="18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r>
      <w:tr>
        <w:trPr>
          <w:trHeight w:val="180"/>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w:t>
            </w:r>
          </w:p>
        </w:tc>
      </w:tr>
      <w:tr>
        <w:trPr>
          <w:trHeight w:val="171"/>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lease payments</w:t>
            </w:r>
          </w:p>
        </w:tc>
        <w:tc>
          <w:tcPr>
            <w:tcW w:w="2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2,791</w:t>
            </w:r>
          </w:p>
        </w:tc>
      </w:tr>
      <w:tr>
        <w:trPr>
          <w:trHeight w:val="171"/>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Less: Interest</w:t>
            </w: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w:t>
            </w:r>
          </w:p>
        </w:tc>
      </w:tr>
      <w:tr>
        <w:trPr>
          <w:trHeight w:val="196"/>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Present value of lease liabilities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the Company does not have any material leases that have been signed but have yet to commence.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Debt and Financing Arrangements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carrying value of the Company’s debt:</w:t>
      </w:r>
    </w:p>
    <w:p>
      <w:pPr>
        <w:spacing w:after="0" w:line="39"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4"/>
          <w:szCs w:val="14"/>
          <w:b w:val="1"/>
          <w:bCs w:val="1"/>
          <w:color w:val="auto"/>
        </w:rPr>
        <w:t>December 31,</w:t>
      </w:r>
    </w:p>
    <w:p>
      <w:pPr>
        <w:sectPr>
          <w:pgSz w:w="11900" w:h="16838" w:orient="portrait"/>
          <w:cols w:equalWidth="0" w:num="1">
            <w:col w:w="11280"/>
          </w:cols>
          <w:pgMar w:left="300" w:top="1143" w:right="319" w:bottom="1440" w:gutter="0" w:footer="0" w:header="0"/>
        </w:sectPr>
      </w:pP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Unsecured notes due 2026 </w:t>
      </w:r>
      <w:r>
        <w:rPr>
          <w:rFonts w:ascii="Times New Roman" w:cs="Times New Roman" w:eastAsia="Times New Roman" w:hAnsi="Times New Roman"/>
          <w:sz w:val="18"/>
          <w:szCs w:val="18"/>
          <w:color w:val="auto"/>
          <w:vertAlign w:val="superscript"/>
        </w:rPr>
        <w:t>(2)</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Unsecured notes due 2031 </w:t>
      </w:r>
      <w:r>
        <w:rPr>
          <w:rFonts w:ascii="Times New Roman" w:cs="Times New Roman" w:eastAsia="Times New Roman" w:hAnsi="Times New Roman"/>
          <w:sz w:val="18"/>
          <w:szCs w:val="18"/>
          <w:color w:val="auto"/>
          <w:vertAlign w:val="superscript"/>
        </w:rPr>
        <w:t>(3)</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Two-Year Term Loan due 2024</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Three-Year Term Loan due 2025 </w:t>
      </w:r>
      <w:r>
        <w:rPr>
          <w:rFonts w:ascii="Times New Roman" w:cs="Times New Roman" w:eastAsia="Times New Roman" w:hAnsi="Times New Roman"/>
          <w:sz w:val="17"/>
          <w:szCs w:val="17"/>
          <w:color w:val="auto"/>
          <w:vertAlign w:val="superscript"/>
        </w:rPr>
        <w:t>(4)</w:t>
      </w:r>
    </w:p>
    <w:p>
      <w:pPr>
        <w:ind w:left="20"/>
        <w:spacing w:after="0" w:line="219" w:lineRule="auto"/>
        <w:rPr>
          <w:sz w:val="20"/>
          <w:szCs w:val="20"/>
          <w:color w:val="auto"/>
        </w:rPr>
      </w:pPr>
      <w:r>
        <w:rPr>
          <w:rFonts w:ascii="Times New Roman" w:cs="Times New Roman" w:eastAsia="Times New Roman" w:hAnsi="Times New Roman"/>
          <w:sz w:val="14"/>
          <w:szCs w:val="14"/>
          <w:color w:val="auto"/>
        </w:rPr>
        <w:t xml:space="preserve">Five-Year Term Loan due 2027 </w:t>
      </w:r>
      <w:r>
        <w:rPr>
          <w:rFonts w:ascii="Times New Roman" w:cs="Times New Roman" w:eastAsia="Times New Roman" w:hAnsi="Times New Roman"/>
          <w:sz w:val="18"/>
          <w:szCs w:val="18"/>
          <w:color w:val="auto"/>
          <w:vertAlign w:val="superscript"/>
        </w:rPr>
        <w:t>(5)</w:t>
      </w:r>
    </w:p>
    <w:p>
      <w:pPr>
        <w:ind w:left="20"/>
        <w:spacing w:after="0"/>
        <w:rPr>
          <w:sz w:val="20"/>
          <w:szCs w:val="20"/>
          <w:color w:val="auto"/>
        </w:rPr>
      </w:pPr>
      <w:r>
        <w:rPr>
          <w:rFonts w:ascii="Times New Roman" w:cs="Times New Roman" w:eastAsia="Times New Roman" w:hAnsi="Times New Roman"/>
          <w:sz w:val="14"/>
          <w:szCs w:val="14"/>
          <w:color w:val="auto"/>
        </w:rPr>
        <w:t>Finance leases and other debt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620" w:type="dxa"/>
            <w:vAlign w:val="bottom"/>
            <w:gridSpan w:val="2"/>
          </w:tcPr>
          <w:p>
            <w:pPr>
              <w:ind w:left="560"/>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(1)</w:t>
            </w:r>
          </w:p>
        </w:tc>
        <w:tc>
          <w:tcPr>
            <w:tcW w:w="3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66"/>
        </w:trPr>
        <w:tc>
          <w:tcPr>
            <w:tcW w:w="15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Pr>
          <w:p>
            <w:pPr>
              <w:spacing w:after="0"/>
              <w:rPr>
                <w:sz w:val="23"/>
                <w:szCs w:val="23"/>
                <w:color w:val="auto"/>
              </w:rPr>
            </w:pPr>
          </w:p>
        </w:tc>
        <w:tc>
          <w:tcPr>
            <w:tcW w:w="38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80" w:type="dxa"/>
            <w:vAlign w:val="bottom"/>
          </w:tcPr>
          <w:p>
            <w:pPr>
              <w:spacing w:after="0"/>
              <w:rPr>
                <w:sz w:val="23"/>
                <w:szCs w:val="23"/>
                <w:color w:val="auto"/>
              </w:rPr>
            </w:pPr>
          </w:p>
        </w:tc>
        <w:tc>
          <w:tcPr>
            <w:tcW w:w="3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95"/>
        </w:trPr>
        <w:tc>
          <w:tcPr>
            <w:tcW w:w="1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92"/>
        </w:trPr>
        <w:tc>
          <w:tcPr>
            <w:tcW w:w="1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80"/>
        </w:trPr>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180"/>
        </w:trPr>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6.71%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0" w:type="dxa"/>
            <w:vAlign w:val="bottom"/>
          </w:tcPr>
          <w:p>
            <w:pPr>
              <w:spacing w:after="0"/>
              <w:rPr>
                <w:sz w:val="1"/>
                <w:szCs w:val="1"/>
                <w:color w:val="auto"/>
              </w:rPr>
            </w:pPr>
          </w:p>
        </w:tc>
      </w:tr>
      <w:tr>
        <w:trPr>
          <w:trHeight w:val="182"/>
        </w:trPr>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Various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-4066540</wp:posOffset>
            </wp:positionH>
            <wp:positionV relativeFrom="paragraph">
              <wp:posOffset>-455930</wp:posOffset>
            </wp:positionV>
            <wp:extent cx="7148195" cy="1143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48195" cy="114300"/>
                    </a:xfrm>
                    <a:prstGeom prst="rect">
                      <a:avLst/>
                    </a:prstGeom>
                    <a:noFill/>
                  </pic:spPr>
                </pic:pic>
              </a:graphicData>
            </a:graphic>
          </wp:anchor>
        </w:drawing>
        <w:drawing>
          <wp:anchor simplePos="0" relativeHeight="251657728" behindDoc="1" locked="0" layoutInCell="0" allowOverlap="1">
            <wp:simplePos x="0" y="0"/>
            <wp:positionH relativeFrom="column">
              <wp:posOffset>-4066540</wp:posOffset>
            </wp:positionH>
            <wp:positionV relativeFrom="paragraph">
              <wp:posOffset>-227330</wp:posOffset>
            </wp:positionV>
            <wp:extent cx="7148195" cy="1143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48195" cy="114300"/>
                    </a:xfrm>
                    <a:prstGeom prst="rect">
                      <a:avLst/>
                    </a:prstGeom>
                    <a:noFill/>
                  </pic:spPr>
                </pic:pic>
              </a:graphicData>
            </a:graphic>
          </wp:anchor>
        </w:drawing>
        <w:drawing>
          <wp:anchor simplePos="0" relativeHeight="251657728" behindDoc="1" locked="0" layoutInCell="0" allowOverlap="1">
            <wp:simplePos x="0" y="0"/>
            <wp:positionH relativeFrom="column">
              <wp:posOffset>-4066540</wp:posOffset>
            </wp:positionH>
            <wp:positionV relativeFrom="paragraph">
              <wp:posOffset>-934720</wp:posOffset>
            </wp:positionV>
            <wp:extent cx="7148195" cy="2425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48195" cy="2425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700" w:space="720"/>
            <w:col w:w="4860"/>
          </w:cols>
          <w:pgMar w:left="300" w:top="1143" w:right="319" w:bottom="1440" w:gutter="0" w:footer="0" w:header="0"/>
          <w:type w:val="continuous"/>
        </w:sectPr>
      </w:pPr>
    </w:p>
    <w:tbl>
      <w:tblPr>
        <w:tblLayout w:type="fixed"/>
        <w:tblInd w:w="20" w:type="dxa"/>
        <w:tblCellMar>
          <w:top w:w="0" w:type="dxa"/>
          <w:left w:w="0" w:type="dxa"/>
          <w:bottom w:w="0" w:type="dxa"/>
          <w:right w:w="0" w:type="dxa"/>
        </w:tblCellMar>
      </w:tblPr>
      <w:tr>
        <w:trPr>
          <w:trHeight w:val="173"/>
        </w:trPr>
        <w:tc>
          <w:tcPr>
            <w:tcW w:w="8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640" w:type="dxa"/>
            <w:vAlign w:val="bottom"/>
            <w:tcBorders>
              <w:top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w:t>
            </w:r>
          </w:p>
        </w:tc>
      </w:tr>
      <w:tr>
        <w:trPr>
          <w:trHeight w:val="180"/>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Less: Current debt</w:t>
            </w:r>
          </w:p>
        </w:tc>
        <w:tc>
          <w:tcPr>
            <w:tcW w:w="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96"/>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Long-term debt</w:t>
            </w:r>
          </w:p>
        </w:tc>
        <w:tc>
          <w:tcPr>
            <w:tcW w:w="64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160" w:hanging="155"/>
        <w:spacing w:after="0"/>
        <w:tabs>
          <w:tab w:leader="none" w:pos="1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Interest rates as of December 31, 2023.</w:t>
      </w:r>
    </w:p>
    <w:p>
      <w:pPr>
        <w:spacing w:after="0" w:line="20"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of unamortized debt issuance costs of $2 million and $3 million, as of December 31, 2023 and 2022, respectively.</w:t>
      </w:r>
    </w:p>
    <w:p>
      <w:pPr>
        <w:spacing w:after="0" w:line="11"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of unamortized debt issuance costs of $3 million as of December 31, 2023 and 2022.</w:t>
      </w:r>
    </w:p>
    <w:p>
      <w:pPr>
        <w:spacing w:after="0" w:line="11"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of unamortized debt issuance costs of $1 million as of December 31, 2022.</w:t>
      </w:r>
    </w:p>
    <w:p>
      <w:pPr>
        <w:spacing w:after="0" w:line="11"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of unamortized debt issuance costs of $1 million as of December 31, 2023 and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Five-Year Term Loan</w:t>
      </w:r>
    </w:p>
    <w:p>
      <w:pPr>
        <w:spacing w:after="0" w:line="202"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In 2022, the Company entered into a $500 million five-year unsecured term loan (the “Five-Year Term Loan”) that will mature on May 26, 2027. The loan bears interest at a fluctuating rate per annum equal to, at the Company’s option, the alternate base rate or the adjusted Secured Overnight Financing Rate (SOFR), plus an applicable margin based on the Company’s credit ratings.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Delayed Draw Term Loan</w:t>
      </w:r>
    </w:p>
    <w:p>
      <w:pPr>
        <w:spacing w:after="0" w:line="202" w:lineRule="exact"/>
        <w:rPr>
          <w:sz w:val="20"/>
          <w:szCs w:val="20"/>
          <w:color w:val="auto"/>
        </w:rPr>
      </w:pPr>
    </w:p>
    <w:p>
      <w:pPr>
        <w:jc w:val="both"/>
        <w:ind w:right="280"/>
        <w:spacing w:after="0" w:line="264" w:lineRule="auto"/>
        <w:rPr>
          <w:sz w:val="20"/>
          <w:szCs w:val="20"/>
          <w:color w:val="auto"/>
        </w:rPr>
      </w:pPr>
      <w:r>
        <w:rPr>
          <w:rFonts w:ascii="Times New Roman" w:cs="Times New Roman" w:eastAsia="Times New Roman" w:hAnsi="Times New Roman"/>
          <w:sz w:val="14"/>
          <w:szCs w:val="14"/>
          <w:color w:val="auto"/>
        </w:rPr>
        <w:t>In 2022, the Company borrowed a $165 million two-year term loan tranche (the “Two-Year Term Loan”) and a $235 million three-year term loan tranche (the “Three-Year Term Loan”). In 2022, $50 million of the Two-Year Term Loan was repaid, with the remaining $115 million repaid in the second quarter of 2023. The Three-Year Term Loan will mature on May 26, 2025. The Delayed Draw Term Loan bears interest at a fluctuating rate per annum equal to, at the Company’s option, the alternate base rate or the adjusted SOFR, plus an applicable margin based on the Company’s credit ratings.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i w:val="1"/>
          <w:iCs w:val="1"/>
          <w:color w:val="auto"/>
        </w:rPr>
        <w:t>Unsecured Notes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2021, before the Separation, the Company completed an offering of $800 million aggregate principal amount of notes, consisting of $400 million of notes due 2026 (the “2026 Notes”) and</w:t>
      </w:r>
    </w:p>
    <w:p>
      <w:pPr>
        <w:spacing w:after="0" w:line="23"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4"/>
          <w:szCs w:val="14"/>
          <w:color w:val="auto"/>
        </w:rPr>
        <w:t>$400 million of notes due 2031 (the “2031 Notes”). The 2026 Notes bear interest at a rate of 1.65% per annum payable semiannually in arrears on January 15 and July 15 of each year, beginning January 15, 2022, and maturing on July 15, 2026. The 2031 Notes bear interest at a rate of 2.65% per annum payable semiannually in arrears on January 15 and July 15 of each year, beginning January 15, 2022, and maturing on July 15, 2031.</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Revolving Credit Facilities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In 2021, before the Separation, the Company entered into a five-year unsecured multi-currency Revolving Credit Facility (the “Revolving Credit Facility”). The Revolving Credit Facility provides commitments of up to $800 million, of which $60 million is available for the issuance of letters of credit. Loans under the Revolving Credit Facility bear interest at a fluctuating rate equal to (i) with respect to borrowings in dollars, at the Company’s option, the alternate base rate or the adjusted SOFR, (ii) with respect to borrowings in Canadian dollars, the reserve-adjusted Canadian Dollar Offered Rate and (iii) with respect to borrowings in Euros, the reserve-adjusted Euro Interbank Offered Rate, in each case, plus an applicable margin calculated based on the Company’s credit ratings. In addition, the Company is paying a commitment fee of 0.15% per annum on the unused portion of the commitments under the Revolving Credit Facility. No amounts were outstanding under the Revolving Credit Facility as of December 31, 2023, or December 31, 2022.</w:t>
      </w:r>
    </w:p>
    <w:p>
      <w:pPr>
        <w:spacing w:after="0" w:line="167"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In 2022, in connection with the Clipper Acquisition, the Company assumed a revolving credit facility agreement under which it may borrow up to approximately £45 million ($54 million as of December 31, 2022) in aggregate at any time, which expired in November 2023. As of December 31, 2022, the Company had $18 million of borrowings outstanding under this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Amounts drawn and repaid in 90 days or less under the revolving credit facilities are presented net in the Consolidated Statement of Cash Flows.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Factoring Programs</w:t>
      </w:r>
    </w:p>
    <w:p>
      <w:pPr>
        <w:spacing w:after="0" w:line="202"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The Company sells certain of its trade receivables on a non-recourse basis to third-party financial institutions under various factoring programs. The Company also sold certain European trade accounts receivables under a securitization program terminated in the first quarter of 2022. The Company accounts for these transactions as sales of receivables and presents cash proceeds as cash provided by operating activities in the Consolidated Statements of Cash Flows.</w:t>
      </w:r>
    </w:p>
    <w:p>
      <w:pPr>
        <w:spacing w:after="0" w:line="157"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The Company accounts for these transactions as sales because the Company sells full title and ownership in the underlying receivables and control of the receivables is considered transferred. For these transfers, the receivables are removed from the Consolidated Balance Sheets at the date of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1"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84"/>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Information related to trade receivables sold was as follows: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2"/>
        </w:trPr>
        <w:tc>
          <w:tcPr>
            <w:tcW w:w="6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Factoring program</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r>
      <w:tr>
        <w:trPr>
          <w:trHeight w:val="180"/>
        </w:trPr>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Receivables sold in period</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r>
      <w:tr>
        <w:trPr>
          <w:trHeight w:val="180"/>
        </w:trPr>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consideration</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Securitization program</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Receivables sold in period</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w:t>
            </w:r>
          </w:p>
        </w:tc>
      </w:tr>
      <w:tr>
        <w:trPr>
          <w:trHeight w:val="180"/>
        </w:trPr>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Cash consideration</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operating cash flows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Covenants and Compliance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covenants in the Five-Year Term Loan, the Delayed Draw Term Loan, the Unsecured Notes and the Revolving Credit Facilities, which are customary for financings of this type, limit the Company’s ability to incur indebtedness and grant liens, among other restrictions. In addition, the facilities require the Company to maintain a consolidated leverage ratio below a specified maximum.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the Company complied with the covenants contained in its debt and financing arrangements.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Fair Value Measurements and Financial Instruments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in an orderly transaction between market participants at the measurement date. The levels of inputs used to measure fair value are:</w:t>
      </w:r>
    </w:p>
    <w:p>
      <w:pPr>
        <w:spacing w:after="0" w:line="145"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1—Quoted prices for identical instruments in active markets;</w:t>
      </w:r>
    </w:p>
    <w:p>
      <w:pPr>
        <w:spacing w:after="0" w:line="23" w:lineRule="exact"/>
        <w:rPr>
          <w:rFonts w:ascii="Times New Roman" w:cs="Times New Roman" w:eastAsia="Times New Roman" w:hAnsi="Times New Roman"/>
          <w:sz w:val="14"/>
          <w:szCs w:val="14"/>
          <w:color w:val="auto"/>
        </w:rPr>
      </w:pPr>
    </w:p>
    <w:p>
      <w:pPr>
        <w:ind w:left="520" w:right="120" w:hanging="260"/>
        <w:spacing w:after="0" w:line="253"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3—Valuations based on inputs that are unobservable, generally utilizing pricing models or other valuation techniques that reflect management’s judgment and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Assets and liabilities</w:t>
      </w:r>
    </w:p>
    <w:p>
      <w:pPr>
        <w:spacing w:after="0" w:line="202"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The Company bases its fair value estimates on market assumptions and available information. The carrying values of cash and cash equivalents, accounts receivable, accounts payable, accrued expenses and current maturities of long-term debt approximated their fair values as of December 31, 2023 and 2022, due to their short-term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i w:val="1"/>
          <w:iCs w:val="1"/>
          <w:color w:val="auto"/>
        </w:rPr>
        <w:t>Debt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debt was as follows:</w:t>
      </w: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Unsecured notes due 2026</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Unsecured notes due 2031</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Two-Year Term Loan due 2024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Three-Year Term Loan due 2025</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Five-Year Term Loan due 2027</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Instruments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2940" w:type="dxa"/>
            <w:vAlign w:val="bottom"/>
            <w:gridSpan w:val="4"/>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1"/>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0" w:type="dxa"/>
            <w:vAlign w:val="bottom"/>
          </w:tcPr>
          <w:p>
            <w:pPr>
              <w:spacing w:after="0"/>
              <w:rPr>
                <w:sz w:val="1"/>
                <w:szCs w:val="1"/>
                <w:color w:val="auto"/>
              </w:rPr>
            </w:pPr>
          </w:p>
        </w:tc>
      </w:tr>
      <w:tr>
        <w:trPr>
          <w:trHeight w:val="266"/>
        </w:trPr>
        <w:tc>
          <w:tcPr>
            <w:tcW w:w="9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80" w:type="dxa"/>
            <w:vAlign w:val="bottom"/>
          </w:tcPr>
          <w:p>
            <w:pPr>
              <w:spacing w:after="0"/>
              <w:rPr>
                <w:sz w:val="23"/>
                <w:szCs w:val="23"/>
                <w:color w:val="auto"/>
              </w:rPr>
            </w:pPr>
          </w:p>
        </w:tc>
        <w:tc>
          <w:tcPr>
            <w:tcW w:w="28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tcPr>
          <w:p>
            <w:pPr>
              <w:spacing w:after="0"/>
              <w:rPr>
                <w:sz w:val="23"/>
                <w:szCs w:val="23"/>
                <w:color w:val="auto"/>
              </w:rPr>
            </w:pPr>
          </w:p>
        </w:tc>
        <w:tc>
          <w:tcPr>
            <w:tcW w:w="2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80" w:type="dxa"/>
            <w:vAlign w:val="bottom"/>
          </w:tcPr>
          <w:p>
            <w:pPr>
              <w:spacing w:after="0"/>
              <w:rPr>
                <w:sz w:val="23"/>
                <w:szCs w:val="23"/>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Pr>
          <w:p>
            <w:pPr>
              <w:spacing w:after="0"/>
              <w:rPr>
                <w:sz w:val="23"/>
                <w:szCs w:val="23"/>
                <w:color w:val="auto"/>
              </w:rPr>
            </w:pPr>
          </w:p>
        </w:tc>
        <w:tc>
          <w:tcPr>
            <w:tcW w:w="2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0" w:type="dxa"/>
            <w:vAlign w:val="bottom"/>
          </w:tcPr>
          <w:p>
            <w:pPr>
              <w:spacing w:after="0"/>
              <w:rPr>
                <w:sz w:val="1"/>
                <w:szCs w:val="1"/>
                <w:color w:val="auto"/>
              </w:rPr>
            </w:pPr>
          </w:p>
        </w:tc>
      </w:tr>
      <w:tr>
        <w:trPr>
          <w:trHeight w:val="95"/>
        </w:trPr>
        <w:tc>
          <w:tcPr>
            <w:tcW w:w="9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0" w:type="dxa"/>
            <w:vAlign w:val="bottom"/>
          </w:tcPr>
          <w:p>
            <w:pPr>
              <w:spacing w:after="0"/>
              <w:rPr>
                <w:sz w:val="1"/>
                <w:szCs w:val="1"/>
                <w:color w:val="auto"/>
              </w:rPr>
            </w:pPr>
          </w:p>
        </w:tc>
      </w:tr>
      <w:tr>
        <w:trPr>
          <w:trHeight w:val="92"/>
        </w:trPr>
        <w:tc>
          <w:tcPr>
            <w:tcW w:w="9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0" w:type="dxa"/>
            <w:vAlign w:val="bottom"/>
          </w:tcPr>
          <w:p>
            <w:pPr>
              <w:spacing w:after="0"/>
              <w:rPr>
                <w:sz w:val="1"/>
                <w:szCs w:val="1"/>
                <w:color w:val="auto"/>
              </w:rPr>
            </w:pPr>
          </w:p>
        </w:tc>
      </w:tr>
      <w:tr>
        <w:trPr>
          <w:trHeight w:val="180"/>
        </w:trPr>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0" w:type="dxa"/>
            <w:vAlign w:val="bottom"/>
          </w:tcPr>
          <w:p>
            <w:pPr>
              <w:spacing w:after="0"/>
              <w:rPr>
                <w:sz w:val="1"/>
                <w:szCs w:val="1"/>
                <w:color w:val="auto"/>
              </w:rPr>
            </w:pPr>
          </w:p>
        </w:tc>
      </w:tr>
      <w:tr>
        <w:trPr>
          <w:trHeight w:val="184"/>
        </w:trPr>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-342900</wp:posOffset>
            </wp:positionV>
            <wp:extent cx="7161530" cy="1143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-2332990</wp:posOffset>
            </wp:positionH>
            <wp:positionV relativeFrom="paragraph">
              <wp:posOffset>-113665</wp:posOffset>
            </wp:positionV>
            <wp:extent cx="7161530" cy="1143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-2332990</wp:posOffset>
            </wp:positionH>
            <wp:positionV relativeFrom="paragraph">
              <wp:posOffset>-821055</wp:posOffset>
            </wp:positionV>
            <wp:extent cx="7161530" cy="2425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61530" cy="242570"/>
                    </a:xfrm>
                    <a:prstGeom prst="rect">
                      <a:avLst/>
                    </a:prstGeom>
                    <a:noFill/>
                  </pic:spPr>
                </pic:pic>
              </a:graphicData>
            </a:graphic>
          </wp:anchor>
        </w:drawing>
      </w:r>
    </w:p>
    <w:p>
      <w:pPr>
        <w:spacing w:after="0" w:line="609" w:lineRule="exact"/>
        <w:rPr>
          <w:sz w:val="20"/>
          <w:szCs w:val="20"/>
          <w:color w:val="auto"/>
        </w:rPr>
      </w:pPr>
    </w:p>
    <w:p>
      <w:pPr>
        <w:sectPr>
          <w:pgSz w:w="11900" w:h="16838" w:orient="portrait"/>
          <w:cols w:equalWidth="0" w:num="2">
            <w:col w:w="2960" w:space="720"/>
            <w:col w:w="7600"/>
          </w:cols>
          <w:pgMar w:left="300" w:top="1141" w:right="319" w:bottom="1440" w:gutter="0" w:footer="0" w:header="0"/>
        </w:sectPr>
      </w:pPr>
    </w:p>
    <w:p>
      <w:pPr>
        <w:spacing w:after="0" w:line="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Company directly manages its exposure to risks arising from business operations and economic factors, including fluctuations in interest rates and foreign currencies. The Company uses derivative instruments to manage the volatility related to these exposures. The objective of these derivative instruments is to reduce fluctuations in earnings and cash flows associated with changes in foreign currency exchange rates and interest rates. These financial instruments are not used for trading or other speculative purposes. The Company does not expect to incur any losses as a result of counterparty default.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Investment Hedges</w:t>
      </w:r>
    </w:p>
    <w:p>
      <w:pPr>
        <w:spacing w:after="0" w:line="20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Company uses fixed-to-fixed or variable-to-variable cross-currency swap agreements to hedge its net investments in foreign operations against future volatility in the exchange rates between the U.S. dollar and the associated foreign currencies. The Company designated these cross-currency swap agreements as qualifying hedging instruments and accounts for them as net investment hedges. In October 2023, the Company terminated a hedge with a notional amount of $115 million and amended a $235 million hedge to extend its maturity from 2024 to 2025. Also, the Company entered into various hedges for an aggregate notional amount of $313 million that will mature from 2025 to 2028.</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Swap Agreements</w:t>
      </w:r>
    </w:p>
    <w:p>
      <w:pPr>
        <w:spacing w:after="0" w:line="20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Company uses interest rate swap agreements to hedge the variability of cash flows resulting from floating interest rate borrowings. The Company designated these interest rate swap agreements as qualifying hedging instruments and accounts for them as cash flow hedges. When an interest rate swap agreement qualifies for hedge accounting as a cash flow hedge, the changes in the fair value are recorded in equity as a component of AOCIL and are reclassified into Interest expense, net over the life of the underlying debt, as interest on the Company’s floating rate debt is accrued. In January 2024, the Company entered into an interest rate swap schedule to mature in 2025, with a notional amount of $125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Exchange Rate Risk</w:t>
      </w:r>
    </w:p>
    <w:p>
      <w:pPr>
        <w:spacing w:after="0" w:line="20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The Company is exposed to certain risks relating to its ongoing business operations, including foreign currency exchange rate risk. The Company uses foreign currency option contracts to mitigate the risk of a reduction in the value of earnings from its operations that use the Euro or British pound sterling as their functional currency. Additionally, the Company uses foreign currency forward contracts to mitigate exposure from variability of cash flows related to the forecasted interest and principal payments on intercompany loans. The foreign currency forward contracts generally expire within 12 months. While these derivatives are hedging the fluctuations in foreign currencies, they do not meet the requirements to be accounted for as hedging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notional amount and fair value of derivative instruments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60"/>
        </w:trPr>
        <w:tc>
          <w:tcPr>
            <w:tcW w:w="3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tcPr>
          <w:p>
            <w:pPr>
              <w:spacing w:after="0"/>
              <w:rPr>
                <w:sz w:val="13"/>
                <w:szCs w:val="13"/>
                <w:color w:val="auto"/>
              </w:rPr>
            </w:pPr>
          </w:p>
        </w:tc>
      </w:tr>
      <w:tr>
        <w:trPr>
          <w:trHeight w:val="162"/>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0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Notional Amount</w:t>
            </w:r>
          </w:p>
        </w:tc>
        <w:tc>
          <w:tcPr>
            <w:tcW w:w="200" w:type="dxa"/>
            <w:vAlign w:val="bottom"/>
          </w:tcPr>
          <w:p>
            <w:pPr>
              <w:spacing w:after="0"/>
              <w:rPr>
                <w:sz w:val="14"/>
                <w:szCs w:val="14"/>
                <w:color w:val="auto"/>
              </w:rPr>
            </w:pPr>
          </w:p>
        </w:tc>
        <w:tc>
          <w:tcPr>
            <w:tcW w:w="100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Notional Amount</w:t>
            </w:r>
          </w:p>
        </w:tc>
        <w:tc>
          <w:tcPr>
            <w:tcW w:w="200" w:type="dxa"/>
            <w:vAlign w:val="bottom"/>
          </w:tcPr>
          <w:p>
            <w:pPr>
              <w:spacing w:after="0"/>
              <w:rPr>
                <w:sz w:val="14"/>
                <w:szCs w:val="14"/>
                <w:color w:val="auto"/>
              </w:rPr>
            </w:pPr>
          </w:p>
        </w:tc>
        <w:tc>
          <w:tcPr>
            <w:tcW w:w="102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80" w:type="dxa"/>
            <w:vAlign w:val="bottom"/>
          </w:tcPr>
          <w:p>
            <w:pPr>
              <w:spacing w:after="0"/>
              <w:rPr>
                <w:sz w:val="14"/>
                <w:szCs w:val="1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Sheet Location</w:t>
            </w:r>
          </w:p>
        </w:tc>
      </w:tr>
      <w:tr>
        <w:trPr>
          <w:trHeight w:val="162"/>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designated as hedges</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60" w:type="dxa"/>
            <w:vAlign w:val="bottom"/>
            <w:tcBorders>
              <w:top w:val="single" w:sz="8" w:color="auto"/>
            </w:tcBorders>
            <w:shd w:val="clear" w:color="auto" w:fill="CCEEFF"/>
          </w:tcPr>
          <w:p>
            <w:pPr>
              <w:spacing w:after="0"/>
              <w:rPr>
                <w:sz w:val="14"/>
                <w:szCs w:val="14"/>
                <w:color w:val="auto"/>
              </w:rPr>
            </w:pPr>
          </w:p>
        </w:tc>
      </w:tr>
      <w:tr>
        <w:trPr>
          <w:trHeight w:val="169"/>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71"/>
        </w:trPr>
        <w:tc>
          <w:tcPr>
            <w:tcW w:w="3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rate swaps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current assets</w:t>
            </w:r>
          </w:p>
        </w:tc>
      </w:tr>
      <w:tr>
        <w:trPr>
          <w:trHeight w:val="168"/>
        </w:trPr>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Interest rate swaps</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long-term assets</w:t>
            </w:r>
          </w:p>
        </w:tc>
      </w:tr>
      <w:tr>
        <w:trPr>
          <w:trHeight w:val="172"/>
        </w:trPr>
        <w:tc>
          <w:tcPr>
            <w:tcW w:w="3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Cross-currency swap agreements</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4"/>
                <w:szCs w:val="14"/>
                <w:color w:val="auto"/>
              </w:rPr>
            </w:pP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long-term assets</w:t>
            </w:r>
          </w:p>
        </w:tc>
      </w:tr>
      <w:tr>
        <w:trPr>
          <w:trHeight w:val="169"/>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71"/>
        </w:trPr>
        <w:tc>
          <w:tcPr>
            <w:tcW w:w="3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Cross-currency swap agreements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4"/>
                <w:szCs w:val="14"/>
                <w:color w:val="auto"/>
              </w:rPr>
            </w:pP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current liabilities</w:t>
            </w:r>
          </w:p>
        </w:tc>
      </w:tr>
      <w:tr>
        <w:trPr>
          <w:trHeight w:val="168"/>
        </w:trPr>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Cross-currency swap agreements</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r>
      <w:tr>
        <w:trPr>
          <w:trHeight w:val="214"/>
        </w:trPr>
        <w:tc>
          <w:tcPr>
            <w:tcW w:w="3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r>
      <w:tr>
        <w:trPr>
          <w:trHeight w:val="169"/>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not designated as hedges</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71"/>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68"/>
        </w:trPr>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Foreign currency option contracts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current assets</w:t>
            </w:r>
          </w:p>
        </w:tc>
      </w:tr>
      <w:tr>
        <w:trPr>
          <w:trHeight w:val="172"/>
        </w:trPr>
        <w:tc>
          <w:tcPr>
            <w:tcW w:w="3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Foreign currency forward contracts</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current assets</w:t>
            </w:r>
          </w:p>
        </w:tc>
      </w:tr>
      <w:tr>
        <w:trPr>
          <w:trHeight w:val="169"/>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71"/>
        </w:trPr>
        <w:tc>
          <w:tcPr>
            <w:tcW w:w="3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Foreign currency option contracts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current liabilities</w:t>
            </w:r>
          </w:p>
        </w:tc>
      </w:tr>
      <w:tr>
        <w:trPr>
          <w:trHeight w:val="165"/>
        </w:trPr>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Foreign currency forward contracts</w:t>
            </w:r>
          </w:p>
        </w:tc>
        <w:tc>
          <w:tcPr>
            <w:tcW w:w="1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current liabilities</w:t>
            </w:r>
          </w:p>
        </w:tc>
      </w:tr>
    </w:tbl>
    <w:p>
      <w:pPr>
        <w:spacing w:after="0" w:line="255"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As of December 31, 2023 and 2022, the derivatives were classified as Level 2 within the fair value hierarchy. The derivatives are valued using inputs other than quoted prices such as foreign exchange rates and yield curves.</w:t>
      </w:r>
    </w:p>
    <w:p>
      <w:pPr>
        <w:sectPr>
          <w:pgSz w:w="11900" w:h="16838" w:orient="portrait"/>
          <w:cols w:equalWidth="0" w:num="1">
            <w:col w:w="11280"/>
          </w:cols>
          <w:pgMar w:left="300" w:top="1141" w:right="319" w:bottom="1440" w:gutter="0" w:footer="0" w:header="0"/>
        </w:sectPr>
      </w:pP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effect of hedges on AOCIL and in the Consolidated Statements of Operations was as follows: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244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0" w:type="dxa"/>
            <w:vAlign w:val="bottom"/>
          </w:tcPr>
          <w:p>
            <w:pPr>
              <w:spacing w:after="0"/>
              <w:rPr>
                <w:sz w:val="1"/>
                <w:szCs w:val="1"/>
                <w:color w:val="auto"/>
              </w:rPr>
            </w:pPr>
          </w:p>
        </w:tc>
      </w:tr>
      <w:tr>
        <w:trPr>
          <w:trHeight w:val="106"/>
        </w:trPr>
        <w:tc>
          <w:tcPr>
            <w:tcW w:w="2440" w:type="dxa"/>
            <w:vAlign w:val="bottom"/>
          </w:tcPr>
          <w:p>
            <w:pPr>
              <w:spacing w:after="0"/>
              <w:rPr>
                <w:sz w:val="9"/>
                <w:szCs w:val="9"/>
                <w:color w:val="auto"/>
              </w:rPr>
            </w:pPr>
          </w:p>
        </w:tc>
        <w:tc>
          <w:tcPr>
            <w:tcW w:w="1320" w:type="dxa"/>
            <w:vAlign w:val="bottom"/>
          </w:tcPr>
          <w:p>
            <w:pPr>
              <w:jc w:val="center"/>
              <w:spacing w:after="0" w:line="106" w:lineRule="exact"/>
              <w:rPr>
                <w:sz w:val="20"/>
                <w:szCs w:val="20"/>
                <w:color w:val="auto"/>
              </w:rPr>
            </w:pPr>
            <w:r>
              <w:rPr>
                <w:rFonts w:ascii="Times New Roman" w:cs="Times New Roman" w:eastAsia="Times New Roman" w:hAnsi="Times New Roman"/>
                <w:sz w:val="10"/>
                <w:szCs w:val="10"/>
                <w:b w:val="1"/>
                <w:bCs w:val="1"/>
                <w:color w:val="auto"/>
              </w:rPr>
              <w:t>Amount of Gain (Loss)</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Gain (Loss) Reclassified</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Gain (Loss) Recognized in Net</w:t>
            </w:r>
          </w:p>
        </w:tc>
        <w:tc>
          <w:tcPr>
            <w:tcW w:w="0" w:type="dxa"/>
            <w:vAlign w:val="bottom"/>
          </w:tcPr>
          <w:p>
            <w:pPr>
              <w:spacing w:after="0"/>
              <w:rPr>
                <w:sz w:val="1"/>
                <w:szCs w:val="1"/>
                <w:color w:val="auto"/>
              </w:rPr>
            </w:pPr>
          </w:p>
        </w:tc>
      </w:tr>
      <w:tr>
        <w:trPr>
          <w:trHeight w:val="95"/>
        </w:trPr>
        <w:tc>
          <w:tcPr>
            <w:tcW w:w="2440" w:type="dxa"/>
            <w:vAlign w:val="bottom"/>
          </w:tcPr>
          <w:p>
            <w:pPr>
              <w:spacing w:after="0"/>
              <w:rPr>
                <w:sz w:val="8"/>
                <w:szCs w:val="8"/>
                <w:color w:val="auto"/>
              </w:rPr>
            </w:pPr>
          </w:p>
        </w:tc>
        <w:tc>
          <w:tcPr>
            <w:tcW w:w="1320" w:type="dxa"/>
            <w:vAlign w:val="bottom"/>
          </w:tcPr>
          <w:p>
            <w:pPr>
              <w:jc w:val="center"/>
              <w:spacing w:after="0" w:line="96" w:lineRule="exact"/>
              <w:rPr>
                <w:sz w:val="20"/>
                <w:szCs w:val="20"/>
                <w:color w:val="auto"/>
              </w:rPr>
            </w:pPr>
            <w:r>
              <w:rPr>
                <w:rFonts w:ascii="Times New Roman" w:cs="Times New Roman" w:eastAsia="Times New Roman" w:hAnsi="Times New Roman"/>
                <w:sz w:val="10"/>
                <w:szCs w:val="10"/>
                <w:b w:val="1"/>
                <w:bCs w:val="1"/>
                <w:color w:val="auto"/>
              </w:rPr>
              <w:t>Recognized in Other</w:t>
            </w:r>
          </w:p>
        </w:tc>
        <w:tc>
          <w:tcPr>
            <w:tcW w:w="134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44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320" w:type="dxa"/>
            <w:vAlign w:val="bottom"/>
          </w:tcPr>
          <w:p>
            <w:pPr>
              <w:jc w:val="center"/>
              <w:spacing w:after="0" w:line="106" w:lineRule="exact"/>
              <w:rPr>
                <w:sz w:val="20"/>
                <w:szCs w:val="20"/>
                <w:color w:val="auto"/>
              </w:rPr>
            </w:pPr>
            <w:r>
              <w:rPr>
                <w:rFonts w:ascii="Times New Roman" w:cs="Times New Roman" w:eastAsia="Times New Roman" w:hAnsi="Times New Roman"/>
                <w:sz w:val="10"/>
                <w:szCs w:val="10"/>
                <w:b w:val="1"/>
                <w:bCs w:val="1"/>
                <w:color w:val="auto"/>
              </w:rPr>
              <w:t>Comprehensive Income on</w:t>
            </w:r>
          </w:p>
        </w:tc>
        <w:tc>
          <w:tcPr>
            <w:tcW w:w="134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from AOCIL into Net</w:t>
            </w:r>
          </w:p>
        </w:tc>
        <w:tc>
          <w:tcPr>
            <w:tcW w:w="172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Income on Derivatives (Excluded</w:t>
            </w:r>
          </w:p>
        </w:tc>
        <w:tc>
          <w:tcPr>
            <w:tcW w:w="0" w:type="dxa"/>
            <w:vAlign w:val="bottom"/>
          </w:tcPr>
          <w:p>
            <w:pPr>
              <w:spacing w:after="0"/>
              <w:rPr>
                <w:sz w:val="1"/>
                <w:szCs w:val="1"/>
                <w:color w:val="auto"/>
              </w:rPr>
            </w:pPr>
          </w:p>
        </w:tc>
      </w:tr>
      <w:tr>
        <w:trPr>
          <w:trHeight w:val="173"/>
        </w:trPr>
        <w:tc>
          <w:tcPr>
            <w:tcW w:w="2440" w:type="dxa"/>
            <w:vAlign w:val="bottom"/>
            <w:vMerge w:val="continue"/>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Derivatives</w:t>
            </w:r>
          </w:p>
        </w:tc>
        <w:tc>
          <w:tcPr>
            <w:tcW w:w="13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 xml:space="preserve">Income </w:t>
            </w:r>
            <w:r>
              <w:rPr>
                <w:rFonts w:ascii="Times New Roman" w:cs="Times New Roman" w:eastAsia="Times New Roman" w:hAnsi="Times New Roman"/>
                <w:sz w:val="14"/>
                <w:szCs w:val="14"/>
                <w:b w:val="1"/>
                <w:bCs w:val="1"/>
                <w:color w:val="auto"/>
                <w:w w:val="94"/>
                <w:vertAlign w:val="superscript"/>
              </w:rPr>
              <w:t>(1)</w:t>
            </w:r>
          </w:p>
        </w:tc>
        <w:tc>
          <w:tcPr>
            <w:tcW w:w="1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xml:space="preserve">from effectiveness testing) </w:t>
            </w:r>
            <w:r>
              <w:rPr>
                <w:rFonts w:ascii="Times New Roman" w:cs="Times New Roman" w:eastAsia="Times New Roman" w:hAnsi="Times New Roman"/>
                <w:sz w:val="14"/>
                <w:szCs w:val="14"/>
                <w:b w:val="1"/>
                <w:bCs w:val="1"/>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434530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434530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Amount of Gain (Loss)</w:t>
            </w:r>
          </w:p>
        </w:tc>
        <w:tc>
          <w:tcPr>
            <w:tcW w:w="13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Gain (Loss) Reclassified</w:t>
            </w:r>
          </w:p>
        </w:tc>
        <w:tc>
          <w:tcPr>
            <w:tcW w:w="17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Gain (Loss) Recognized in Net</w:t>
            </w:r>
          </w:p>
        </w:tc>
        <w:tc>
          <w:tcPr>
            <w:tcW w:w="0" w:type="dxa"/>
            <w:vAlign w:val="bottom"/>
          </w:tcPr>
          <w:p>
            <w:pPr>
              <w:spacing w:after="0"/>
              <w:rPr>
                <w:sz w:val="1"/>
                <w:szCs w:val="1"/>
                <w:color w:val="auto"/>
              </w:rPr>
            </w:pPr>
          </w:p>
        </w:tc>
      </w:tr>
      <w:tr>
        <w:trPr>
          <w:trHeight w:val="95"/>
        </w:trPr>
        <w:tc>
          <w:tcPr>
            <w:tcW w:w="1320" w:type="dxa"/>
            <w:vAlign w:val="bottom"/>
          </w:tcPr>
          <w:p>
            <w:pPr>
              <w:jc w:val="center"/>
              <w:spacing w:after="0" w:line="96" w:lineRule="exact"/>
              <w:rPr>
                <w:sz w:val="20"/>
                <w:szCs w:val="20"/>
                <w:color w:val="auto"/>
              </w:rPr>
            </w:pPr>
            <w:r>
              <w:rPr>
                <w:rFonts w:ascii="Times New Roman" w:cs="Times New Roman" w:eastAsia="Times New Roman" w:hAnsi="Times New Roman"/>
                <w:sz w:val="10"/>
                <w:szCs w:val="10"/>
                <w:b w:val="1"/>
                <w:bCs w:val="1"/>
                <w:color w:val="auto"/>
              </w:rPr>
              <w:t>Recognized in Other</w:t>
            </w:r>
          </w:p>
        </w:tc>
        <w:tc>
          <w:tcPr>
            <w:tcW w:w="132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320" w:type="dxa"/>
            <w:vAlign w:val="bottom"/>
          </w:tcPr>
          <w:p>
            <w:pPr>
              <w:jc w:val="center"/>
              <w:spacing w:after="0" w:line="106" w:lineRule="exact"/>
              <w:rPr>
                <w:sz w:val="20"/>
                <w:szCs w:val="20"/>
                <w:color w:val="auto"/>
              </w:rPr>
            </w:pPr>
            <w:r>
              <w:rPr>
                <w:rFonts w:ascii="Times New Roman" w:cs="Times New Roman" w:eastAsia="Times New Roman" w:hAnsi="Times New Roman"/>
                <w:sz w:val="10"/>
                <w:szCs w:val="10"/>
                <w:b w:val="1"/>
                <w:bCs w:val="1"/>
                <w:color w:val="auto"/>
              </w:rPr>
              <w:t>Comprehensive Income on</w:t>
            </w:r>
          </w:p>
        </w:tc>
        <w:tc>
          <w:tcPr>
            <w:tcW w:w="132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from AOCIL into Net</w:t>
            </w:r>
          </w:p>
        </w:tc>
        <w:tc>
          <w:tcPr>
            <w:tcW w:w="170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Income on Derivatives (Excluded</w:t>
            </w:r>
          </w:p>
        </w:tc>
        <w:tc>
          <w:tcPr>
            <w:tcW w:w="0" w:type="dxa"/>
            <w:vAlign w:val="bottom"/>
          </w:tcPr>
          <w:p>
            <w:pPr>
              <w:spacing w:after="0"/>
              <w:rPr>
                <w:sz w:val="1"/>
                <w:szCs w:val="1"/>
                <w:color w:val="auto"/>
              </w:rPr>
            </w:pPr>
          </w:p>
        </w:tc>
      </w:tr>
      <w:tr>
        <w:trPr>
          <w:trHeight w:val="173"/>
        </w:trPr>
        <w:tc>
          <w:tcPr>
            <w:tcW w:w="13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Derivatives</w:t>
            </w: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 xml:space="preserve">Income </w:t>
            </w:r>
            <w:r>
              <w:rPr>
                <w:rFonts w:ascii="Times New Roman" w:cs="Times New Roman" w:eastAsia="Times New Roman" w:hAnsi="Times New Roman"/>
                <w:sz w:val="14"/>
                <w:szCs w:val="14"/>
                <w:b w:val="1"/>
                <w:bCs w:val="1"/>
                <w:color w:val="auto"/>
                <w:w w:val="98"/>
                <w:vertAlign w:val="superscript"/>
              </w:rPr>
              <w:t>(1)</w:t>
            </w: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xml:space="preserve">from effectiveness testing) </w:t>
            </w:r>
            <w:r>
              <w:rPr>
                <w:rFonts w:ascii="Times New Roman" w:cs="Times New Roman" w:eastAsia="Times New Roman" w:hAnsi="Times New Roman"/>
                <w:sz w:val="14"/>
                <w:szCs w:val="14"/>
                <w:b w:val="1"/>
                <w:bCs w:val="1"/>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76225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762250" cy="698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840" w:space="100"/>
            <w:col w:w="4340"/>
          </w:cols>
          <w:pgMar w:left="300" w:top="1141" w:right="319" w:bottom="1440" w:gutter="0" w:footer="0" w:header="0"/>
          <w:type w:val="continuous"/>
        </w:sectPr>
      </w:pPr>
    </w:p>
    <w:p>
      <w:pPr>
        <w:ind w:left="20"/>
        <w:spacing w:after="0" w:line="204" w:lineRule="auto"/>
        <w:rPr>
          <w:sz w:val="20"/>
          <w:szCs w:val="20"/>
          <w:color w:val="auto"/>
        </w:rPr>
      </w:pPr>
      <w:r>
        <w:rPr>
          <w:rFonts w:ascii="Times New Roman" w:cs="Times New Roman" w:eastAsia="Times New Roman" w:hAnsi="Times New Roman"/>
          <w:sz w:val="13"/>
          <w:szCs w:val="13"/>
          <w:b w:val="1"/>
          <w:bCs w:val="1"/>
          <w:color w:val="auto"/>
        </w:rPr>
        <w:t>Derivatives designated as net investment</w:t>
      </w:r>
    </w:p>
    <w:p>
      <w:pPr>
        <w:ind w:left="20"/>
        <w:spacing w:after="0"/>
        <w:rPr>
          <w:sz w:val="20"/>
          <w:szCs w:val="20"/>
          <w:color w:val="auto"/>
        </w:rPr>
      </w:pPr>
      <w:r>
        <w:rPr>
          <w:rFonts w:ascii="Times New Roman" w:cs="Times New Roman" w:eastAsia="Times New Roman" w:hAnsi="Times New Roman"/>
          <w:sz w:val="13"/>
          <w:szCs w:val="13"/>
          <w:b w:val="1"/>
          <w:bCs w:val="1"/>
          <w:color w:val="auto"/>
        </w:rPr>
        <w:t>hedges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Cross-currency swap agreements</w:t>
            </w:r>
          </w:p>
        </w:tc>
        <w:tc>
          <w:tcPr>
            <w:tcW w:w="64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60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w:t>
            </w:r>
          </w:p>
        </w:tc>
        <w:tc>
          <w:tcPr>
            <w:tcW w:w="64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36</w:t>
            </w:r>
          </w:p>
        </w:tc>
        <w:tc>
          <w:tcPr>
            <w:tcW w:w="60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9"/>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designated as cash flow hedges</w:t>
            </w: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rate swaps</w:t>
            </w:r>
          </w:p>
        </w:tc>
        <w:tc>
          <w:tcPr>
            <w:tcW w:w="64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0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9</w:t>
            </w:r>
          </w:p>
        </w:tc>
        <w:tc>
          <w:tcPr>
            <w:tcW w:w="60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Amounts reclassified to Net income are reported within Interest expense, net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Derivatives not designated as hedges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Gains and losses recognized in Other income, net in the Consolidated Statements of Operations for foreign currency options and forward contracts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849"/>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80" w:type="dxa"/>
            <w:vAlign w:val="bottom"/>
          </w:tcPr>
          <w:p>
            <w:pPr>
              <w:spacing w:after="0"/>
              <w:rPr>
                <w:sz w:val="15"/>
                <w:szCs w:val="15"/>
                <w:color w:val="auto"/>
              </w:rPr>
            </w:pPr>
          </w:p>
        </w:tc>
        <w:tc>
          <w:tcPr>
            <w:tcW w:w="1200" w:type="dxa"/>
            <w:vAlign w:val="bottom"/>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Realized gain (loss)</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Unrealized gain (loss)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Foreign currency gain (loss)</w:t>
            </w: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11. Accrued Expenses</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804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components of accrued expenses were as follows: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80" w:type="dxa"/>
            <w:vAlign w:val="bottom"/>
          </w:tcPr>
          <w:p>
            <w:pPr>
              <w:spacing w:after="0"/>
              <w:rPr>
                <w:sz w:val="14"/>
                <w:szCs w:val="14"/>
                <w:color w:val="auto"/>
              </w:rPr>
            </w:pPr>
          </w:p>
        </w:tc>
        <w:tc>
          <w:tcPr>
            <w:tcW w:w="1200" w:type="dxa"/>
            <w:vAlign w:val="bottom"/>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Salaries and wages</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Facility and transportation charges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Value-added tax and other taxes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accrued expenses</w:t>
            </w: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color w:val="auto"/>
        </w:rPr>
        <w:t>12. Stockholders’ Equity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changes in AOCIL by component: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gridSpan w:val="6"/>
          </w:tcPr>
          <w:p>
            <w:pPr>
              <w:ind w:left="540"/>
              <w:spacing w:after="0"/>
              <w:rPr>
                <w:sz w:val="20"/>
                <w:szCs w:val="20"/>
                <w:color w:val="auto"/>
              </w:rPr>
            </w:pPr>
            <w:r>
              <w:rPr>
                <w:rFonts w:ascii="Times New Roman" w:cs="Times New Roman" w:eastAsia="Times New Roman" w:hAnsi="Times New Roman"/>
                <w:sz w:val="10"/>
                <w:szCs w:val="10"/>
                <w:b w:val="1"/>
                <w:bCs w:val="1"/>
                <w:color w:val="auto"/>
              </w:rPr>
              <w:t>Foreign Currency Adjustment</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5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Borders>
              <w:top w:val="single" w:sz="8" w:color="auto"/>
            </w:tcBorders>
          </w:tcPr>
          <w:p>
            <w:pPr>
              <w:jc w:val="center"/>
              <w:ind w:left="241"/>
              <w:spacing w:after="0" w:line="105" w:lineRule="exact"/>
              <w:rPr>
                <w:sz w:val="20"/>
                <w:szCs w:val="20"/>
                <w:color w:val="auto"/>
              </w:rPr>
            </w:pPr>
            <w:r>
              <w:rPr>
                <w:rFonts w:ascii="Times New Roman" w:cs="Times New Roman" w:eastAsia="Times New Roman" w:hAnsi="Times New Roman"/>
                <w:sz w:val="11"/>
                <w:szCs w:val="11"/>
                <w:b w:val="1"/>
                <w:bCs w:val="1"/>
                <w:color w:val="auto"/>
              </w:rPr>
              <w:t>Foreign</w:t>
            </w: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Cash</w:t>
            </w:r>
          </w:p>
        </w:tc>
        <w:tc>
          <w:tcPr>
            <w:tcW w:w="240" w:type="dxa"/>
            <w:vAlign w:val="bottom"/>
          </w:tcPr>
          <w:p>
            <w:pPr>
              <w:spacing w:after="0"/>
              <w:rPr>
                <w:sz w:val="9"/>
                <w:szCs w:val="9"/>
                <w:color w:val="auto"/>
              </w:rPr>
            </w:pPr>
          </w:p>
        </w:tc>
        <w:tc>
          <w:tcPr>
            <w:tcW w:w="10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8"/>
              </w:rPr>
              <w:t>Defined</w:t>
            </w:r>
          </w:p>
        </w:tc>
        <w:tc>
          <w:tcPr>
            <w:tcW w:w="200" w:type="dxa"/>
            <w:vAlign w:val="bottom"/>
          </w:tcPr>
          <w:p>
            <w:pPr>
              <w:spacing w:after="0"/>
              <w:rPr>
                <w:sz w:val="9"/>
                <w:szCs w:val="9"/>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Less: AOCIL</w:t>
            </w:r>
          </w:p>
        </w:tc>
        <w:tc>
          <w:tcPr>
            <w:tcW w:w="200" w:type="dxa"/>
            <w:vAlign w:val="bottom"/>
          </w:tcPr>
          <w:p>
            <w:pPr>
              <w:spacing w:after="0"/>
              <w:rPr>
                <w:sz w:val="9"/>
                <w:szCs w:val="9"/>
                <w:color w:val="auto"/>
              </w:rPr>
            </w:pPr>
          </w:p>
        </w:tc>
        <w:tc>
          <w:tcPr>
            <w:tcW w:w="1000" w:type="dxa"/>
            <w:vAlign w:val="bottom"/>
            <w:vMerge w:val="restart"/>
          </w:tcPr>
          <w:p>
            <w:pPr>
              <w:jc w:val="center"/>
              <w:ind w:right="137"/>
              <w:spacing w:after="0"/>
              <w:rPr>
                <w:sz w:val="20"/>
                <w:szCs w:val="20"/>
                <w:color w:val="auto"/>
              </w:rPr>
            </w:pPr>
            <w:r>
              <w:rPr>
                <w:rFonts w:ascii="Times New Roman" w:cs="Times New Roman" w:eastAsia="Times New Roman" w:hAnsi="Times New Roman"/>
                <w:sz w:val="11"/>
                <w:szCs w:val="11"/>
                <w:b w:val="1"/>
                <w:bCs w:val="1"/>
                <w:color w:val="auto"/>
                <w:w w:val="99"/>
              </w:rPr>
              <w:t>AOCIL</w:t>
            </w:r>
          </w:p>
        </w:tc>
        <w:tc>
          <w:tcPr>
            <w:tcW w:w="0" w:type="dxa"/>
            <w:vAlign w:val="bottom"/>
          </w:tcPr>
          <w:p>
            <w:pPr>
              <w:spacing w:after="0"/>
              <w:rPr>
                <w:sz w:val="1"/>
                <w:szCs w:val="1"/>
                <w:color w:val="auto"/>
              </w:rPr>
            </w:pPr>
          </w:p>
        </w:tc>
      </w:tr>
      <w:tr>
        <w:trPr>
          <w:trHeight w:val="115"/>
        </w:trPr>
        <w:tc>
          <w:tcPr>
            <w:tcW w:w="35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jc w:val="center"/>
              <w:ind w:left="241"/>
              <w:spacing w:after="0" w:line="115" w:lineRule="exact"/>
              <w:rPr>
                <w:sz w:val="20"/>
                <w:szCs w:val="20"/>
                <w:color w:val="auto"/>
              </w:rPr>
            </w:pPr>
            <w:r>
              <w:rPr>
                <w:rFonts w:ascii="Times New Roman" w:cs="Times New Roman" w:eastAsia="Times New Roman" w:hAnsi="Times New Roman"/>
                <w:sz w:val="11"/>
                <w:szCs w:val="11"/>
                <w:b w:val="1"/>
                <w:bCs w:val="1"/>
                <w:color w:val="auto"/>
              </w:rPr>
              <w:t>Currency</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Net Investment</w:t>
            </w:r>
          </w:p>
        </w:tc>
        <w:tc>
          <w:tcPr>
            <w:tcW w:w="2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80" w:type="dxa"/>
            <w:vAlign w:val="bottom"/>
            <w:vMerge w:val="restart"/>
          </w:tcPr>
          <w:p>
            <w:pPr>
              <w:spacing w:after="0"/>
              <w:rPr>
                <w:sz w:val="10"/>
                <w:szCs w:val="10"/>
                <w:color w:val="auto"/>
              </w:rPr>
            </w:pPr>
          </w:p>
        </w:tc>
        <w:tc>
          <w:tcPr>
            <w:tcW w:w="920" w:type="dxa"/>
            <w:vAlign w:val="bottom"/>
          </w:tcPr>
          <w:p>
            <w:pPr>
              <w:jc w:val="center"/>
              <w:ind w:left="221"/>
              <w:spacing w:after="0" w:line="117" w:lineRule="exact"/>
              <w:rPr>
                <w:sz w:val="20"/>
                <w:szCs w:val="20"/>
                <w:color w:val="auto"/>
              </w:rPr>
            </w:pPr>
            <w:r>
              <w:rPr>
                <w:rFonts w:ascii="Times New Roman" w:cs="Times New Roman" w:eastAsia="Times New Roman" w:hAnsi="Times New Roman"/>
                <w:sz w:val="11"/>
                <w:szCs w:val="11"/>
                <w:b w:val="1"/>
                <w:bCs w:val="1"/>
                <w:color w:val="auto"/>
              </w:rPr>
              <w:t>Translation</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2"/>
          </w:tcPr>
          <w:p>
            <w:pPr>
              <w:jc w:val="center"/>
              <w:ind w:right="340"/>
              <w:spacing w:after="0" w:line="117" w:lineRule="exact"/>
              <w:rPr>
                <w:sz w:val="20"/>
                <w:szCs w:val="20"/>
                <w:color w:val="auto"/>
              </w:rPr>
            </w:pPr>
            <w:r>
              <w:rPr>
                <w:rFonts w:ascii="Times New Roman" w:cs="Times New Roman" w:eastAsia="Times New Roman" w:hAnsi="Times New Roman"/>
                <w:sz w:val="11"/>
                <w:szCs w:val="11"/>
                <w:b w:val="1"/>
                <w:bCs w:val="1"/>
                <w:color w:val="auto"/>
              </w:rPr>
              <w:t>Flow</w:t>
            </w:r>
          </w:p>
        </w:tc>
        <w:tc>
          <w:tcPr>
            <w:tcW w:w="240" w:type="dxa"/>
            <w:vAlign w:val="bottom"/>
          </w:tcPr>
          <w:p>
            <w:pPr>
              <w:spacing w:after="0"/>
              <w:rPr>
                <w:sz w:val="10"/>
                <w:szCs w:val="10"/>
                <w:color w:val="auto"/>
              </w:rPr>
            </w:pPr>
          </w:p>
        </w:tc>
        <w:tc>
          <w:tcPr>
            <w:tcW w:w="1060" w:type="dxa"/>
            <w:vAlign w:val="bottom"/>
            <w:gridSpan w:val="2"/>
          </w:tcPr>
          <w:p>
            <w:pPr>
              <w:jc w:val="center"/>
              <w:ind w:right="340"/>
              <w:spacing w:after="0" w:line="117" w:lineRule="exact"/>
              <w:rPr>
                <w:sz w:val="20"/>
                <w:szCs w:val="20"/>
                <w:color w:val="auto"/>
              </w:rPr>
            </w:pPr>
            <w:r>
              <w:rPr>
                <w:rFonts w:ascii="Times New Roman" w:cs="Times New Roman" w:eastAsia="Times New Roman" w:hAnsi="Times New Roman"/>
                <w:sz w:val="11"/>
                <w:szCs w:val="11"/>
                <w:b w:val="1"/>
                <w:bCs w:val="1"/>
                <w:color w:val="auto"/>
              </w:rPr>
              <w:t>Benefit</w:t>
            </w:r>
          </w:p>
        </w:tc>
        <w:tc>
          <w:tcPr>
            <w:tcW w:w="200" w:type="dxa"/>
            <w:vAlign w:val="bottom"/>
          </w:tcPr>
          <w:p>
            <w:pPr>
              <w:spacing w:after="0"/>
              <w:rPr>
                <w:sz w:val="10"/>
                <w:szCs w:val="10"/>
                <w:color w:val="auto"/>
              </w:rPr>
            </w:pPr>
          </w:p>
        </w:tc>
        <w:tc>
          <w:tcPr>
            <w:tcW w:w="1240" w:type="dxa"/>
            <w:vAlign w:val="bottom"/>
            <w:gridSpan w:val="2"/>
          </w:tcPr>
          <w:p>
            <w:pPr>
              <w:jc w:val="center"/>
              <w:ind w:right="300"/>
              <w:spacing w:after="0" w:line="117" w:lineRule="exact"/>
              <w:rPr>
                <w:sz w:val="20"/>
                <w:szCs w:val="20"/>
                <w:color w:val="auto"/>
              </w:rPr>
            </w:pPr>
            <w:r>
              <w:rPr>
                <w:rFonts w:ascii="Times New Roman" w:cs="Times New Roman" w:eastAsia="Times New Roman" w:hAnsi="Times New Roman"/>
                <w:sz w:val="11"/>
                <w:szCs w:val="11"/>
                <w:b w:val="1"/>
                <w:bCs w:val="1"/>
                <w:color w:val="auto"/>
              </w:rPr>
              <w:t>attributable to</w:t>
            </w:r>
          </w:p>
        </w:tc>
        <w:tc>
          <w:tcPr>
            <w:tcW w:w="200" w:type="dxa"/>
            <w:vAlign w:val="bottom"/>
          </w:tcPr>
          <w:p>
            <w:pPr>
              <w:spacing w:after="0"/>
              <w:rPr>
                <w:sz w:val="10"/>
                <w:szCs w:val="10"/>
                <w:color w:val="auto"/>
              </w:rPr>
            </w:pPr>
          </w:p>
        </w:tc>
        <w:tc>
          <w:tcPr>
            <w:tcW w:w="1000" w:type="dxa"/>
            <w:vAlign w:val="bottom"/>
          </w:tcPr>
          <w:p>
            <w:pPr>
              <w:jc w:val="center"/>
              <w:ind w:right="157"/>
              <w:spacing w:after="0" w:line="117" w:lineRule="exact"/>
              <w:rPr>
                <w:sz w:val="20"/>
                <w:szCs w:val="20"/>
                <w:color w:val="auto"/>
              </w:rPr>
            </w:pPr>
            <w:r>
              <w:rPr>
                <w:rFonts w:ascii="Times New Roman" w:cs="Times New Roman" w:eastAsia="Times New Roman" w:hAnsi="Times New Roman"/>
                <w:sz w:val="11"/>
                <w:szCs w:val="11"/>
                <w:b w:val="1"/>
                <w:bCs w:val="1"/>
                <w:color w:val="auto"/>
              </w:rPr>
              <w:t>attributable</w:t>
            </w:r>
          </w:p>
        </w:tc>
        <w:tc>
          <w:tcPr>
            <w:tcW w:w="0" w:type="dxa"/>
            <w:vAlign w:val="bottom"/>
          </w:tcPr>
          <w:p>
            <w:pPr>
              <w:spacing w:after="0"/>
              <w:rPr>
                <w:sz w:val="1"/>
                <w:szCs w:val="1"/>
                <w:color w:val="auto"/>
              </w:rPr>
            </w:pPr>
          </w:p>
        </w:tc>
      </w:tr>
      <w:tr>
        <w:trPr>
          <w:trHeight w:val="155"/>
        </w:trPr>
        <w:tc>
          <w:tcPr>
            <w:tcW w:w="35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920" w:type="dxa"/>
            <w:vAlign w:val="bottom"/>
            <w:tcBorders>
              <w:bottom w:val="single" w:sz="8" w:color="auto"/>
            </w:tcBorders>
          </w:tcPr>
          <w:p>
            <w:pPr>
              <w:jc w:val="center"/>
              <w:ind w:left="241"/>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Hedges</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1"/>
                <w:szCs w:val="11"/>
                <w:b w:val="1"/>
                <w:bCs w:val="1"/>
                <w:color w:val="auto"/>
              </w:rPr>
              <w:t>Hedges</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1"/>
                <w:szCs w:val="11"/>
                <w:b w:val="1"/>
                <w:bCs w:val="1"/>
                <w:color w:val="auto"/>
              </w:rPr>
              <w:t>Plans</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1"/>
                <w:szCs w:val="11"/>
                <w:b w:val="1"/>
                <w:bCs w:val="1"/>
                <w:color w:val="auto"/>
              </w:rPr>
              <w:t>NCI</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1"/>
                <w:szCs w:val="11"/>
                <w:b w:val="1"/>
                <w:bCs w:val="1"/>
                <w:color w:val="auto"/>
              </w:rPr>
              <w:t>to GXO</w:t>
            </w:r>
          </w:p>
        </w:tc>
        <w:tc>
          <w:tcPr>
            <w:tcW w:w="0" w:type="dxa"/>
            <w:vAlign w:val="bottom"/>
          </w:tcPr>
          <w:p>
            <w:pPr>
              <w:spacing w:after="0"/>
              <w:rPr>
                <w:sz w:val="1"/>
                <w:szCs w:val="1"/>
                <w:color w:val="auto"/>
              </w:rPr>
            </w:pPr>
          </w:p>
        </w:tc>
      </w:tr>
      <w:tr>
        <w:trPr>
          <w:trHeight w:val="190"/>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 of December 31, 2020</w:t>
            </w:r>
          </w:p>
        </w:tc>
        <w:tc>
          <w:tcPr>
            <w:tcW w:w="920" w:type="dxa"/>
            <w:vAlign w:val="bottom"/>
            <w:tcBorders>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before reclassifications</w:t>
            </w:r>
          </w:p>
        </w:tc>
        <w:tc>
          <w:tcPr>
            <w:tcW w:w="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600" w:type="dxa"/>
            <w:vAlign w:val="bottom"/>
            <w:tcBorders>
              <w:top w:val="single" w:sz="8" w:color="CCEEFF"/>
            </w:tcBorders>
            <w:gridSpan w:val="2"/>
            <w:vMerge w:val="continue"/>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(59)</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72"/>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Amounts reclassified to net income</w:t>
            </w:r>
          </w:p>
        </w:tc>
        <w:tc>
          <w:tcPr>
            <w:tcW w:w="9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8"/>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Tax amounts</w:t>
            </w:r>
          </w:p>
        </w:tc>
        <w:tc>
          <w:tcPr>
            <w:tcW w:w="92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3"/>
        </w:trPr>
        <w:tc>
          <w:tcPr>
            <w:tcW w:w="3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920" w:type="dxa"/>
            <w:vAlign w:val="bottom"/>
            <w:tcBorders>
              <w:top w:val="single" w:sz="8" w:color="auto"/>
              <w:bottom w:val="single" w:sz="8" w:color="auto"/>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58"/>
        </w:trPr>
        <w:tc>
          <w:tcPr>
            <w:tcW w:w="3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Transfers from XPO, net of tax</w:t>
            </w:r>
          </w:p>
        </w:tc>
        <w:tc>
          <w:tcPr>
            <w:tcW w:w="9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0" w:type="dxa"/>
            <w:vAlign w:val="bottom"/>
          </w:tcPr>
          <w:p>
            <w:pPr>
              <w:spacing w:after="0"/>
              <w:rPr>
                <w:sz w:val="1"/>
                <w:szCs w:val="1"/>
                <w:color w:val="auto"/>
              </w:rPr>
            </w:pPr>
          </w:p>
        </w:tc>
      </w:tr>
      <w:tr>
        <w:trPr>
          <w:trHeight w:val="188"/>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 of December 31, 2021</w:t>
            </w:r>
          </w:p>
        </w:tc>
        <w:tc>
          <w:tcPr>
            <w:tcW w:w="920" w:type="dxa"/>
            <w:vAlign w:val="bottom"/>
            <w:tcBorders>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before reclassifications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6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w w:val="92"/>
              </w:rPr>
              <w:t>(119)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(122)</w:t>
            </w:r>
          </w:p>
        </w:tc>
        <w:tc>
          <w:tcPr>
            <w:tcW w:w="0" w:type="dxa"/>
            <w:vAlign w:val="bottom"/>
          </w:tcPr>
          <w:p>
            <w:pPr>
              <w:spacing w:after="0"/>
              <w:rPr>
                <w:sz w:val="1"/>
                <w:szCs w:val="1"/>
                <w:color w:val="auto"/>
              </w:rPr>
            </w:pPr>
          </w:p>
        </w:tc>
      </w:tr>
      <w:tr>
        <w:trPr>
          <w:trHeight w:val="172"/>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Amounts reclassified to net income</w:t>
            </w:r>
          </w:p>
        </w:tc>
        <w:tc>
          <w:tcPr>
            <w:tcW w:w="9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8"/>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Tax amounts</w:t>
            </w:r>
          </w:p>
        </w:tc>
        <w:tc>
          <w:tcPr>
            <w:tcW w:w="9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3"/>
        </w:trPr>
        <w:tc>
          <w:tcPr>
            <w:tcW w:w="3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920" w:type="dxa"/>
            <w:vAlign w:val="bottom"/>
            <w:tcBorders>
              <w:top w:val="single" w:sz="8" w:color="auto"/>
              <w:bottom w:val="single" w:sz="8" w:color="auto"/>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(120)</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0" w:type="dxa"/>
            <w:vAlign w:val="bottom"/>
          </w:tcPr>
          <w:p>
            <w:pPr>
              <w:spacing w:after="0"/>
              <w:rPr>
                <w:sz w:val="1"/>
                <w:szCs w:val="1"/>
                <w:color w:val="auto"/>
              </w:rPr>
            </w:pPr>
          </w:p>
        </w:tc>
      </w:tr>
      <w:tr>
        <w:trPr>
          <w:trHeight w:val="158"/>
        </w:trPr>
        <w:tc>
          <w:tcPr>
            <w:tcW w:w="3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9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88"/>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 of December 31, 2022</w:t>
            </w:r>
          </w:p>
        </w:tc>
        <w:tc>
          <w:tcPr>
            <w:tcW w:w="920" w:type="dxa"/>
            <w:vAlign w:val="bottom"/>
            <w:tcBorders>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(156)</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before reclassifications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6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72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(66)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Amounts reclassified to net income</w:t>
            </w:r>
          </w:p>
        </w:tc>
        <w:tc>
          <w:tcPr>
            <w:tcW w:w="9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Tax amounts</w:t>
            </w:r>
          </w:p>
        </w:tc>
        <w:tc>
          <w:tcPr>
            <w:tcW w:w="9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60"/>
        </w:trPr>
        <w:tc>
          <w:tcPr>
            <w:tcW w:w="3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920" w:type="dxa"/>
            <w:vAlign w:val="bottom"/>
            <w:tcBorders>
              <w:top w:val="single" w:sz="8" w:color="auto"/>
              <w:bottom w:val="single" w:sz="8" w:color="auto"/>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6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92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Stock-Based Compensation</w:t>
      </w:r>
    </w:p>
    <w:p>
      <w:pPr>
        <w:spacing w:after="0" w:line="202"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4"/>
          <w:szCs w:val="14"/>
          <w:color w:val="auto"/>
        </w:rPr>
        <w:t>In 2021, the Company established the 2021 Omnibus Incentive Plan (the “2021 Incentive Plan”). The 2021 Incentive Plan authorizes the issuance of up to 11.6 million shares of common stock as awards. Under the 2021 Incentive Plan, directors, officers and employees may be granted various types of stock-based compensation awards. These awards include stock options, restricted stock awards, RSUs, PSUs and cash incentive awards. As of December 31, 2023, 7.5 million shares of common stock were available for the grant under the 2021 Incentive Plan.</w:t>
      </w:r>
    </w:p>
    <w:p>
      <w:pPr>
        <w:spacing w:after="0" w:line="15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Before the Separation, the stock-based compensation expense recorded by the Company included the expense associated with the employees historically attributable to the Company’s operations, as well as the expense associated with the allocation of equity-based compensation expense for corporate employees. The amounts do not necessarily reflect the costs that the Company would have incurred as an independent company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color w:val="auto"/>
        </w:rPr>
        <w:t>The following table summarizes stock-based compensation expense recorded in Selling, general and administrative expense in the Consolidated Statements of Income: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Performance-based units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stock-based compensation expense</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96"/>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Tax expense (benefit) on stock-based compensation</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20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Company’s stock options vest over five years after the grant date and have a ten-year contractual term with an exercise price equal to the stock price on the grant date. The Black-Scholes option-pricing model was used to estimate the fair value of these awards. The Black-Scholes option-pricing model incorporates various subjective assumptions, including expected terms and expected volatility. Assumptions used in the Black-Scholes option-pricing model for the estimated fair value of options granted in 2021 were as follows: weighted-average risk-free rate of interest of 1.2%, expected volatility of 30%, weighted-average expected award life of 7 years and weighted-average fair value of $22.66.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stock option award activity for the year ended December 31, 2023, is presented in the following table:</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Stock Options</w:t>
            </w:r>
          </w:p>
        </w:tc>
        <w:tc>
          <w:tcPr>
            <w:tcW w:w="1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thousands, except per share)</w:t>
            </w:r>
          </w:p>
        </w:tc>
        <w:tc>
          <w:tcPr>
            <w:tcW w:w="1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Number of Stock Options</w:t>
            </w:r>
          </w:p>
        </w:tc>
        <w:tc>
          <w:tcPr>
            <w:tcW w:w="200" w:type="dxa"/>
            <w:vAlign w:val="bottom"/>
          </w:tcPr>
          <w:p>
            <w:pPr>
              <w:spacing w:after="0"/>
              <w:rPr>
                <w:sz w:val="10"/>
                <w:szCs w:val="10"/>
                <w:color w:val="auto"/>
              </w:rPr>
            </w:pPr>
          </w:p>
        </w:tc>
        <w:tc>
          <w:tcPr>
            <w:tcW w:w="1460" w:type="dxa"/>
            <w:vAlign w:val="bottom"/>
            <w:gridSpan w:val="2"/>
          </w:tcPr>
          <w:p>
            <w:pPr>
              <w:jc w:val="center"/>
              <w:ind w:right="260"/>
              <w:spacing w:after="0" w:line="120" w:lineRule="exact"/>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58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0" w:type="dxa"/>
            <w:vAlign w:val="bottom"/>
          </w:tcPr>
          <w:p>
            <w:pPr>
              <w:spacing w:after="0"/>
              <w:rPr>
                <w:sz w:val="1"/>
                <w:szCs w:val="1"/>
                <w:color w:val="auto"/>
              </w:rPr>
            </w:pPr>
          </w:p>
        </w:tc>
      </w:tr>
      <w:tr>
        <w:trPr>
          <w:trHeight w:val="169"/>
        </w:trPr>
        <w:tc>
          <w:tcPr>
            <w:tcW w:w="638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Remaining Term</w:t>
            </w:r>
          </w:p>
        </w:tc>
        <w:tc>
          <w:tcPr>
            <w:tcW w:w="0" w:type="dxa"/>
            <w:vAlign w:val="bottom"/>
          </w:tcPr>
          <w:p>
            <w:pPr>
              <w:spacing w:after="0"/>
              <w:rPr>
                <w:sz w:val="1"/>
                <w:szCs w:val="1"/>
                <w:color w:val="auto"/>
              </w:rPr>
            </w:pPr>
          </w:p>
        </w:tc>
      </w:tr>
      <w:tr>
        <w:trPr>
          <w:trHeight w:val="172"/>
        </w:trPr>
        <w:tc>
          <w:tcPr>
            <w:tcW w:w="6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Outstanding as of December 31, 2022</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64.72</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w w:val="99"/>
              </w:rPr>
              <w:t>8 years</w:t>
            </w:r>
          </w:p>
        </w:tc>
        <w:tc>
          <w:tcPr>
            <w:tcW w:w="0" w:type="dxa"/>
            <w:vAlign w:val="bottom"/>
          </w:tcPr>
          <w:p>
            <w:pPr>
              <w:spacing w:after="0"/>
              <w:rPr>
                <w:sz w:val="1"/>
                <w:szCs w:val="1"/>
                <w:color w:val="auto"/>
              </w:rPr>
            </w:pPr>
          </w:p>
        </w:tc>
      </w:tr>
      <w:tr>
        <w:trPr>
          <w:trHeight w:val="180"/>
        </w:trPr>
        <w:tc>
          <w:tcPr>
            <w:tcW w:w="6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64.91</w:t>
            </w:r>
          </w:p>
        </w:tc>
        <w:tc>
          <w:tcPr>
            <w:tcW w:w="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Outstanding as of December 31, 2023</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64.71</w:t>
            </w:r>
          </w:p>
        </w:tc>
        <w:tc>
          <w:tcPr>
            <w:tcW w:w="80" w:type="dxa"/>
            <w:vAlign w:val="bottom"/>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w w:val="99"/>
              </w:rPr>
              <w:t>7 years</w:t>
            </w:r>
          </w:p>
        </w:tc>
        <w:tc>
          <w:tcPr>
            <w:tcW w:w="0" w:type="dxa"/>
            <w:vAlign w:val="bottom"/>
          </w:tcPr>
          <w:p>
            <w:pPr>
              <w:spacing w:after="0"/>
              <w:rPr>
                <w:sz w:val="1"/>
                <w:szCs w:val="1"/>
                <w:color w:val="auto"/>
              </w:rPr>
            </w:pPr>
          </w:p>
        </w:tc>
      </w:tr>
      <w:tr>
        <w:trPr>
          <w:trHeight w:val="171"/>
        </w:trPr>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Exercisable as of December 31, 2023</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63.79</w:t>
            </w:r>
          </w:p>
        </w:tc>
        <w:tc>
          <w:tcPr>
            <w:tcW w:w="80" w:type="dxa"/>
            <w:vAlign w:val="bottom"/>
          </w:tcPr>
          <w:p>
            <w:pPr>
              <w:spacing w:after="0"/>
              <w:rPr>
                <w:sz w:val="14"/>
                <w:szCs w:val="14"/>
                <w:color w:val="auto"/>
              </w:rPr>
            </w:pPr>
          </w:p>
        </w:tc>
        <w:tc>
          <w:tcPr>
            <w:tcW w:w="15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color w:val="auto"/>
                <w:w w:val="99"/>
              </w:rPr>
              <w:t>7 years</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was no intrinsic value for options outstanding and exercisable at December 31,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unrecognized compensation cost related to options of $12 million is anticipated to be recognized over a weighted-average period of approximately 2 years.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 Units and Performance-Based Units</w:t>
      </w:r>
    </w:p>
    <w:p>
      <w:pPr>
        <w:spacing w:after="0" w:line="20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Company grants RSUs and PSUs to its key employees, officers and directors with various vesting requirements. The holders of the RSUs and PSUs do not have the rights of a stockholder and do not have voting rights until the shares are issued and delivered in settlement of the awards. RSUs generally vest over the service period, typically four years, and PSUs generally vest based on achieving certain predefined performance objectives along with service conditions. For PSUs the number of shares may be increased to the maximum or reduced to the minimum threshold based on the results of these performance metrics in accordance with the terms established at the time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62" w:name="page63"/>
    <w:bookmarkEnd w:id="62"/>
    <w:p>
      <w:pPr>
        <w:ind w:right="60"/>
        <w:spacing w:after="0" w:line="270" w:lineRule="auto"/>
        <w:rPr>
          <w:sz w:val="20"/>
          <w:szCs w:val="20"/>
          <w:color w:val="auto"/>
        </w:rPr>
      </w:pPr>
      <w:r>
        <w:rPr>
          <w:rFonts w:ascii="Times New Roman" w:cs="Times New Roman" w:eastAsia="Times New Roman" w:hAnsi="Times New Roman"/>
          <w:sz w:val="14"/>
          <w:szCs w:val="14"/>
          <w:color w:val="auto"/>
        </w:rPr>
        <w:t>The Company granted a portion of PSUs subject to market-based vesting conditions. The Company determines the fair value of PSUs subject to market-based vesting conditions using a Monte Carlo simulation model that incorporates the probability of the performance conditions being met as of the grant date. Assumptions used in the Monte Carlo simulation model for the estimated fair value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3"/>
              <w:spacing w:after="0" w:line="171" w:lineRule="exact"/>
              <w:rPr>
                <w:sz w:val="20"/>
                <w:szCs w:val="20"/>
                <w:color w:val="auto"/>
              </w:rPr>
            </w:pPr>
            <w:r>
              <w:rPr>
                <w:rFonts w:ascii="Times New Roman" w:cs="Times New Roman" w:eastAsia="Times New Roman" w:hAnsi="Times New Roman"/>
                <w:sz w:val="14"/>
                <w:szCs w:val="14"/>
                <w:b w:val="1"/>
                <w:bCs w:val="1"/>
                <w:color w:val="auto"/>
              </w:rPr>
              <w:t>2021</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71"/>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risk-free interest rate</w:t>
            </w: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4"/>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0"/>
        </w:trPr>
        <w:tc>
          <w:tcPr>
            <w:tcW w:w="4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(1) There were no PSUs issued by the Company in 2021.</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67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A summary of RSU and PSU award activity for the year ended December 31, 2023, is presented in the following table:</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RSUs</w:t>
            </w: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4"/>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PSUs</w:t>
            </w: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280" w:type="dxa"/>
            <w:vAlign w:val="bottom"/>
          </w:tcPr>
          <w:p>
            <w:pPr>
              <w:spacing w:after="0"/>
              <w:rPr>
                <w:sz w:val="9"/>
                <w:szCs w:val="9"/>
                <w:color w:val="auto"/>
              </w:rPr>
            </w:pPr>
          </w:p>
        </w:tc>
        <w:tc>
          <w:tcPr>
            <w:tcW w:w="1260" w:type="dxa"/>
            <w:vAlign w:val="bottom"/>
            <w:gridSpan w:val="3"/>
          </w:tcPr>
          <w:p>
            <w:pPr>
              <w:jc w:val="center"/>
              <w:ind w:right="209"/>
              <w:spacing w:after="0" w:line="108" w:lineRule="exact"/>
              <w:rPr>
                <w:sz w:val="20"/>
                <w:szCs w:val="20"/>
                <w:color w:val="auto"/>
              </w:rPr>
            </w:pPr>
            <w:r>
              <w:rPr>
                <w:rFonts w:ascii="Times New Roman" w:cs="Times New Roman" w:eastAsia="Times New Roman" w:hAnsi="Times New Roman"/>
                <w:sz w:val="11"/>
                <w:szCs w:val="11"/>
                <w:b w:val="1"/>
                <w:bCs w:val="1"/>
                <w:color w:val="auto"/>
              </w:rPr>
              <w:t>Weighted-Average</w:t>
            </w: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jc w:val="center"/>
              <w:ind w:right="153"/>
              <w:spacing w:after="0" w:line="108" w:lineRule="exact"/>
              <w:rPr>
                <w:sz w:val="20"/>
                <w:szCs w:val="20"/>
                <w:color w:val="auto"/>
              </w:rPr>
            </w:pPr>
            <w:r>
              <w:rPr>
                <w:rFonts w:ascii="Times New Roman" w:cs="Times New Roman" w:eastAsia="Times New Roman" w:hAnsi="Times New Roman"/>
                <w:sz w:val="11"/>
                <w:szCs w:val="11"/>
                <w:b w:val="1"/>
                <w:bCs w:val="1"/>
                <w:color w:val="auto"/>
              </w:rPr>
              <w:t>Weighted-Average</w:t>
            </w:r>
          </w:p>
        </w:tc>
        <w:tc>
          <w:tcPr>
            <w:tcW w:w="0" w:type="dxa"/>
            <w:vAlign w:val="bottom"/>
          </w:tcPr>
          <w:p>
            <w:pPr>
              <w:spacing w:after="0"/>
              <w:rPr>
                <w:sz w:val="1"/>
                <w:szCs w:val="1"/>
                <w:color w:val="auto"/>
              </w:rPr>
            </w:pPr>
          </w:p>
        </w:tc>
      </w:tr>
      <w:tr>
        <w:trPr>
          <w:trHeight w:val="117"/>
        </w:trPr>
        <w:tc>
          <w:tcPr>
            <w:tcW w:w="4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 except per share)</w:t>
            </w:r>
          </w:p>
        </w:tc>
        <w:tc>
          <w:tcPr>
            <w:tcW w:w="1620" w:type="dxa"/>
            <w:vAlign w:val="bottom"/>
            <w:gridSpan w:val="4"/>
            <w:vMerge w:val="continue"/>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gridSpan w:val="4"/>
          </w:tcPr>
          <w:p>
            <w:pPr>
              <w:jc w:val="center"/>
              <w:ind w:right="340"/>
              <w:spacing w:after="0" w:line="117" w:lineRule="exact"/>
              <w:rPr>
                <w:sz w:val="20"/>
                <w:szCs w:val="20"/>
                <w:color w:val="auto"/>
              </w:rPr>
            </w:pPr>
            <w:r>
              <w:rPr>
                <w:rFonts w:ascii="Times New Roman" w:cs="Times New Roman" w:eastAsia="Times New Roman" w:hAnsi="Times New Roman"/>
                <w:sz w:val="11"/>
                <w:szCs w:val="11"/>
                <w:b w:val="1"/>
                <w:bCs w:val="1"/>
                <w:color w:val="auto"/>
              </w:rPr>
              <w:t>Grant Date Fair</w:t>
            </w:r>
          </w:p>
        </w:tc>
        <w:tc>
          <w:tcPr>
            <w:tcW w:w="1620" w:type="dxa"/>
            <w:vAlign w:val="bottom"/>
            <w:gridSpan w:val="4"/>
            <w:vMerge w:val="restart"/>
          </w:tcPr>
          <w:p>
            <w:pPr>
              <w:ind w:left="360"/>
              <w:spacing w:after="0"/>
              <w:rPr>
                <w:sz w:val="20"/>
                <w:szCs w:val="20"/>
                <w:color w:val="auto"/>
              </w:rPr>
            </w:pPr>
            <w:r>
              <w:rPr>
                <w:rFonts w:ascii="Times New Roman" w:cs="Times New Roman" w:eastAsia="Times New Roman" w:hAnsi="Times New Roman"/>
                <w:sz w:val="11"/>
                <w:szCs w:val="11"/>
                <w:b w:val="1"/>
                <w:bCs w:val="1"/>
                <w:color w:val="auto"/>
              </w:rPr>
              <w:t>Number of PSUs</w:t>
            </w:r>
          </w:p>
        </w:tc>
        <w:tc>
          <w:tcPr>
            <w:tcW w:w="220" w:type="dxa"/>
            <w:vAlign w:val="bottom"/>
          </w:tcPr>
          <w:p>
            <w:pPr>
              <w:spacing w:after="0"/>
              <w:rPr>
                <w:sz w:val="10"/>
                <w:szCs w:val="10"/>
                <w:color w:val="auto"/>
              </w:rPr>
            </w:pPr>
          </w:p>
        </w:tc>
        <w:tc>
          <w:tcPr>
            <w:tcW w:w="1320" w:type="dxa"/>
            <w:vAlign w:val="bottom"/>
          </w:tcPr>
          <w:p>
            <w:pPr>
              <w:jc w:val="center"/>
              <w:ind w:right="153"/>
              <w:spacing w:after="0" w:line="117" w:lineRule="exact"/>
              <w:rPr>
                <w:sz w:val="20"/>
                <w:szCs w:val="20"/>
                <w:color w:val="auto"/>
              </w:rPr>
            </w:pPr>
            <w:r>
              <w:rPr>
                <w:rFonts w:ascii="Times New Roman" w:cs="Times New Roman" w:eastAsia="Times New Roman" w:hAnsi="Times New Roman"/>
                <w:sz w:val="11"/>
                <w:szCs w:val="11"/>
                <w:b w:val="1"/>
                <w:bCs w:val="1"/>
                <w:color w:val="auto"/>
              </w:rPr>
              <w:t>Grant Date Fair</w:t>
            </w:r>
          </w:p>
        </w:tc>
        <w:tc>
          <w:tcPr>
            <w:tcW w:w="0" w:type="dxa"/>
            <w:vAlign w:val="bottom"/>
          </w:tcPr>
          <w:p>
            <w:pPr>
              <w:spacing w:after="0"/>
              <w:rPr>
                <w:sz w:val="1"/>
                <w:szCs w:val="1"/>
                <w:color w:val="auto"/>
              </w:rPr>
            </w:pPr>
          </w:p>
        </w:tc>
      </w:tr>
      <w:tr>
        <w:trPr>
          <w:trHeight w:val="153"/>
        </w:trPr>
        <w:tc>
          <w:tcPr>
            <w:tcW w:w="4880" w:type="dxa"/>
            <w:vAlign w:val="bottom"/>
            <w:gridSpan w:val="2"/>
            <w:vMerge w:val="continue"/>
          </w:tcPr>
          <w:p>
            <w:pPr>
              <w:spacing w:after="0"/>
              <w:rPr>
                <w:sz w:val="13"/>
                <w:szCs w:val="13"/>
                <w:color w:val="auto"/>
              </w:rPr>
            </w:pPr>
          </w:p>
        </w:tc>
        <w:tc>
          <w:tcPr>
            <w:tcW w:w="162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RSUs</w:t>
            </w:r>
          </w:p>
        </w:tc>
        <w:tc>
          <w:tcPr>
            <w:tcW w:w="280" w:type="dxa"/>
            <w:vAlign w:val="bottom"/>
          </w:tcPr>
          <w:p>
            <w:pPr>
              <w:spacing w:after="0"/>
              <w:rPr>
                <w:sz w:val="13"/>
                <w:szCs w:val="13"/>
                <w:color w:val="auto"/>
              </w:rPr>
            </w:pPr>
          </w:p>
        </w:tc>
        <w:tc>
          <w:tcPr>
            <w:tcW w:w="1340" w:type="dxa"/>
            <w:vAlign w:val="bottom"/>
            <w:gridSpan w:val="4"/>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162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center"/>
              <w:ind w:right="133"/>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75"/>
        </w:trPr>
        <w:tc>
          <w:tcPr>
            <w:tcW w:w="4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as of December 31, 2022</w:t>
            </w:r>
          </w:p>
        </w:tc>
        <w:tc>
          <w:tcPr>
            <w:tcW w:w="8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1,197</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53.46</w:t>
            </w:r>
          </w:p>
        </w:tc>
        <w:tc>
          <w:tcPr>
            <w:tcW w:w="8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67.96</w:t>
            </w:r>
          </w:p>
        </w:tc>
        <w:tc>
          <w:tcPr>
            <w:tcW w:w="0" w:type="dxa"/>
            <w:vAlign w:val="bottom"/>
          </w:tcPr>
          <w:p>
            <w:pPr>
              <w:spacing w:after="0"/>
              <w:rPr>
                <w:sz w:val="1"/>
                <w:szCs w:val="1"/>
                <w:color w:val="auto"/>
              </w:rPr>
            </w:pPr>
          </w:p>
        </w:tc>
      </w:tr>
      <w:tr>
        <w:trPr>
          <w:trHeight w:val="180"/>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54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777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49.28</w:t>
            </w:r>
          </w:p>
        </w:tc>
        <w:tc>
          <w:tcPr>
            <w:tcW w:w="8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59.16</w:t>
            </w:r>
          </w:p>
        </w:tc>
        <w:tc>
          <w:tcPr>
            <w:tcW w:w="0" w:type="dxa"/>
            <w:vAlign w:val="bottom"/>
          </w:tcPr>
          <w:p>
            <w:pPr>
              <w:spacing w:after="0"/>
              <w:rPr>
                <w:sz w:val="1"/>
                <w:szCs w:val="1"/>
                <w:color w:val="auto"/>
              </w:rPr>
            </w:pPr>
          </w:p>
        </w:tc>
      </w:tr>
      <w:tr>
        <w:trPr>
          <w:trHeight w:val="180"/>
        </w:trPr>
        <w:tc>
          <w:tcPr>
            <w:tcW w:w="48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Vested </w:t>
            </w:r>
            <w:r>
              <w:rPr>
                <w:rFonts w:ascii="Times New Roman" w:cs="Times New Roman" w:eastAsia="Times New Roman" w:hAnsi="Times New Roman"/>
                <w:sz w:val="18"/>
                <w:szCs w:val="18"/>
                <w:color w:val="auto"/>
                <w:vertAlign w:val="superscript"/>
              </w:rPr>
              <w:t>(1)</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46.01</w:t>
            </w:r>
          </w:p>
        </w:tc>
        <w:tc>
          <w:tcPr>
            <w:tcW w:w="80" w:type="dxa"/>
            <w:vAlign w:val="bottom"/>
            <w:shd w:val="clear" w:color="auto" w:fill="CCEEFF"/>
          </w:tcPr>
          <w:p>
            <w:pPr>
              <w:spacing w:after="0"/>
              <w:rPr>
                <w:sz w:val="15"/>
                <w:szCs w:val="15"/>
                <w:color w:val="auto"/>
              </w:rPr>
            </w:pPr>
          </w:p>
        </w:tc>
        <w:tc>
          <w:tcPr>
            <w:tcW w:w="1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54.72</w:t>
            </w:r>
          </w:p>
        </w:tc>
        <w:tc>
          <w:tcPr>
            <w:tcW w:w="0" w:type="dxa"/>
            <w:vAlign w:val="bottom"/>
          </w:tcPr>
          <w:p>
            <w:pPr>
              <w:spacing w:after="0"/>
              <w:rPr>
                <w:sz w:val="1"/>
                <w:szCs w:val="1"/>
                <w:color w:val="auto"/>
              </w:rPr>
            </w:pPr>
          </w:p>
        </w:tc>
      </w:tr>
      <w:tr>
        <w:trPr>
          <w:trHeight w:val="180"/>
        </w:trPr>
        <w:tc>
          <w:tcPr>
            <w:tcW w:w="4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Forfeited and canceled</w:t>
            </w: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68.18</w:t>
            </w:r>
          </w:p>
        </w:tc>
        <w:tc>
          <w:tcPr>
            <w:tcW w:w="8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70.76</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as of December 31, 2023</w:t>
            </w:r>
          </w:p>
        </w:tc>
        <w:tc>
          <w:tcPr>
            <w:tcW w:w="1540" w:type="dxa"/>
            <w:vAlign w:val="bottom"/>
            <w:tcBorders>
              <w:bottom w:val="single" w:sz="8" w:color="auto"/>
            </w:tcBorders>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1,337</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51.31</w:t>
            </w: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The number of RSUs and PSUs vested includes common stock shares that the Company withheld on behalf of its employees to satisfy the minimum tax withholding.</w:t>
      </w:r>
    </w:p>
    <w:p>
      <w:pPr>
        <w:spacing w:after="0" w:line="205"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The total fair value of RSUs that vested during 2023 and 2022 was $22 million and $30 million, respectively. The total fair value of PSUs that vested during 2023 and 2022 was $7 million and $5 million, respectively. As of December 31, 2023, unrecognized compensation cost related to RSUs and PSUs of $60 million is anticipated to be recognized over a weighted-average period of approximately 3 years.</w:t>
      </w:r>
    </w:p>
    <w:p>
      <w:pPr>
        <w:spacing w:after="0" w:line="155" w:lineRule="exact"/>
        <w:rPr>
          <w:sz w:val="20"/>
          <w:szCs w:val="20"/>
          <w:color w:val="auto"/>
        </w:rPr>
      </w:pPr>
    </w:p>
    <w:p>
      <w:pPr>
        <w:ind w:right="9640" w:firstLine="5"/>
        <w:spacing w:after="0" w:line="539" w:lineRule="auto"/>
        <w:tabs>
          <w:tab w:leader="none" w:pos="212"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Employee Benefit Plans Pension Plans</w:t>
      </w:r>
    </w:p>
    <w:p>
      <w:pPr>
        <w:ind w:right="260"/>
        <w:spacing w:after="0" w:line="287" w:lineRule="auto"/>
        <w:rPr>
          <w:sz w:val="20"/>
          <w:szCs w:val="20"/>
          <w:color w:val="auto"/>
        </w:rPr>
      </w:pPr>
      <w:r>
        <w:rPr>
          <w:rFonts w:ascii="Times New Roman" w:cs="Times New Roman" w:eastAsia="Times New Roman" w:hAnsi="Times New Roman"/>
          <w:sz w:val="14"/>
          <w:szCs w:val="14"/>
          <w:color w:val="auto"/>
        </w:rPr>
        <w:t>Certain eligible employees of the Company participated in various retirement plans in Europe. In connection with the Separation, the Company also became the sponsor of a retirement plan in the U.K. (the “U.K. Retirement Plan”). The U.K. Retirement Plan did not allow for new participants or additional benefit accruals.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than the U.K. Retirement Plan, the Company deems other retirement plans to be immaterial to its Consolidated Financial Statements and are excluded from the disclosure below.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U.K. Retirement Plan</w:t>
      </w:r>
    </w:p>
    <w:p>
      <w:pPr>
        <w:spacing w:after="0" w:line="202"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A reconciliation of the projected benefit obligation, fair value of the plan and the funded status, the amount recognized in financial statements, the assumptions used, the plan assets and funding requirements are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color w:val="auto"/>
        </w:rPr>
        <w:t>The change in the projected benefit obligation was as follows: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71"/>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Projected benefit obligation at beginning of year</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r>
      <w:tr>
        <w:trPr>
          <w:trHeight w:val="18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806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Actuarial (gain) loss </w:t>
            </w:r>
            <w:r>
              <w:rPr>
                <w:rFonts w:ascii="Times New Roman" w:cs="Times New Roman" w:eastAsia="Times New Roman" w:hAnsi="Times New Roman"/>
                <w:sz w:val="18"/>
                <w:szCs w:val="18"/>
                <w:color w:val="auto"/>
                <w:vertAlign w:val="superscript"/>
              </w:rPr>
              <w:t>(1)</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r>
      <w:tr>
        <w:trPr>
          <w:trHeight w:val="18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Benefits paid</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80"/>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 changes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266"/>
        </w:trPr>
        <w:tc>
          <w:tcPr>
            <w:tcW w:w="8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Projected benefit obligation at end of year</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80" w:type="dxa"/>
            <w:vAlign w:val="bottom"/>
          </w:tcPr>
          <w:p>
            <w:pPr>
              <w:spacing w:after="0"/>
              <w:rPr>
                <w:sz w:val="23"/>
                <w:szCs w:val="23"/>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788</w:t>
            </w:r>
          </w:p>
        </w:tc>
      </w:tr>
      <w:tr>
        <w:trPr>
          <w:trHeight w:val="20"/>
        </w:trPr>
        <w:tc>
          <w:tcPr>
            <w:tcW w:w="7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Actuarial gains or losses are due to changes in the discount and mortality rates.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 in the fair value of the plan assets and funded status was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71"/>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of plan assets at beginning of year</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w:t>
            </w:r>
          </w:p>
        </w:tc>
      </w:tr>
      <w:tr>
        <w:trPr>
          <w:trHeight w:val="18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r>
      <w:tr>
        <w:trPr>
          <w:trHeight w:val="180"/>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Employer contributions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Benefits paid</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80"/>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 changes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171"/>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Fair value of plan assets at end of year</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w:t>
            </w:r>
          </w:p>
        </w:tc>
      </w:tr>
      <w:tr>
        <w:trPr>
          <w:trHeight w:val="196"/>
        </w:trPr>
        <w:tc>
          <w:tcPr>
            <w:tcW w:w="8060" w:type="dxa"/>
            <w:vAlign w:val="bottom"/>
            <w:tcBorders>
              <w:bottom w:val="single" w:sz="8" w:color="CCEEFF"/>
            </w:tcBorders>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Funded status of the plan assets at end of year </w:t>
            </w:r>
            <w:r>
              <w:rPr>
                <w:rFonts w:ascii="Times New Roman" w:cs="Times New Roman" w:eastAsia="Times New Roman" w:hAnsi="Times New Roman"/>
                <w:sz w:val="18"/>
                <w:szCs w:val="18"/>
                <w:b w:val="1"/>
                <w:bCs w:val="1"/>
                <w:color w:val="auto"/>
                <w:vertAlign w:val="superscript"/>
              </w:rPr>
              <w:t>(1)</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Funded status is recorded within Other long-term assets.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amounts included in AOCIL that have not yet been recognized in net periodic benefit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18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9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actuarial loss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80"/>
        </w:trPr>
        <w:tc>
          <w:tcPr>
            <w:tcW w:w="8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Prior-service credit</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recognized in AOCIL</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The components of net benefit cost recognized were as follows: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806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7"/>
                <w:szCs w:val="17"/>
                <w:color w:val="auto"/>
              </w:rPr>
            </w:pPr>
          </w:p>
        </w:tc>
        <w:tc>
          <w:tcPr>
            <w:tcW w:w="2860" w:type="dxa"/>
            <w:vAlign w:val="bottom"/>
            <w:gridSpan w:val="7"/>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40" w:type="dxa"/>
            <w:vAlign w:val="bottom"/>
            <w:gridSpan w:val="2"/>
            <w:vMerge w:val="continue"/>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cost component</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gridSpan w:val="2"/>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center"/>
              <w:ind w:left="709"/>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 for the period</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center"/>
              <w:ind w:left="729"/>
              <w:spacing w:after="0"/>
              <w:rPr>
                <w:sz w:val="20"/>
                <w:szCs w:val="20"/>
                <w:color w:val="auto"/>
              </w:rPr>
            </w:pPr>
            <w:r>
              <w:rPr>
                <w:rFonts w:ascii="Times New Roman" w:cs="Times New Roman" w:eastAsia="Times New Roman" w:hAnsi="Times New Roman"/>
                <w:sz w:val="14"/>
                <w:szCs w:val="14"/>
                <w:color w:val="auto"/>
                <w:w w:val="99"/>
              </w:rPr>
              <w:t>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prior-service credit</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729"/>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Amortization of net loss</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left="729"/>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8040" w:type="dxa"/>
            <w:vAlign w:val="bottom"/>
            <w:tcBorders>
              <w:bottom w:val="single" w:sz="8" w:color="CCEEFF"/>
            </w:tcBorders>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Net benefit credit recognized </w:t>
            </w:r>
            <w:r>
              <w:rPr>
                <w:rFonts w:ascii="Times New Roman" w:cs="Times New Roman" w:eastAsia="Times New Roman" w:hAnsi="Times New Roman"/>
                <w:sz w:val="18"/>
                <w:szCs w:val="18"/>
                <w:b w:val="1"/>
                <w:bCs w:val="1"/>
                <w:color w:val="auto"/>
                <w:vertAlign w:val="superscript"/>
              </w:rPr>
              <w:t>(1)</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gridSpan w:val="2"/>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center"/>
              <w:ind w:left="729"/>
              <w:spacing w:after="0"/>
              <w:rPr>
                <w:sz w:val="20"/>
                <w:szCs w:val="20"/>
                <w:color w:val="auto"/>
              </w:rPr>
            </w:pPr>
            <w:r>
              <w:rPr>
                <w:rFonts w:ascii="Times New Roman" w:cs="Times New Roman" w:eastAsia="Times New Roman" w:hAnsi="Times New Roman"/>
                <w:sz w:val="14"/>
                <w:szCs w:val="14"/>
                <w:color w:val="auto"/>
                <w:w w:val="99"/>
              </w:rPr>
              <w:t>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Net benefit credit is recorded within Other income, net.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amount recognized in other comprehensive income was as follows:</w:t>
      </w:r>
    </w:p>
    <w:p>
      <w:pPr>
        <w:spacing w:after="0" w:line="39"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gain (loss)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center"/>
              <w:ind w:left="849"/>
              <w:spacing w:after="0"/>
              <w:rPr>
                <w:sz w:val="20"/>
                <w:szCs w:val="20"/>
                <w:color w:val="auto"/>
              </w:rPr>
            </w:pPr>
            <w:r>
              <w:rPr>
                <w:rFonts w:ascii="Times New Roman" w:cs="Times New Roman" w:eastAsia="Times New Roman" w:hAnsi="Times New Roman"/>
                <w:sz w:val="14"/>
                <w:szCs w:val="14"/>
                <w:color w:val="auto"/>
              </w:rPr>
              <w:t>(51)</w:t>
            </w:r>
          </w:p>
        </w:tc>
      </w:tr>
      <w:tr>
        <w:trPr>
          <w:trHeight w:val="180"/>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Amortization prior-service credit and net loss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left="869"/>
              <w:spacing w:after="0"/>
              <w:rPr>
                <w:sz w:val="20"/>
                <w:szCs w:val="20"/>
                <w:color w:val="auto"/>
              </w:rPr>
            </w:pPr>
            <w:r>
              <w:rPr>
                <w:rFonts w:ascii="Times New Roman" w:cs="Times New Roman" w:eastAsia="Times New Roman" w:hAnsi="Times New Roman"/>
                <w:sz w:val="14"/>
                <w:szCs w:val="14"/>
                <w:color w:val="auto"/>
                <w:w w:val="99"/>
              </w:rPr>
              <w:t>—</w:t>
            </w:r>
          </w:p>
        </w:tc>
      </w:tr>
      <w:tr>
        <w:trPr>
          <w:trHeight w:val="196"/>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center"/>
              <w:ind w:left="849"/>
              <w:spacing w:after="0"/>
              <w:rPr>
                <w:sz w:val="20"/>
                <w:szCs w:val="20"/>
                <w:color w:val="auto"/>
              </w:rPr>
            </w:pPr>
            <w:r>
              <w:rPr>
                <w:rFonts w:ascii="Times New Roman" w:cs="Times New Roman" w:eastAsia="Times New Roman" w:hAnsi="Times New Roman"/>
                <w:sz w:val="14"/>
                <w:szCs w:val="14"/>
                <w:color w:val="auto"/>
              </w:rPr>
              <w:t>(51)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color w:val="auto"/>
        </w:rPr>
        <w:t>The weighted-average assumptions used to determine the projected benefit obligation and the net periodic costs were as follows:</w:t>
      </w:r>
    </w:p>
    <w:p>
      <w:pPr>
        <w:spacing w:after="0" w:line="39"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16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2"/>
        </w:trPr>
        <w:tc>
          <w:tcPr>
            <w:tcW w:w="9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assumptions used to determine benefit obligation at December 31:</w:t>
            </w: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60" w:type="dxa"/>
            <w:vAlign w:val="bottom"/>
            <w:tcBorders>
              <w:bottom w:val="single" w:sz="8" w:color="CCEEFF"/>
            </w:tcBorders>
            <w:shd w:val="clear" w:color="auto" w:fill="CCEEFF"/>
          </w:tcPr>
          <w:p>
            <w:pPr>
              <w:spacing w:after="0"/>
              <w:rPr>
                <w:sz w:val="14"/>
                <w:szCs w:val="14"/>
                <w:color w:val="auto"/>
              </w:rPr>
            </w:pPr>
          </w:p>
        </w:tc>
      </w:tr>
      <w:tr>
        <w:trPr>
          <w:trHeight w:val="180"/>
        </w:trPr>
        <w:tc>
          <w:tcPr>
            <w:tcW w:w="90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Discount rate</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4.77 %</w:t>
            </w:r>
          </w:p>
        </w:tc>
        <w:tc>
          <w:tcPr>
            <w:tcW w:w="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5.03 %</w:t>
            </w:r>
          </w:p>
        </w:tc>
      </w:tr>
      <w:tr>
        <w:trPr>
          <w:trHeight w:val="180"/>
        </w:trPr>
        <w:tc>
          <w:tcPr>
            <w:tcW w:w="9000" w:type="dxa"/>
            <w:vAlign w:val="bottom"/>
            <w:gridSpan w:val="3"/>
            <w:shd w:val="clear" w:color="auto" w:fill="CCEEFF"/>
          </w:tcPr>
          <w:p>
            <w:pPr>
              <w:ind w:left="100"/>
              <w:spacing w:after="0" w:line="181" w:lineRule="exact"/>
              <w:rPr>
                <w:sz w:val="20"/>
                <w:szCs w:val="20"/>
                <w:color w:val="auto"/>
              </w:rPr>
            </w:pPr>
            <w:r>
              <w:rPr>
                <w:rFonts w:ascii="Times New Roman" w:cs="Times New Roman" w:eastAsia="Times New Roman" w:hAnsi="Times New Roman"/>
                <w:sz w:val="13"/>
                <w:szCs w:val="13"/>
                <w:color w:val="auto"/>
              </w:rPr>
              <w:t xml:space="preserve">Rate of compensation increase </w:t>
            </w:r>
            <w:r>
              <w:rPr>
                <w:rFonts w:ascii="Times New Roman" w:cs="Times New Roman" w:eastAsia="Times New Roman" w:hAnsi="Times New Roman"/>
                <w:sz w:val="17"/>
                <w:szCs w:val="17"/>
                <w:color w:val="auto"/>
                <w:vertAlign w:val="superscript"/>
              </w:rPr>
              <w:t>(1)</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78"/>
        </w:trPr>
        <w:tc>
          <w:tcPr>
            <w:tcW w:w="90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assumptions used to determine net periodic costs for the year ended December 31:</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4"/>
        </w:trPr>
        <w:tc>
          <w:tcPr>
            <w:tcW w:w="7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180"/>
        </w:trPr>
        <w:tc>
          <w:tcPr>
            <w:tcW w:w="90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Discount rate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5.03 %</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1.82 %</w:t>
            </w:r>
          </w:p>
        </w:tc>
      </w:tr>
      <w:tr>
        <w:trPr>
          <w:trHeight w:val="180"/>
        </w:trPr>
        <w:tc>
          <w:tcPr>
            <w:tcW w:w="9000" w:type="dxa"/>
            <w:vAlign w:val="bottom"/>
            <w:gridSpan w:val="3"/>
          </w:tcPr>
          <w:p>
            <w:pPr>
              <w:ind w:left="100"/>
              <w:spacing w:after="0" w:line="181" w:lineRule="exact"/>
              <w:rPr>
                <w:sz w:val="20"/>
                <w:szCs w:val="20"/>
                <w:color w:val="auto"/>
              </w:rPr>
            </w:pPr>
            <w:r>
              <w:rPr>
                <w:rFonts w:ascii="Times New Roman" w:cs="Times New Roman" w:eastAsia="Times New Roman" w:hAnsi="Times New Roman"/>
                <w:sz w:val="13"/>
                <w:szCs w:val="13"/>
                <w:color w:val="auto"/>
              </w:rPr>
              <w:t xml:space="preserve">Rate of compensation increase </w:t>
            </w:r>
            <w:r>
              <w:rPr>
                <w:rFonts w:ascii="Times New Roman" w:cs="Times New Roman" w:eastAsia="Times New Roman" w:hAnsi="Times New Roman"/>
                <w:sz w:val="17"/>
                <w:szCs w:val="17"/>
                <w:color w:val="auto"/>
                <w:vertAlign w:val="superscript"/>
              </w:rPr>
              <w:t>(1)</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90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Expected long-term rate of return on plan assets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6.10 %</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4.13 %</w:t>
            </w: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No rate of compensation increase was assumed as the plans are frozen to additional participant benefit accruals.</w:t>
      </w:r>
    </w:p>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Company’s U.K. Retirement Plan’s assets are invested by a trustee, which include representatives of the Company, to meet the U.K. Retirement Plan’s projected future pension liabilities. During 2023, the Company changed the plan’s investment manager and appointed a fiduciary manager. The day-to-day management of the assets of the U.K. Retirement Plan has been delegated by the plan trustee to a fiduciary manager who decides the composition of the asset portfolio in line with the objectives of the plan’s trustee. The trustee’s investment objectives are to meet the performance target set by the trustee in a risk-controlled framework. The target strategic asset allocation for the U.K. Retirement Plan consists of approximately 65% liability-driven investments, intended to minimize market and interest rate risks, and approximately 35% growth and income assets. The actual asset allocations of the U.K. Retirement Plan are in line with the target asset allocations.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values of investments held in the pension plans by major asset category were as follows: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tcBorders>
              <w:bottom w:val="single" w:sz="8" w:color="auto"/>
            </w:tcBorders>
          </w:tcPr>
          <w:p>
            <w:pPr>
              <w:spacing w:after="0"/>
              <w:rPr>
                <w:sz w:val="14"/>
                <w:szCs w:val="14"/>
                <w:color w:val="auto"/>
              </w:rPr>
            </w:pPr>
          </w:p>
        </w:tc>
      </w:tr>
      <w:tr>
        <w:trPr>
          <w:trHeight w:val="164"/>
        </w:trPr>
        <w:tc>
          <w:tcPr>
            <w:tcW w:w="64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Level</w:t>
            </w:r>
          </w:p>
        </w:tc>
        <w:tc>
          <w:tcPr>
            <w:tcW w:w="380" w:type="dxa"/>
            <w:vAlign w:val="bottom"/>
          </w:tcPr>
          <w:p>
            <w:pPr>
              <w:spacing w:after="0"/>
              <w:rPr>
                <w:sz w:val="14"/>
                <w:szCs w:val="14"/>
                <w:color w:val="auto"/>
              </w:rPr>
            </w:pPr>
          </w:p>
        </w:tc>
        <w:tc>
          <w:tcPr>
            <w:tcW w:w="120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72"/>
        </w:trPr>
        <w:tc>
          <w:tcPr>
            <w:tcW w:w="6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Level 1</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Fixed income securities</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Level 1</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w:t>
            </w:r>
          </w:p>
        </w:tc>
        <w:tc>
          <w:tcPr>
            <w:tcW w:w="1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Level 2</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Equities</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Level 2</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income securities</w:t>
            </w:r>
          </w:p>
        </w:tc>
        <w:tc>
          <w:tcPr>
            <w:tcW w:w="1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Level 2</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890</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Level 2</w:t>
            </w:r>
          </w:p>
        </w:tc>
        <w:tc>
          <w:tcPr>
            <w:tcW w:w="38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r>
      <w:tr>
        <w:trPr>
          <w:trHeight w:val="180"/>
        </w:trPr>
        <w:tc>
          <w:tcPr>
            <w:tcW w:w="64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(1)</w:t>
            </w:r>
          </w:p>
        </w:tc>
        <w:tc>
          <w:tcPr>
            <w:tcW w:w="1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Level 2</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assets in fair value hierarchy</w:t>
            </w: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808</w:t>
            </w:r>
          </w:p>
        </w:tc>
        <w:tc>
          <w:tcPr>
            <w:tcW w:w="80" w:type="dxa"/>
            <w:vAlign w:val="bottom"/>
          </w:tcPr>
          <w:p>
            <w:pPr>
              <w:spacing w:after="0"/>
              <w:rPr>
                <w:sz w:val="13"/>
                <w:szCs w:val="13"/>
                <w:color w:val="auto"/>
              </w:rPr>
            </w:pPr>
          </w:p>
        </w:tc>
        <w:tc>
          <w:tcPr>
            <w:tcW w:w="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494</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52"/>
        </w:trPr>
        <w:tc>
          <w:tcPr>
            <w:tcW w:w="6400" w:type="dxa"/>
            <w:vAlign w:val="bottom"/>
            <w:gridSpan w:val="2"/>
            <w:shd w:val="clear" w:color="auto" w:fill="CCEEFF"/>
          </w:tcPr>
          <w:p>
            <w:pPr>
              <w:spacing w:after="0" w:line="152" w:lineRule="exact"/>
              <w:rPr>
                <w:sz w:val="20"/>
                <w:szCs w:val="20"/>
                <w:color w:val="auto"/>
              </w:rPr>
            </w:pPr>
            <w:r>
              <w:rPr>
                <w:rFonts w:ascii="Times New Roman" w:cs="Times New Roman" w:eastAsia="Times New Roman" w:hAnsi="Times New Roman"/>
                <w:sz w:val="13"/>
                <w:szCs w:val="13"/>
                <w:color w:val="auto"/>
              </w:rPr>
              <w:t xml:space="preserve">Private Markets </w:t>
            </w:r>
            <w:r>
              <w:rPr>
                <w:rFonts w:ascii="Times New Roman" w:cs="Times New Roman" w:eastAsia="Times New Roman" w:hAnsi="Times New Roman"/>
                <w:sz w:val="17"/>
                <w:szCs w:val="17"/>
                <w:color w:val="auto"/>
                <w:vertAlign w:val="superscript"/>
              </w:rPr>
              <w:t>(2)</w:t>
            </w: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6400" w:type="dxa"/>
            <w:vAlign w:val="bottom"/>
            <w:gridSpan w:val="2"/>
          </w:tcPr>
          <w:p>
            <w:pPr>
              <w:spacing w:after="0" w:line="181" w:lineRule="exact"/>
              <w:rPr>
                <w:sz w:val="20"/>
                <w:szCs w:val="20"/>
                <w:color w:val="auto"/>
              </w:rPr>
            </w:pPr>
            <w:r>
              <w:rPr>
                <w:rFonts w:ascii="Times New Roman" w:cs="Times New Roman" w:eastAsia="Times New Roman" w:hAnsi="Times New Roman"/>
                <w:sz w:val="14"/>
                <w:szCs w:val="14"/>
                <w:color w:val="auto"/>
              </w:rPr>
              <w:t xml:space="preserve">Commingled funds </w:t>
            </w:r>
            <w:r>
              <w:rPr>
                <w:rFonts w:ascii="Times New Roman" w:cs="Times New Roman" w:eastAsia="Times New Roman" w:hAnsi="Times New Roman"/>
                <w:sz w:val="18"/>
                <w:szCs w:val="18"/>
                <w:color w:val="auto"/>
                <w:vertAlign w:val="superscript"/>
              </w:rPr>
              <w:t>(2)</w:t>
            </w: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w:t>
            </w:r>
          </w:p>
        </w:tc>
      </w:tr>
      <w:tr>
        <w:trPr>
          <w:trHeight w:val="185"/>
        </w:trPr>
        <w:tc>
          <w:tcPr>
            <w:tcW w:w="64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Investments, at fair value</w:t>
            </w:r>
          </w:p>
        </w:tc>
        <w:tc>
          <w:tcPr>
            <w:tcW w:w="15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right="280" w:firstLine="5"/>
        <w:spacing w:after="0" w:line="270" w:lineRule="auto"/>
        <w:tabs>
          <w:tab w:leader="none" w:pos="16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repurchase agreements in the UK. Represent the plans’ short-term borrowing to hedge against interest rate and inflation risks. The plans have an obligation to return the cash after the term of the agreements. Due to the short-term nature of the agreements, the outstanding balance of the obligation approximates fair value.</w:t>
      </w:r>
    </w:p>
    <w:p>
      <w:pPr>
        <w:ind w:right="400" w:firstLine="5"/>
        <w:spacing w:after="0" w:line="283" w:lineRule="auto"/>
        <w:tabs>
          <w:tab w:leader="none" w:pos="16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Investments that are measured using the net asset value per share (or its equivalent) practical expedient are not classified in the fair value hierarchy. The amounts presented in this table are intended to permit reconciliation of the fair value hierarchy to the amounts presented for the total defined benefit pension plan assets.</w:t>
      </w:r>
    </w:p>
    <w:p>
      <w:pPr>
        <w:spacing w:after="0" w:line="15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 expected benefit payments for the defined benefit pension plan are summarized below. These estimates are based on assumptions about future events. Actual benefit payments may vary from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65" w:name="page66"/>
    <w:bookmarkEnd w:id="65"/>
    <w:tbl>
      <w:tblPr>
        <w:tblLayout w:type="fixed"/>
        <w:tblInd w:w="20" w:type="dxa"/>
        <w:tblCellMar>
          <w:top w:w="0" w:type="dxa"/>
          <w:left w:w="0" w:type="dxa"/>
          <w:bottom w:w="0" w:type="dxa"/>
          <w:right w:w="0" w:type="dxa"/>
        </w:tblCellMar>
      </w:tblPr>
      <w:tr>
        <w:trPr>
          <w:trHeight w:val="186"/>
        </w:trPr>
        <w:tc>
          <w:tcPr>
            <w:tcW w:w="29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94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2029-2034</w:t>
            </w:r>
          </w:p>
        </w:tc>
      </w:tr>
      <w:tr>
        <w:trPr>
          <w:trHeight w:val="171"/>
        </w:trPr>
        <w:tc>
          <w:tcPr>
            <w:tcW w:w="2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payments</w:t>
            </w: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r>
    </w:tbl>
    <w:p>
      <w:pPr>
        <w:spacing w:after="0" w:line="251"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 Company’s funding practice is to evaluate the tax and cash position, and the funded status of the plan, in determining the planned contributions. The Company estimates that it will contribute approximately $1 million to the U.K. Retirement Plan in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Defined Contribution Plans</w:t>
      </w:r>
    </w:p>
    <w:p>
      <w:pPr>
        <w:spacing w:after="0" w:line="20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The Company has defined contribution retirement plans for its U.S. employees and employees of certain foreign subsidiaries. The Company’s contributions for the years ended December 31, 2023, 2022 and 2021, were $66 million, $54 million and $45 million, respectively. Defined contribution costs were primarily recorded in Direct operating expense in the Consolidated Statements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Restructuring Charges and Other</w:t>
      </w:r>
    </w:p>
    <w:p>
      <w:pPr>
        <w:spacing w:after="0" w:line="202"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Restructuring costs and other primarily related to severance, including projects to optimize the Company’s finance, human resources and information technology functions, and closing certain corporate and administrative offices, which were not associated with customer attrition.</w:t>
      </w:r>
    </w:p>
    <w:p>
      <w:pPr>
        <w:spacing w:after="0" w:line="145" w:lineRule="exact"/>
        <w:rPr>
          <w:sz w:val="20"/>
          <w:szCs w:val="20"/>
          <w:color w:val="auto"/>
        </w:rPr>
      </w:pPr>
    </w:p>
    <w:p>
      <w:pPr>
        <w:ind w:right="4940"/>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2023, Restructuring costs and other totaled $32 million, including $21 million related to severance and $11 million primarily related to closing certain corporate and administrative offices.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0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The following table summarizes changes in the restructuring liability, which is included within Other current liabilities in the Consolidated Balance Sheets.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7"/>
                <w:szCs w:val="17"/>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360" w:type="dxa"/>
            <w:vAlign w:val="bottom"/>
          </w:tcPr>
          <w:p>
            <w:pPr>
              <w:spacing w:after="0"/>
              <w:rPr>
                <w:sz w:val="17"/>
                <w:szCs w:val="17"/>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7"/>
                <w:szCs w:val="17"/>
                <w:color w:val="auto"/>
              </w:rPr>
            </w:pPr>
          </w:p>
        </w:tc>
        <w:tc>
          <w:tcPr>
            <w:tcW w:w="122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1"/>
        </w:trPr>
        <w:tc>
          <w:tcPr>
            <w:tcW w:w="20" w:type="dxa"/>
            <w:vAlign w:val="bottom"/>
          </w:tcPr>
          <w:p>
            <w:pPr>
              <w:spacing w:after="0"/>
              <w:rPr>
                <w:sz w:val="14"/>
                <w:szCs w:val="14"/>
                <w:color w:val="auto"/>
              </w:rPr>
            </w:pPr>
          </w:p>
        </w:tc>
        <w:tc>
          <w:tcPr>
            <w:tcW w:w="6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center"/>
              <w:ind w:left="889"/>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20" w:type="dxa"/>
            <w:vAlign w:val="bottom"/>
          </w:tcPr>
          <w:p>
            <w:pPr>
              <w:spacing w:after="0"/>
              <w:rPr>
                <w:sz w:val="15"/>
                <w:szCs w:val="15"/>
                <w:color w:val="auto"/>
              </w:rPr>
            </w:pPr>
          </w:p>
        </w:tc>
        <w:tc>
          <w:tcPr>
            <w:tcW w:w="6380" w:type="dxa"/>
            <w:vAlign w:val="bottom"/>
            <w:gridSpan w:val="2"/>
          </w:tcPr>
          <w:p>
            <w:pPr>
              <w:spacing w:after="0" w:line="181" w:lineRule="exact"/>
              <w:rPr>
                <w:sz w:val="20"/>
                <w:szCs w:val="20"/>
                <w:color w:val="auto"/>
              </w:rPr>
            </w:pPr>
            <w:r>
              <w:rPr>
                <w:rFonts w:ascii="Times New Roman" w:cs="Times New Roman" w:eastAsia="Times New Roman" w:hAnsi="Times New Roman"/>
                <w:sz w:val="14"/>
                <w:szCs w:val="14"/>
                <w:color w:val="auto"/>
              </w:rPr>
              <w:t xml:space="preserve">Charges incurred </w:t>
            </w:r>
            <w:r>
              <w:rPr>
                <w:rFonts w:ascii="Times New Roman" w:cs="Times New Roman" w:eastAsia="Times New Roman" w:hAnsi="Times New Roman"/>
                <w:sz w:val="18"/>
                <w:szCs w:val="18"/>
                <w:color w:val="auto"/>
                <w:vertAlign w:val="superscript"/>
              </w:rPr>
              <w:t>(1)</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center"/>
              <w:ind w:left="889"/>
              <w:spacing w:after="0"/>
              <w:rPr>
                <w:sz w:val="20"/>
                <w:szCs w:val="20"/>
                <w:color w:val="auto"/>
              </w:rPr>
            </w:pPr>
            <w:r>
              <w:rPr>
                <w:rFonts w:ascii="Times New Roman" w:cs="Times New Roman" w:eastAsia="Times New Roman" w:hAnsi="Times New Roman"/>
                <w:sz w:val="14"/>
                <w:szCs w:val="14"/>
                <w:color w:val="auto"/>
                <w:w w:val="99"/>
              </w:rPr>
              <w:t>11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0"/>
        </w:trPr>
        <w:tc>
          <w:tcPr>
            <w:tcW w:w="20" w:type="dxa"/>
            <w:vAlign w:val="bottom"/>
          </w:tcPr>
          <w:p>
            <w:pPr>
              <w:spacing w:after="0"/>
              <w:rPr>
                <w:sz w:val="15"/>
                <w:szCs w:val="15"/>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Payments</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left="809"/>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0"/>
        </w:trPr>
        <w:tc>
          <w:tcPr>
            <w:tcW w:w="20" w:type="dxa"/>
            <w:vAlign w:val="bottom"/>
          </w:tcPr>
          <w:p>
            <w:pPr>
              <w:spacing w:after="0"/>
              <w:rPr>
                <w:sz w:val="15"/>
                <w:szCs w:val="15"/>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Non-cash reductions</w:t>
            </w:r>
          </w:p>
        </w:tc>
        <w:tc>
          <w:tcPr>
            <w:tcW w:w="28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20" w:type="dxa"/>
            <w:vAlign w:val="bottom"/>
          </w:tcPr>
          <w:p>
            <w:pPr>
              <w:jc w:val="center"/>
              <w:ind w:left="869"/>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6"/>
        </w:trPr>
        <w:tc>
          <w:tcPr>
            <w:tcW w:w="20" w:type="dxa"/>
            <w:vAlign w:val="bottom"/>
          </w:tcPr>
          <w:p>
            <w:pPr>
              <w:spacing w:after="0"/>
              <w:rPr>
                <w:sz w:val="16"/>
                <w:szCs w:val="16"/>
                <w:color w:val="auto"/>
              </w:rPr>
            </w:pPr>
          </w:p>
        </w:tc>
        <w:tc>
          <w:tcPr>
            <w:tcW w:w="6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center"/>
              <w:ind w:left="889"/>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
        </w:trPr>
        <w:tc>
          <w:tcPr>
            <w:tcW w:w="20" w:type="dxa"/>
            <w:vAlign w:val="bottom"/>
          </w:tcPr>
          <w:p>
            <w:pPr>
              <w:spacing w:after="0" w:line="20" w:lineRule="exact"/>
              <w:rPr>
                <w:sz w:val="1"/>
                <w:szCs w:val="1"/>
                <w:color w:val="auto"/>
              </w:rPr>
            </w:pPr>
          </w:p>
        </w:tc>
        <w:tc>
          <w:tcPr>
            <w:tcW w:w="6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remaining severance liability at December 31, 2023, is expected to be substantially paid within 12 months.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Income Taxes</w:t>
      </w:r>
    </w:p>
    <w:p>
      <w:pPr>
        <w:spacing w:after="0" w:line="202"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For the periods ended before the Separation, the Company was a member of XPO, and its U.S. taxable income was included in XPO’s consolidated U.S. federal income tax return as well as certain state and local taxing jurisdictions tax returns. For the periods ended after the Separation, the Company has filed a consolidated U.S. federal income tax return as well as state and local income tax returns. The Company’s foreign income tax returns are filed on a full-year basis.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(loss) before taxes related to the Company’s domestic and foreign operations was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(25)</w:t>
            </w:r>
          </w:p>
        </w:tc>
      </w:tr>
      <w:tr>
        <w:trPr>
          <w:trHeight w:val="180"/>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178</w:t>
            </w:r>
          </w:p>
        </w:tc>
      </w:tr>
      <w:tr>
        <w:trPr>
          <w:trHeight w:val="196"/>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153</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3"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color w:val="auto"/>
        </w:rPr>
        <w:t>The components of income tax expense (benefit) are presented in the following table: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r>
      <w:tr>
        <w:trPr>
          <w:trHeight w:val="180"/>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 federal</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5"/>
                <w:szCs w:val="15"/>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6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 state and local</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64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Foreign</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71"/>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income tax expense</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0"/>
        </w:trPr>
        <w:tc>
          <w:tcPr>
            <w:tcW w:w="6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 federal</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 state and local</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6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w:t>
            </w: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71"/>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deferred income tax benefit</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96"/>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income tax expense (benefit)</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Income tax expense (benefit) for 2023, 2022 and 2021 varied from the amount computed by applying the statutory income tax rate to income (loss) before income taxes. The Company’s U.S. federal statutory tax rate was 21% for 2023, 2022 and 2021. A reconciliation of the expected U.S. federal income tax expense (benefit), calculated by applying the federal statutory rate to the Company’s actual income tax expense (benefit) is presented in the following table: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expense at U.S. federal statutory tax rate</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State taxes, net of U.S. federal benefit</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rate differential</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64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Foreign operations </w:t>
            </w:r>
            <w:r>
              <w:rPr>
                <w:rFonts w:ascii="Times New Roman" w:cs="Times New Roman" w:eastAsia="Times New Roman" w:hAnsi="Times New Roman"/>
                <w:sz w:val="18"/>
                <w:szCs w:val="18"/>
                <w:color w:val="auto"/>
                <w:vertAlign w:val="superscript"/>
              </w:rPr>
              <w:t>(1)</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Contribution- and margin-based taxes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Valuation allowances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64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Intangible assets </w:t>
            </w:r>
            <w:r>
              <w:rPr>
                <w:rFonts w:ascii="Times New Roman" w:cs="Times New Roman" w:eastAsia="Times New Roman" w:hAnsi="Times New Roman"/>
                <w:sz w:val="18"/>
                <w:szCs w:val="18"/>
                <w:color w:val="auto"/>
                <w:vertAlign w:val="superscript"/>
              </w:rPr>
              <w:t>(2)</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 costs</w:t>
            </w:r>
          </w:p>
        </w:tc>
        <w:tc>
          <w:tcPr>
            <w:tcW w:w="3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6"/>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income tax expense (benefit)</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160" w:hanging="155"/>
        <w:spacing w:after="0"/>
        <w:tabs>
          <w:tab w:leader="none" w:pos="1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Foreign operations include the net impact of changes to valuation allowances, the cost of inclusion of foreign income in the U.S. net of foreign taxes and permanent items related to foreign operations.</w:t>
      </w:r>
    </w:p>
    <w:p>
      <w:pPr>
        <w:spacing w:after="0" w:line="20"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2023 and 2021, the Company recorded an income tax benefit related to the rights to use trade names, trademarks and other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i w:val="1"/>
          <w:iCs w:val="1"/>
          <w:color w:val="auto"/>
        </w:rPr>
        <w:t>Components of the Net Deferred Tax Asset or Liability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tax effects of temporary differences that gave rise to significant portions of the deferred tax assets and deferred tax liabilities are presented in the following table: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1"/>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operating loss and other tax attribute carryforwards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80"/>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80"/>
        </w:trPr>
        <w:tc>
          <w:tcPr>
            <w:tcW w:w="80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1"/>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Gross deferred tax assets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80"/>
        </w:trPr>
        <w:tc>
          <w:tcPr>
            <w:tcW w:w="80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Valuation allowances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71"/>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deferred tax assets, net of valuation allowance</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6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80"/>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Property and equipment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80"/>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Pension and other retirement obligations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80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1"/>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Gross deferred tax liabilities</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71"/>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deferred tax liability</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The deferred tax asset and deferred tax liability above are reflected in the Consolidated Balance Sheets as follows: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80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1"/>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80"/>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deferred tax liability</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 in Foreign Subsidiaries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the Company maintained a partial indefinite reinvestment assertion on its post- 2017 undistributed foreign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Loss and Tax Credit Carryforwards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operating loss and tax credit carryforwards were as follows:</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Federal net operating losses for all U.S. operations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Tax effect (before federal benefit) of state net operating losses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Federal tax credit carryforwards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State tax credit carryforwards</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Foreign net operating losses available to offset future taxable income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Some credits and losses have unlimited carryforward periods.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Allowances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71"/>
        </w:trPr>
        <w:tc>
          <w:tcPr>
            <w:tcW w:w="3440" w:type="dxa"/>
            <w:vAlign w:val="bottom"/>
            <w:gridSpan w:val="2"/>
          </w:tcPr>
          <w:p>
            <w:pPr>
              <w:jc w:val="center"/>
              <w:ind w:right="80"/>
              <w:spacing w:after="0" w:line="171" w:lineRule="exact"/>
              <w:rPr>
                <w:sz w:val="20"/>
                <w:szCs w:val="20"/>
                <w:color w:val="auto"/>
              </w:rPr>
            </w:pPr>
            <w:r>
              <w:rPr>
                <w:rFonts w:ascii="Times New Roman" w:cs="Times New Roman" w:eastAsia="Times New Roman" w:hAnsi="Times New Roman"/>
                <w:sz w:val="14"/>
                <w:szCs w:val="14"/>
                <w:b w:val="1"/>
                <w:bCs w:val="1"/>
                <w:color w:val="auto"/>
                <w:w w:val="98"/>
              </w:rPr>
              <w:t xml:space="preserve">Expiration Date </w:t>
            </w:r>
            <w:r>
              <w:rPr>
                <w:rFonts w:ascii="Times New Roman" w:cs="Times New Roman" w:eastAsia="Times New Roman" w:hAnsi="Times New Roman"/>
                <w:sz w:val="18"/>
                <w:szCs w:val="18"/>
                <w:b w:val="1"/>
                <w:bCs w:val="1"/>
                <w:color w:val="auto"/>
                <w:w w:val="98"/>
                <w:vertAlign w:val="superscript"/>
              </w:rPr>
              <w:t>(1)</w:t>
            </w:r>
          </w:p>
        </w:tc>
        <w:tc>
          <w:tcPr>
            <w:tcW w:w="36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66"/>
        </w:trPr>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2033</w:t>
            </w:r>
          </w:p>
        </w:tc>
        <w:tc>
          <w:tcPr>
            <w:tcW w:w="80" w:type="dxa"/>
            <w:vAlign w:val="bottom"/>
          </w:tcPr>
          <w:p>
            <w:pPr>
              <w:spacing w:after="0"/>
              <w:rPr>
                <w:sz w:val="23"/>
                <w:szCs w:val="23"/>
                <w:color w:val="auto"/>
              </w:rPr>
            </w:pPr>
          </w:p>
        </w:tc>
        <w:tc>
          <w:tcPr>
            <w:tcW w:w="3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23"/>
                <w:szCs w:val="23"/>
                <w:color w:val="auto"/>
              </w:rPr>
            </w:pPr>
          </w:p>
        </w:tc>
        <w:tc>
          <w:tcPr>
            <w:tcW w:w="500" w:type="dxa"/>
            <w:vAlign w:val="bottom"/>
            <w:tcBorders>
              <w:top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76"/>
        </w:trPr>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Various times starting in 2024</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76"/>
        </w:trPr>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Various times starting in 2032</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86"/>
        </w:trPr>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Various times starting in 2024</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76"/>
        </w:trPr>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Various times starting in 2024</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-2929890</wp:posOffset>
            </wp:positionH>
            <wp:positionV relativeFrom="paragraph">
              <wp:posOffset>-531495</wp:posOffset>
            </wp:positionV>
            <wp:extent cx="7161530" cy="1752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61530" cy="175260"/>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-173990</wp:posOffset>
            </wp:positionV>
            <wp:extent cx="7161530" cy="1752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61530" cy="175260"/>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-888365</wp:posOffset>
            </wp:positionV>
            <wp:extent cx="7161530" cy="1816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61530" cy="181610"/>
                    </a:xfrm>
                    <a:prstGeom prst="rect">
                      <a:avLst/>
                    </a:prstGeom>
                    <a:noFill/>
                  </pic:spPr>
                </pic:pic>
              </a:graphicData>
            </a:graphic>
          </wp:anchor>
        </w:drawing>
      </w:r>
    </w:p>
    <w:p>
      <w:pPr>
        <w:spacing w:after="0" w:line="737" w:lineRule="exact"/>
        <w:rPr>
          <w:sz w:val="20"/>
          <w:szCs w:val="20"/>
          <w:color w:val="auto"/>
        </w:rPr>
      </w:pPr>
    </w:p>
    <w:p>
      <w:pPr>
        <w:sectPr>
          <w:pgSz w:w="11900" w:h="16838" w:orient="portrait"/>
          <w:cols w:equalWidth="0" w:num="2">
            <w:col w:w="4320" w:space="300"/>
            <w:col w:w="6660"/>
          </w:cols>
          <w:pgMar w:left="300" w:top="1141" w:right="319" w:bottom="1440" w:gutter="0" w:footer="0" w:header="0"/>
        </w:sectPr>
      </w:pPr>
    </w:p>
    <w:p>
      <w:pPr>
        <w:spacing w:after="0" w:line="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Company established valuation allowances for some of its deferred tax assets, as it is more likely than not that these assets will not be realized in the foreseeable future. The Company concluded that the remaining deferred tax assets will more likely than not be realized, though this is not assured, and as such no valuation allowances have been provided on these assets.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balances and activity related to the Company’s valuation allowances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171"/>
        </w:trPr>
        <w:tc>
          <w:tcPr>
            <w:tcW w:w="466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2023 </w:t>
            </w:r>
            <w:r>
              <w:rPr>
                <w:rFonts w:ascii="Times New Roman" w:cs="Times New Roman" w:eastAsia="Times New Roman" w:hAnsi="Times New Roman"/>
                <w:sz w:val="18"/>
                <w:szCs w:val="18"/>
                <w:color w:val="auto"/>
                <w:vertAlign w:val="superscript"/>
              </w:rPr>
              <w:t>(1)</w:t>
            </w: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44</w:t>
            </w: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80"/>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5"/>
                <w:szCs w:val="15"/>
                <w:color w:val="auto"/>
              </w:rPr>
            </w:pPr>
          </w:p>
        </w:tc>
        <w:tc>
          <w:tcPr>
            <w:tcW w:w="1360" w:type="dxa"/>
            <w:vAlign w:val="bottom"/>
          </w:tcPr>
          <w:p>
            <w:pPr>
              <w:jc w:val="right"/>
              <w:ind w:right="11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45</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0"/>
        </w:trPr>
        <w:tc>
          <w:tcPr>
            <w:tcW w:w="46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2021 </w:t>
            </w:r>
            <w:r>
              <w:rPr>
                <w:rFonts w:ascii="Times New Roman" w:cs="Times New Roman" w:eastAsia="Times New Roman" w:hAnsi="Times New Roman"/>
                <w:sz w:val="18"/>
                <w:szCs w:val="18"/>
                <w:color w:val="auto"/>
                <w:vertAlign w:val="superscript"/>
              </w:rPr>
              <w:t>(2)</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73</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bl>
    <w:p>
      <w:pPr>
        <w:spacing w:after="0" w:line="57" w:lineRule="exact"/>
        <w:rPr>
          <w:sz w:val="20"/>
          <w:szCs w:val="20"/>
          <w:color w:val="auto"/>
        </w:rPr>
      </w:pPr>
    </w:p>
    <w:p>
      <w:pPr>
        <w:ind w:left="160" w:hanging="155"/>
        <w:spacing w:after="0"/>
        <w:tabs>
          <w:tab w:leader="none" w:pos="16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2023, due to the PFS Acquisition, the Company acquired $8 million of valuation allowances.</w:t>
      </w:r>
    </w:p>
    <w:p>
      <w:pPr>
        <w:spacing w:after="0" w:line="20"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2021, due to the Separation, the Company released $29 million of valuation allowances as the corresponding tax attributes reported by the Company on a combined basis were not transferred to the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Unrecognized Tax Benefits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the beginning unrecognized tax benefits balance to the ending balance is presented in the following table: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1"/>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3"/>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center"/>
              <w:ind w:left="96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center"/>
              <w:ind w:left="949"/>
              <w:spacing w:after="0"/>
              <w:rPr>
                <w:sz w:val="20"/>
                <w:szCs w:val="20"/>
                <w:color w:val="auto"/>
              </w:rPr>
            </w:pPr>
            <w:r>
              <w:rPr>
                <w:rFonts w:ascii="Times New Roman" w:cs="Times New Roman" w:eastAsia="Times New Roman" w:hAnsi="Times New Roman"/>
                <w:sz w:val="14"/>
                <w:szCs w:val="14"/>
                <w:color w:val="auto"/>
                <w:w w:val="85"/>
              </w:rPr>
              <w:t>3</w:t>
            </w:r>
          </w:p>
        </w:tc>
      </w:tr>
      <w:tr>
        <w:trPr>
          <w:trHeight w:val="212"/>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Increases related to positions taken during prior years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center"/>
              <w:ind w:left="96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center"/>
              <w:ind w:left="949"/>
              <w:spacing w:after="0"/>
              <w:rPr>
                <w:sz w:val="20"/>
                <w:szCs w:val="20"/>
                <w:color w:val="auto"/>
              </w:rPr>
            </w:pPr>
            <w:r>
              <w:rPr>
                <w:rFonts w:ascii="Times New Roman" w:cs="Times New Roman" w:eastAsia="Times New Roman" w:hAnsi="Times New Roman"/>
                <w:sz w:val="14"/>
                <w:szCs w:val="14"/>
                <w:color w:val="auto"/>
                <w:w w:val="85"/>
              </w:rPr>
              <w:t>1</w:t>
            </w:r>
          </w:p>
        </w:tc>
      </w:tr>
      <w:tr>
        <w:trPr>
          <w:trHeight w:val="212"/>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Reduction due to expiration of statutes of limitations</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929"/>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929"/>
              <w:spacing w:after="0"/>
              <w:rPr>
                <w:sz w:val="20"/>
                <w:szCs w:val="20"/>
                <w:color w:val="auto"/>
              </w:rPr>
            </w:pPr>
            <w:r>
              <w:rPr>
                <w:rFonts w:ascii="Times New Roman" w:cs="Times New Roman" w:eastAsia="Times New Roman" w:hAnsi="Times New Roman"/>
                <w:sz w:val="14"/>
                <w:szCs w:val="14"/>
                <w:color w:val="auto"/>
                <w:w w:val="97"/>
              </w:rPr>
              <w:t>(1)</w:t>
            </w:r>
          </w:p>
        </w:tc>
      </w:tr>
      <w:tr>
        <w:trPr>
          <w:trHeight w:val="17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unrecognized tax benefits</w:t>
            </w: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center"/>
              <w:ind w:left="96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center"/>
              <w:ind w:left="949"/>
              <w:spacing w:after="0"/>
              <w:rPr>
                <w:sz w:val="20"/>
                <w:szCs w:val="20"/>
                <w:color w:val="auto"/>
              </w:rPr>
            </w:pPr>
            <w:r>
              <w:rPr>
                <w:rFonts w:ascii="Times New Roman" w:cs="Times New Roman" w:eastAsia="Times New Roman" w:hAnsi="Times New Roman"/>
                <w:sz w:val="14"/>
                <w:szCs w:val="14"/>
                <w:color w:val="auto"/>
                <w:w w:val="85"/>
              </w:rPr>
              <w:t>3</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36"/>
        </w:trPr>
        <w:tc>
          <w:tcPr>
            <w:tcW w:w="6400" w:type="dxa"/>
            <w:vAlign w:val="bottom"/>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4"/>
                <w:szCs w:val="14"/>
                <w:b w:val="1"/>
                <w:bCs w:val="1"/>
                <w:color w:val="auto"/>
              </w:rPr>
              <w:t>Total unrecognized tax benefits that, if recognized, would impact the effective income tax rate as of the</w:t>
            </w: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207"/>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 of the year</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center"/>
              <w:ind w:left="96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center"/>
              <w:ind w:left="949"/>
              <w:spacing w:after="0"/>
              <w:rPr>
                <w:sz w:val="20"/>
                <w:szCs w:val="20"/>
                <w:color w:val="auto"/>
              </w:rPr>
            </w:pPr>
            <w:r>
              <w:rPr>
                <w:rFonts w:ascii="Times New Roman" w:cs="Times New Roman" w:eastAsia="Times New Roman" w:hAnsi="Times New Roman"/>
                <w:sz w:val="14"/>
                <w:szCs w:val="14"/>
                <w:color w:val="auto"/>
                <w:w w:val="85"/>
              </w:rPr>
              <w:t>3</w:t>
            </w:r>
          </w:p>
        </w:tc>
      </w:tr>
    </w:tbl>
    <w:p>
      <w:pPr>
        <w:spacing w:after="0" w:line="240"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The Company could reflect a reduction to unrecognized tax benefits of approximately $4 million over the next 12 months due to statutes of limitations expirations or because tax positions are sustained on audit.</w:t>
      </w:r>
    </w:p>
    <w:p>
      <w:pPr>
        <w:spacing w:after="0" w:line="145"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The Company is subject to taxation in the U.S. and foreign jurisdictions. As of December 31, 2023, the Company is under examination for its income tax filings in the states of North Carolina and Wisconsin. Various foreign tax returns for years after 2009 are open under relevant statutes of limitations and are subject to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color w:val="auto"/>
        </w:rPr>
        <w:t>17. Commitments and Contingencies</w:t>
      </w:r>
    </w:p>
    <w:p>
      <w:pPr>
        <w:spacing w:after="0" w:line="20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The Company is involved, and will continue to be involved, in numerous legal proceedings arising from the conduct of its business. These proceedings may include personal injury claims arising from the transportation and handling of goods, contractual disputes and employment-related claims, including alleged violations of wage and hour laws.</w:t>
      </w:r>
    </w:p>
    <w:p>
      <w:pPr>
        <w:spacing w:after="0" w:line="14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Company establishes accruals for specific legal proceedings when it is considered probable that a loss has been incurred and the amount of the loss can be reasonably estimated. The Company reviews and adjusts accruals for loss contingencies quarterly and as additional information becomes available. If a loss is not both probable and reasonably estimable, or if an exposure to a loss exists in excess of the amount accrued, the Company assesses whether there is at least a reasonable possibility that a loss, or additional loss, may have been incurred. If there is a reasonable possibility that a loss, or additional loss, may have been incurred, the Company discloses the estimate of the possible loss or range of loss if it is material and an estimate can be made, or discloses that such an estimate cannot be made. The determination as to whether a loss can reasonably be considered to be possible or probable is based on management’s assessment, together with legal counsel, regarding the ultimate outcome of the matter.</w:t>
      </w:r>
    </w:p>
    <w:p>
      <w:pPr>
        <w:spacing w:after="0" w:line="16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Management of the Company believes that it has adequately accrued for the potential impact of loss contingencies that are probable and reasonably estimable. Management of the Company does not believe that the ultimate resolution of any matters to which the Company is presently a party will have a material adverse effect on its results of operations, financial condition or cash flows. However, the results of these matters cannot be predicted with certainty, and an unfavorable resolution of one or more of these matters could have a material adverse effect on the Company’s financial condition, results of operations or cash flows. Legal costs related to these matters are expensed as they are incurred.</w:t>
      </w:r>
    </w:p>
    <w:p>
      <w:pPr>
        <w:spacing w:after="0" w:line="16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Company carries liability and excess umbrella insurance policies that are deemed sufficient to cover potential legal claims arising in the normal course of conducting its operations. In the event the Company is required to satisfy a legal claim outside the scope of the coverage provided by insurance, its financial condition, results of operations or cash flows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Conclusion Regarding the Effectiveness of Disclosure Controls and Procedures</w:t>
      </w:r>
    </w:p>
    <w:p>
      <w:pPr>
        <w:spacing w:after="0" w:line="20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Under the supervision and with the participation of our management, including our Chief Executive Officer (“CEO”) and Chief Financial Officer (“CFO”), we conducted an evaluation of the effectiveness of the design and operation of our disclosure controls and procedures, as such term is defined in Rule 13a-15(e) and Rule 15d-15(e) under the Securities Exchange Act of 1934, as amended, as of December 31, 2023. Based on that evaluation, our CEO and CFO concluded that our disclosure controls and procedures as of December 31, 2023 were effective as of such time such that the information required to be included in our Securities and Exchange Commission (“SEC”) reports is: (i) recorded, processed, summarized and reported within the time periods specified in SEC rules and forms relating to the Company, including our consolidated subsidiaries, and (ii) accumulated and communicated to our management, including our CEO and CFO, as appropriate to allow timely decisions regarding required disclosure.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 over Financial Reporting</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such term is defined in Rule 13a-15(f) and 15d-15 under the Securities Exchange Act of 1934, as amended. Under the supervision and with the participation of our management, including our CEO and CFO, we evaluated the effectiveness of our internal control over financial reporting as of December 31, 2023, based on the “Internal Control - Integrated Framework” (2013 framework) issued by the Committee of Sponsoring Organizations of the Treadway Commission. Based on our evaluation, we concluded that our internal control over financial reporting was effective as of December 31, 2023.</w:t>
      </w:r>
    </w:p>
    <w:p>
      <w:pPr>
        <w:spacing w:after="0" w:line="16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Management excluded from its design and assessment of internal control over financial reporting PFSweb, Inc. which was acquired on October 23, 2023. PFSweb, Inc. constituted approximately 1.8% of total assets, excluding associated goodwill and intangible assets, and approximately 0.8% of total revenues as of and for the year ended December 31, 2023. Companies are allowed to exclude acquisitions from their assessment of internal control over financial reporting during the first year following acquisition while integrating the acquired company under guidelines established by the SEC.</w:t>
      </w:r>
    </w:p>
    <w:p>
      <w:pPr>
        <w:spacing w:after="0" w:line="16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KPMG LLP, the independent registered public accounting firm that audited the financial statements included in this Annual Report, has issued an audit report, which is included elsewhere within this Annual Report, on the effectiveness of our internal control over financial reporting.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202"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There have not been any changes in our internal control over financial reporting during the quarter ended December 31, 2023,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20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The information required by Item 10 of Part III of Form 10-K (other than certain information required by Item 401 of Regulation S-K with respect to our executive officers, which is provided under Item 1 of Part I of this Annual Report) will be set forth in our definitive Proxy Statement for the 2024 Annual Meeting of Stockholders (the “Proxy Statement”) and is incorporated herein by reference. The Proxy Statement, or an amendment to this Annual Report containing the information, will be filed with the SEC on or before April 29, 2024.</w:t>
      </w:r>
    </w:p>
    <w:p>
      <w:pPr>
        <w:spacing w:after="0" w:line="15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We have adopted a Code of Business Ethics (the “Code of Ethics”), which is applicable to our principal executive officer, principal financial officer, principal accounting officer and other senior officers. The Code of Ethics is available on our website at www.ethics.gxo.com. In the event that we amend or waive any of the provisions of the Code of Ethics that relate to any element of the code of ethics definition enumerated in Item 406(b) of Regulation S-K, we intend to disclose the same on our website at the web address specified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Item 11 of Part III of Form 10-K will be set forth in our Proxy Statement for the 2024 Annual Meeting of Stockholders and is incorporated herein by reference. The Proxy Statement, or an amendment to this Annual Report containing the information, will be filed with the SEC on or before April 29,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20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information required by Item 12 of Part III of Form 10-K, including information regarding security ownership of certain beneficial owners and management and information regarding securities authorized for issuance under equity compensation plans, will be set forth in our Proxy Statement for the 2024 Annual Meeting of Stockholders and is incorporated herein by reference. The Proxy Statement, or an amendment to this Annual Report containing the information, will be filed with the SEC on or before April 29,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202"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The information required by Item 13 of Part III of Form 10-K will be set forth in our Proxy Statement for the 2024 Annual Meeting of Stockholders and is incorporated herein by reference. The Proxy Statement, or an amendment to this Annual Report containing the information will be filed with the SEC on or before April 29,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independent registered public accounting firm is KPMG LLP, Stamford, Connecticut, Auditor Firm ID: 185.</w:t>
      </w:r>
    </w:p>
    <w:p>
      <w:pPr>
        <w:spacing w:after="0" w:line="200"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The information required by Item 14 of Part III of Form 10-K will be set forth in our Proxy Statement for the 2024 Annual Meeting of Stockholders and is incorporated herein by reference. The Proxy Statement, or an amendment to this Annual Report containing the information, will be filed with the SEC on or before April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Statements and Financial Statement Schedules</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list of Consolidated Financial Statements provided in the Index to Consolidated Financial Statements is incorporated herein by reference. Such Consolidated Financial Statements are filed as part of this Annual Report on Form 10-K. All financial statement schedules are omitted because the required information is not applicable or because the information required is included in the Consolidated Financial Statements and notes thereto.</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0" w:type="dxa"/>
            <w:vAlign w:val="bottom"/>
            <w:gridSpan w:val="2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0" w:type="dxa"/>
            <w:vAlign w:val="bottom"/>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22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2"/>
                <w:szCs w:val="12"/>
                <w:color w:val="auto"/>
              </w:rPr>
            </w:pPr>
          </w:p>
        </w:tc>
        <w:tc>
          <w:tcPr>
            <w:tcW w:w="9940" w:type="dxa"/>
            <w:vAlign w:val="bottom"/>
            <w:tcBorders>
              <w:top w:val="single" w:sz="8" w:color="auto"/>
            </w:tcBorders>
            <w:gridSpan w:val="28"/>
          </w:tcPr>
          <w:p>
            <w:pPr>
              <w:spacing w:after="0" w:line="139" w:lineRule="exact"/>
              <w:rPr>
                <w:rFonts w:ascii="Times New Roman" w:cs="Times New Roman" w:eastAsia="Times New Roman" w:hAnsi="Times New Roman"/>
                <w:sz w:val="14"/>
                <w:szCs w:val="14"/>
                <w:color w:val="0000FF"/>
              </w:rPr>
            </w:pPr>
            <w:hyperlink r:id="rId110">
              <w:r>
                <w:rPr>
                  <w:rFonts w:ascii="Times New Roman" w:cs="Times New Roman" w:eastAsia="Times New Roman" w:hAnsi="Times New Roman"/>
                  <w:sz w:val="14"/>
                  <w:szCs w:val="14"/>
                  <w:color w:val="0000FF"/>
                </w:rPr>
                <w:t>Separation and Distribution Agreement by and between XPO Logistics, Inc. and GXO Logistics, Inc., dated as of August 1, 2021 (incorporated by reference to Exhibit 2.1 of</w:t>
              </w:r>
            </w:hyperlink>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700" w:type="dxa"/>
            <w:vAlign w:val="bottom"/>
            <w:tcBorders>
              <w:top w:val="single" w:sz="8" w:color="0000FF"/>
              <w:bottom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110">
              <w:r>
                <w:rPr>
                  <w:rFonts w:ascii="Times New Roman" w:cs="Times New Roman" w:eastAsia="Times New Roman" w:hAnsi="Times New Roman"/>
                  <w:sz w:val="13"/>
                  <w:szCs w:val="13"/>
                  <w:color w:val="0000FF"/>
                </w:rPr>
                <w:t>the Company’s Current Report on Form 8-K (Commission file no. 001-40470) filed with the SEC on August 2, 2021).</w:t>
              </w:r>
            </w:hyperlink>
          </w:p>
        </w:tc>
        <w:tc>
          <w:tcPr>
            <w:tcW w:w="3120" w:type="dxa"/>
            <w:vAlign w:val="bottom"/>
            <w:tcBorders>
              <w:top w:val="single" w:sz="8" w:color="0000FF"/>
            </w:tcBorders>
            <w:gridSpan w:val="1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4"/>
                <w:szCs w:val="14"/>
                <w:color w:val="auto"/>
              </w:rPr>
            </w:pPr>
          </w:p>
        </w:tc>
        <w:tc>
          <w:tcPr>
            <w:tcW w:w="9940" w:type="dxa"/>
            <w:vAlign w:val="bottom"/>
            <w:gridSpan w:val="28"/>
          </w:tcPr>
          <w:p>
            <w:pPr>
              <w:spacing w:after="0"/>
              <w:rPr>
                <w:rFonts w:ascii="Times New Roman" w:cs="Times New Roman" w:eastAsia="Times New Roman" w:hAnsi="Times New Roman"/>
                <w:sz w:val="14"/>
                <w:szCs w:val="14"/>
                <w:color w:val="0000FF"/>
              </w:rPr>
            </w:pPr>
            <w:hyperlink r:id="rId111">
              <w:r>
                <w:rPr>
                  <w:rFonts w:ascii="Times New Roman" w:cs="Times New Roman" w:eastAsia="Times New Roman" w:hAnsi="Times New Roman"/>
                  <w:sz w:val="14"/>
                  <w:szCs w:val="14"/>
                  <w:color w:val="0000FF"/>
                </w:rPr>
                <w:t>Recommended cash and share acquisition of Clipper Logistics PLC by GXO Logistics, Inc., dated as of February 28, 2022 (incorporated by reference to Exhibit 2.1 of the</w:t>
              </w:r>
            </w:hyperlink>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80" w:type="dxa"/>
            <w:vAlign w:val="bottom"/>
            <w:tcBorders>
              <w:top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11">
              <w:r>
                <w:rPr>
                  <w:rFonts w:ascii="Times New Roman" w:cs="Times New Roman" w:eastAsia="Times New Roman" w:hAnsi="Times New Roman"/>
                  <w:sz w:val="13"/>
                  <w:szCs w:val="13"/>
                  <w:color w:val="0000FF"/>
                </w:rPr>
                <w:t>Company’s Current Report on Form 8-K (Commission file no. 001-40470) filed with the SEC on March 1, 2022).</w:t>
              </w:r>
            </w:hyperlink>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4"/>
                <w:szCs w:val="14"/>
                <w:color w:val="auto"/>
              </w:rPr>
            </w:pPr>
          </w:p>
        </w:tc>
        <w:tc>
          <w:tcPr>
            <w:tcW w:w="9940" w:type="dxa"/>
            <w:vAlign w:val="bottom"/>
            <w:gridSpan w:val="28"/>
          </w:tcPr>
          <w:p>
            <w:pPr>
              <w:spacing w:after="0"/>
              <w:rPr>
                <w:rFonts w:ascii="Times New Roman" w:cs="Times New Roman" w:eastAsia="Times New Roman" w:hAnsi="Times New Roman"/>
                <w:sz w:val="14"/>
                <w:szCs w:val="14"/>
                <w:color w:val="0000FF"/>
              </w:rPr>
            </w:pPr>
            <w:hyperlink r:id="rId112">
              <w:r>
                <w:rPr>
                  <w:rFonts w:ascii="Times New Roman" w:cs="Times New Roman" w:eastAsia="Times New Roman" w:hAnsi="Times New Roman"/>
                  <w:sz w:val="14"/>
                  <w:szCs w:val="14"/>
                  <w:color w:val="0000FF"/>
                </w:rPr>
                <w:t>Cooperation Agreement between GXO Logistics, Inc. and Clipper Logistics PLC (incorporated by reference to Exhibit 2.2 of the Company’s Current Report on Form 8-K</w:t>
              </w:r>
            </w:hyperlink>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6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12">
              <w:r>
                <w:rPr>
                  <w:rFonts w:ascii="Times New Roman" w:cs="Times New Roman" w:eastAsia="Times New Roman" w:hAnsi="Times New Roman"/>
                  <w:sz w:val="13"/>
                  <w:szCs w:val="13"/>
                  <w:color w:val="0000FF"/>
                </w:rPr>
                <w:t>(Commission file no. 001-40470) filed with the SEC on March 1, 2022).</w:t>
              </w:r>
            </w:hyperlink>
          </w:p>
        </w:tc>
        <w:tc>
          <w:tcPr>
            <w:tcW w:w="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4"/>
                <w:szCs w:val="14"/>
                <w:color w:val="auto"/>
              </w:rPr>
            </w:pPr>
          </w:p>
        </w:tc>
        <w:tc>
          <w:tcPr>
            <w:tcW w:w="9940" w:type="dxa"/>
            <w:vAlign w:val="bottom"/>
            <w:gridSpan w:val="28"/>
          </w:tcPr>
          <w:p>
            <w:pPr>
              <w:spacing w:after="0"/>
              <w:rPr>
                <w:rFonts w:ascii="Times New Roman" w:cs="Times New Roman" w:eastAsia="Times New Roman" w:hAnsi="Times New Roman"/>
                <w:sz w:val="14"/>
                <w:szCs w:val="14"/>
                <w:color w:val="0000FF"/>
              </w:rPr>
            </w:pPr>
            <w:hyperlink r:id="rId113">
              <w:r>
                <w:rPr>
                  <w:rFonts w:ascii="Times New Roman" w:cs="Times New Roman" w:eastAsia="Times New Roman" w:hAnsi="Times New Roman"/>
                  <w:sz w:val="14"/>
                  <w:szCs w:val="14"/>
                  <w:color w:val="0000FF"/>
                </w:rPr>
                <w:t>Amended and Restated Certificate of Incorporation of GXO Logistics, Inc. (incorporated by reference to Exhibit 3.1 of the Company’s Current Report on Form 8-K</w:t>
              </w:r>
            </w:hyperlink>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80" w:type="dxa"/>
            <w:vAlign w:val="bottom"/>
            <w:tcBorders>
              <w:top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13">
              <w:r>
                <w:rPr>
                  <w:rFonts w:ascii="Times New Roman" w:cs="Times New Roman" w:eastAsia="Times New Roman" w:hAnsi="Times New Roman"/>
                  <w:sz w:val="13"/>
                  <w:szCs w:val="13"/>
                  <w:color w:val="0000FF"/>
                </w:rPr>
                <w:t>(Commission file no. 001-40470) filed with the SEC on August 2, 2021).</w:t>
              </w:r>
            </w:hyperlink>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4"/>
                <w:szCs w:val="14"/>
                <w:color w:val="auto"/>
              </w:rPr>
            </w:pPr>
          </w:p>
        </w:tc>
        <w:tc>
          <w:tcPr>
            <w:tcW w:w="9940" w:type="dxa"/>
            <w:vAlign w:val="bottom"/>
            <w:gridSpan w:val="28"/>
          </w:tcPr>
          <w:p>
            <w:pPr>
              <w:spacing w:after="0"/>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Second Amended and Restated Bylaws of GXO Logistics, Inc. (incorporated by reference to Exhibit 3.2 of the Company’s Current Report on Form 8-K (Commission file no.</w:t>
              </w:r>
            </w:hyperlink>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14">
              <w:r>
                <w:rPr>
                  <w:rFonts w:ascii="Times New Roman" w:cs="Times New Roman" w:eastAsia="Times New Roman" w:hAnsi="Times New Roman"/>
                  <w:sz w:val="13"/>
                  <w:szCs w:val="13"/>
                  <w:color w:val="0000FF"/>
                </w:rPr>
                <w:t>001-40470) filed with the SEC on August 2, 2021).</w:t>
              </w:r>
            </w:hyperlink>
          </w:p>
        </w:tc>
        <w:tc>
          <w:tcPr>
            <w:tcW w:w="6920" w:type="dxa"/>
            <w:vAlign w:val="bottom"/>
            <w:tcBorders>
              <w:top w:val="single" w:sz="8" w:color="0000FF"/>
            </w:tcBorders>
            <w:gridSpan w:val="19"/>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4"/>
                <w:szCs w:val="14"/>
                <w:color w:val="auto"/>
              </w:rPr>
            </w:pPr>
          </w:p>
        </w:tc>
        <w:tc>
          <w:tcPr>
            <w:tcW w:w="9940" w:type="dxa"/>
            <w:vAlign w:val="bottom"/>
            <w:gridSpan w:val="28"/>
          </w:tcPr>
          <w:p>
            <w:pPr>
              <w:spacing w:after="0"/>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Indenture, dated as of July 2, 2021, among GXO Logistics, Inc. and Wells Fargo Bank National Association, as Trustee (incorporated by reference to Exhibit 4.1 to the</w:t>
              </w:r>
            </w:hyperlink>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120" w:type="dxa"/>
            <w:vAlign w:val="bottom"/>
            <w:tcBorders>
              <w:top w:val="single" w:sz="8" w:color="0000FF"/>
              <w:bottom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15">
              <w:r>
                <w:rPr>
                  <w:rFonts w:ascii="Times New Roman" w:cs="Times New Roman" w:eastAsia="Times New Roman" w:hAnsi="Times New Roman"/>
                  <w:sz w:val="13"/>
                  <w:szCs w:val="13"/>
                  <w:color w:val="0000FF"/>
                </w:rPr>
                <w:t>Company’s Amendment No. 3 to the Registration Statement on Form 10 (Commission file no. 001-40470) filed with the SEC on July 7, 2021).</w:t>
              </w:r>
            </w:hyperlink>
          </w:p>
        </w:tc>
        <w:tc>
          <w:tcPr>
            <w:tcW w:w="1340" w:type="dxa"/>
            <w:vAlign w:val="bottom"/>
            <w:tcBorders>
              <w:top w:val="single" w:sz="8" w:color="0000FF"/>
            </w:tcBorders>
            <w:gridSpan w:val="3"/>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4"/>
                <w:szCs w:val="14"/>
                <w:color w:val="auto"/>
              </w:rPr>
            </w:pPr>
          </w:p>
        </w:tc>
        <w:tc>
          <w:tcPr>
            <w:tcW w:w="9940" w:type="dxa"/>
            <w:vAlign w:val="bottom"/>
            <w:gridSpan w:val="28"/>
          </w:tcPr>
          <w:p>
            <w:pPr>
              <w:spacing w:after="0"/>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First Supplemental Indenture, dated as of July 2,2021, among GXO Logistics, Inc. and Wells Fargo Bank, National Association, as Trustee (incorporated by reference to</w:t>
              </w:r>
            </w:hyperlink>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540" w:type="dxa"/>
            <w:vAlign w:val="bottom"/>
            <w:tcBorders>
              <w:top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16">
              <w:r>
                <w:rPr>
                  <w:rFonts w:ascii="Times New Roman" w:cs="Times New Roman" w:eastAsia="Times New Roman" w:hAnsi="Times New Roman"/>
                  <w:sz w:val="13"/>
                  <w:szCs w:val="13"/>
                  <w:color w:val="0000FF"/>
                </w:rPr>
                <w:t>Exhibit 4.2 to the Company’s Amendment No. 3 to the Registration Statement on Form 10 (Commission file no. 001-40470) filed with the SEC on July 7, 2021).</w:t>
              </w:r>
            </w:hyperlink>
          </w:p>
        </w:tc>
        <w:tc>
          <w:tcPr>
            <w:tcW w:w="4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580" w:type="dxa"/>
            <w:vAlign w:val="bottom"/>
            <w:gridSpan w:val="4"/>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4"/>
                <w:szCs w:val="14"/>
                <w:color w:val="auto"/>
              </w:rPr>
            </w:pPr>
          </w:p>
        </w:tc>
        <w:tc>
          <w:tcPr>
            <w:tcW w:w="9940" w:type="dxa"/>
            <w:vAlign w:val="bottom"/>
            <w:gridSpan w:val="28"/>
          </w:tcPr>
          <w:p>
            <w:pPr>
              <w:spacing w:after="0"/>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Registration Rights Agreement by and among Jacobs Private Equity, LLC and GXO Logistics, Inc., dated as of September 29, 2021 (incorporated by reference to Exhibit 4.1</w:t>
              </w:r>
            </w:hyperlink>
          </w:p>
        </w:tc>
        <w:tc>
          <w:tcPr>
            <w:tcW w:w="0" w:type="dxa"/>
            <w:vAlign w:val="bottom"/>
          </w:tcPr>
          <w:p>
            <w:pPr>
              <w:spacing w:after="0"/>
              <w:rPr>
                <w:sz w:val="1"/>
                <w:szCs w:val="1"/>
                <w:color w:val="auto"/>
              </w:rPr>
            </w:pPr>
          </w:p>
        </w:tc>
      </w:tr>
      <w:tr>
        <w:trPr>
          <w:trHeight w:val="139"/>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0" w:type="dxa"/>
            <w:vAlign w:val="bottom"/>
            <w:tcBorders>
              <w:top w:val="single" w:sz="8" w:color="0000FF"/>
            </w:tcBorders>
            <w:gridSpan w:val="21"/>
          </w:tcPr>
          <w:p>
            <w:pPr>
              <w:spacing w:after="0" w:line="139" w:lineRule="exact"/>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to the Company’s Current Report on Form 8-K (Commission file no. 001-40470) filed with the SEC on October 1, 2021).</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580" w:type="dxa"/>
            <w:vAlign w:val="bottom"/>
            <w:gridSpan w:val="4"/>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5"/>
                <w:szCs w:val="15"/>
                <w:color w:val="auto"/>
              </w:rPr>
            </w:pPr>
          </w:p>
        </w:tc>
        <w:tc>
          <w:tcPr>
            <w:tcW w:w="9940" w:type="dxa"/>
            <w:vAlign w:val="bottom"/>
            <w:gridSpan w:val="28"/>
          </w:tcPr>
          <w:p>
            <w:pPr>
              <w:spacing w:after="0"/>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Description of Securities (incorporated by reference to Exhibit 4.5 of the Company’s Annual Report on Form 10-K (Commission file no. 001-40470) filed with the SEC on</w:t>
              </w:r>
            </w:hyperlink>
          </w:p>
        </w:tc>
        <w:tc>
          <w:tcPr>
            <w:tcW w:w="0" w:type="dxa"/>
            <w:vAlign w:val="bottom"/>
          </w:tcPr>
          <w:p>
            <w:pPr>
              <w:spacing w:after="0"/>
              <w:rPr>
                <w:sz w:val="1"/>
                <w:szCs w:val="1"/>
                <w:color w:val="auto"/>
              </w:rPr>
            </w:pPr>
          </w:p>
        </w:tc>
      </w:tr>
      <w:tr>
        <w:trPr>
          <w:trHeight w:val="139"/>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700" w:type="dxa"/>
            <w:vAlign w:val="bottom"/>
            <w:tcBorders>
              <w:top w:val="single" w:sz="8" w:color="0000FF"/>
            </w:tcBorders>
            <w:gridSpan w:val="20"/>
          </w:tcPr>
          <w:p>
            <w:pPr>
              <w:spacing w:after="0" w:line="139" w:lineRule="exact"/>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February 17, 2022).</w:t>
              </w:r>
            </w:hyperlink>
          </w:p>
        </w:tc>
        <w:tc>
          <w:tcPr>
            <w:tcW w:w="16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100" w:type="dxa"/>
            <w:vAlign w:val="bottom"/>
            <w:gridSpan w:val="8"/>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20" w:type="dxa"/>
            <w:vAlign w:val="bottom"/>
          </w:tcPr>
          <w:p>
            <w:pPr>
              <w:spacing w:after="0"/>
              <w:rPr>
                <w:sz w:val="15"/>
                <w:szCs w:val="15"/>
                <w:color w:val="auto"/>
              </w:rPr>
            </w:pPr>
          </w:p>
        </w:tc>
        <w:tc>
          <w:tcPr>
            <w:tcW w:w="9940" w:type="dxa"/>
            <w:vAlign w:val="bottom"/>
            <w:gridSpan w:val="28"/>
          </w:tcPr>
          <w:p>
            <w:pPr>
              <w:spacing w:after="0"/>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Tax Matters Agreement by and between XPO Logistics, Inc. and GXO Logistics, Inc., dated as of August 1, 2021 (incorporated by reference to Exhibit 10.2 of the Company’s</w:t>
              </w:r>
            </w:hyperlink>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90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119">
              <w:r>
                <w:rPr>
                  <w:rFonts w:ascii="Times New Roman" w:cs="Times New Roman" w:eastAsia="Times New Roman" w:hAnsi="Times New Roman"/>
                  <w:sz w:val="13"/>
                  <w:szCs w:val="13"/>
                  <w:color w:val="0000FF"/>
                </w:rPr>
                <w:t>Current Report on Form 8-K (Commission file no. 001-40470) filed with the SEC on August 2, 2021).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580" w:type="dxa"/>
            <w:vAlign w:val="bottom"/>
            <w:gridSpan w:val="4"/>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100" w:type="dxa"/>
            <w:vAlign w:val="bottom"/>
            <w:gridSpan w:val="8"/>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20" w:type="dxa"/>
            <w:vAlign w:val="bottom"/>
          </w:tcPr>
          <w:p>
            <w:pPr>
              <w:spacing w:after="0"/>
              <w:rPr>
                <w:sz w:val="14"/>
                <w:szCs w:val="14"/>
                <w:color w:val="auto"/>
              </w:rPr>
            </w:pPr>
          </w:p>
        </w:tc>
        <w:tc>
          <w:tcPr>
            <w:tcW w:w="9940" w:type="dxa"/>
            <w:vAlign w:val="bottom"/>
            <w:gridSpan w:val="28"/>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Employee Matters Agreement by and between XPO Logistics, Inc. and GXO Logistics, Inc., dated as of August 1, 2021 (incorporated by reference to Exhibit 10.3 of the</w:t>
              </w:r>
            </w:hyperlink>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580" w:type="dxa"/>
            <w:vAlign w:val="bottom"/>
            <w:tcBorders>
              <w:top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120">
              <w:r>
                <w:rPr>
                  <w:rFonts w:ascii="Times New Roman" w:cs="Times New Roman" w:eastAsia="Times New Roman" w:hAnsi="Times New Roman"/>
                  <w:sz w:val="13"/>
                  <w:szCs w:val="13"/>
                  <w:color w:val="0000FF"/>
                </w:rPr>
                <w:t>Company’s Current Report on Form 8-K (Commission file no. 001-40470) filed with the SEC on August 2, 2021).</w:t>
              </w:r>
            </w:hyperlink>
          </w:p>
        </w:tc>
        <w:tc>
          <w:tcPr>
            <w:tcW w:w="280" w:type="dxa"/>
            <w:vAlign w:val="bottom"/>
            <w:gridSpan w:val="7"/>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60" w:type="dxa"/>
            <w:vAlign w:val="bottom"/>
            <w:gridSpan w:val="6"/>
            <w:shd w:val="clear" w:color="auto" w:fill="0000FF"/>
          </w:tcPr>
          <w:p>
            <w:pPr>
              <w:spacing w:after="0" w:line="20" w:lineRule="exact"/>
              <w:rPr>
                <w:sz w:val="1"/>
                <w:szCs w:val="1"/>
                <w:color w:val="auto"/>
              </w:rPr>
            </w:pPr>
          </w:p>
        </w:tc>
        <w:tc>
          <w:tcPr>
            <w:tcW w:w="338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120" w:type="dxa"/>
            <w:vAlign w:val="bottom"/>
          </w:tcPr>
          <w:p>
            <w:pPr>
              <w:spacing w:after="0"/>
              <w:rPr>
                <w:sz w:val="14"/>
                <w:szCs w:val="14"/>
                <w:color w:val="auto"/>
              </w:rPr>
            </w:pPr>
          </w:p>
        </w:tc>
        <w:tc>
          <w:tcPr>
            <w:tcW w:w="9940" w:type="dxa"/>
            <w:vAlign w:val="bottom"/>
            <w:gridSpan w:val="28"/>
          </w:tcPr>
          <w:p>
            <w:pPr>
              <w:spacing w:after="0"/>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Intellectual Property License Agreement by and between XPO Logistics, Inc. and GXO Logistics, Inc., dated as of July 30, 2021 (incorporated by reference to Exhibit 10.4 of</w:t>
              </w:r>
            </w:hyperlink>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700" w:type="dxa"/>
            <w:vAlign w:val="bottom"/>
            <w:tcBorders>
              <w:top w:val="single" w:sz="8" w:color="0000FF"/>
              <w:bottom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121">
              <w:r>
                <w:rPr>
                  <w:rFonts w:ascii="Times New Roman" w:cs="Times New Roman" w:eastAsia="Times New Roman" w:hAnsi="Times New Roman"/>
                  <w:sz w:val="13"/>
                  <w:szCs w:val="13"/>
                  <w:color w:val="0000FF"/>
                </w:rPr>
                <w:t>the Company’s Current Report on Form 8-K (Commission file no. 001-40470) filed with the SEC on August 2, 2021).</w:t>
              </w:r>
            </w:hyperlink>
          </w:p>
        </w:tc>
        <w:tc>
          <w:tcPr>
            <w:tcW w:w="316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10.4+</w:t>
            </w:r>
          </w:p>
        </w:tc>
        <w:tc>
          <w:tcPr>
            <w:tcW w:w="120" w:type="dxa"/>
            <w:vAlign w:val="bottom"/>
          </w:tcPr>
          <w:p>
            <w:pPr>
              <w:spacing w:after="0"/>
              <w:rPr>
                <w:sz w:val="14"/>
                <w:szCs w:val="14"/>
                <w:color w:val="auto"/>
              </w:rPr>
            </w:pPr>
          </w:p>
        </w:tc>
        <w:tc>
          <w:tcPr>
            <w:tcW w:w="9940" w:type="dxa"/>
            <w:vAlign w:val="bottom"/>
            <w:gridSpan w:val="28"/>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GXO Logistics, Inc. 2021 Omnibus Incentive Plan (incorporated by reference to Exhibit 10.5 of the Company’s Current Report on Form 8-K (Commission file no. 001-40470)</w:t>
              </w:r>
            </w:hyperlink>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2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filed with the SEC on August 2, 2021).</w:t>
              </w:r>
            </w:hyperlink>
          </w:p>
        </w:tc>
        <w:tc>
          <w:tcPr>
            <w:tcW w:w="7700" w:type="dxa"/>
            <w:vAlign w:val="bottom"/>
            <w:tcBorders>
              <w:top w:val="single" w:sz="8" w:color="0000FF"/>
            </w:tcBorders>
            <w:gridSpan w:val="24"/>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10.5+</w:t>
            </w:r>
          </w:p>
        </w:tc>
        <w:tc>
          <w:tcPr>
            <w:tcW w:w="120" w:type="dxa"/>
            <w:vAlign w:val="bottom"/>
          </w:tcPr>
          <w:p>
            <w:pPr>
              <w:spacing w:after="0"/>
              <w:rPr>
                <w:sz w:val="14"/>
                <w:szCs w:val="14"/>
                <w:color w:val="auto"/>
              </w:rPr>
            </w:pPr>
          </w:p>
        </w:tc>
        <w:tc>
          <w:tcPr>
            <w:tcW w:w="9940" w:type="dxa"/>
            <w:vAlign w:val="bottom"/>
            <w:gridSpan w:val="28"/>
          </w:tcPr>
          <w:p>
            <w:pPr>
              <w:spacing w:after="0"/>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GXO Logistics, Inc. Severance Plan (incorporated by reference to Exhibit 10.6 of the Company’s Current Report on Form 8-K (Commission file no. 001-40470) filed with the</w:t>
              </w:r>
            </w:hyperlink>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8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23">
              <w:r>
                <w:rPr>
                  <w:rFonts w:ascii="Times New Roman" w:cs="Times New Roman" w:eastAsia="Times New Roman" w:hAnsi="Times New Roman"/>
                  <w:sz w:val="13"/>
                  <w:szCs w:val="13"/>
                  <w:color w:val="0000FF"/>
                </w:rPr>
                <w:t>SEC on August 2, 2021).</w:t>
              </w:r>
            </w:hyperlink>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1"/>
        </w:trPr>
        <w:tc>
          <w:tcPr>
            <w:tcW w:w="920" w:type="dxa"/>
            <w:vAlign w:val="bottom"/>
          </w:tcPr>
          <w:p>
            <w:pPr>
              <w:jc w:val="center"/>
              <w:ind w:right="449"/>
              <w:spacing w:after="0"/>
              <w:rPr>
                <w:sz w:val="20"/>
                <w:szCs w:val="20"/>
                <w:color w:val="auto"/>
              </w:rPr>
            </w:pPr>
            <w:r>
              <w:rPr>
                <w:rFonts w:ascii="Times New Roman" w:cs="Times New Roman" w:eastAsia="Times New Roman" w:hAnsi="Times New Roman"/>
                <w:sz w:val="14"/>
                <w:szCs w:val="14"/>
                <w:color w:val="auto"/>
                <w:w w:val="98"/>
              </w:rPr>
              <w:t>10.6+</w:t>
            </w:r>
          </w:p>
        </w:tc>
        <w:tc>
          <w:tcPr>
            <w:tcW w:w="9920" w:type="dxa"/>
            <w:vAlign w:val="bottom"/>
            <w:gridSpan w:val="16"/>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Form of Option Award Agreement under the GXO Logistics, Inc. 2021 Omnibus Incentive Compensation Plan (incorporated by reference to Exhibit 10.2 to the Company’s</w:t>
              </w:r>
            </w:hyperlink>
          </w:p>
        </w:tc>
      </w:tr>
      <w:tr>
        <w:trPr>
          <w:trHeight w:val="118"/>
        </w:trPr>
        <w:tc>
          <w:tcPr>
            <w:tcW w:w="920" w:type="dxa"/>
            <w:vAlign w:val="bottom"/>
          </w:tcPr>
          <w:p>
            <w:pPr>
              <w:spacing w:after="0"/>
              <w:rPr>
                <w:sz w:val="10"/>
                <w:szCs w:val="10"/>
                <w:color w:val="auto"/>
              </w:rPr>
            </w:pPr>
          </w:p>
        </w:tc>
        <w:tc>
          <w:tcPr>
            <w:tcW w:w="602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125">
              <w:r>
                <w:rPr>
                  <w:rFonts w:ascii="Times New Roman" w:cs="Times New Roman" w:eastAsia="Times New Roman" w:hAnsi="Times New Roman"/>
                  <w:sz w:val="13"/>
                  <w:szCs w:val="13"/>
                  <w:color w:val="0000FF"/>
                </w:rPr>
                <w:t>Registration Statement on Form 10 (Commission file no. 001-40470) filed with the SEC on June 9, 2021).</w:t>
              </w:r>
            </w:hyperlink>
          </w:p>
        </w:tc>
        <w:tc>
          <w:tcPr>
            <w:tcW w:w="3720" w:type="dxa"/>
            <w:vAlign w:val="bottom"/>
            <w:tcBorders>
              <w:top w:val="single" w:sz="8" w:color="0000FF"/>
            </w:tcBorders>
            <w:gridSpan w:val="8"/>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920" w:type="dxa"/>
            <w:vAlign w:val="bottom"/>
          </w:tcPr>
          <w:p>
            <w:pPr>
              <w:jc w:val="center"/>
              <w:ind w:right="449"/>
              <w:spacing w:after="0"/>
              <w:rPr>
                <w:sz w:val="20"/>
                <w:szCs w:val="20"/>
                <w:color w:val="auto"/>
              </w:rPr>
            </w:pPr>
            <w:r>
              <w:rPr>
                <w:rFonts w:ascii="Times New Roman" w:cs="Times New Roman" w:eastAsia="Times New Roman" w:hAnsi="Times New Roman"/>
                <w:sz w:val="14"/>
                <w:szCs w:val="14"/>
                <w:color w:val="auto"/>
                <w:w w:val="98"/>
              </w:rPr>
              <w:t>10.7+</w:t>
            </w:r>
          </w:p>
        </w:tc>
        <w:tc>
          <w:tcPr>
            <w:tcW w:w="9920" w:type="dxa"/>
            <w:vAlign w:val="bottom"/>
            <w:gridSpan w:val="16"/>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Form of Restricted Stock Unit Award Agreement (2021 Omnibus Incentive Compensation Plan) (incorporated by reference to Exhibit 10.4 of the Company's Quarterly Report</w:t>
              </w:r>
            </w:hyperlink>
          </w:p>
        </w:tc>
      </w:tr>
      <w:tr>
        <w:trPr>
          <w:trHeight w:val="118"/>
        </w:trPr>
        <w:tc>
          <w:tcPr>
            <w:tcW w:w="920" w:type="dxa"/>
            <w:vAlign w:val="bottom"/>
          </w:tcPr>
          <w:p>
            <w:pPr>
              <w:spacing w:after="0"/>
              <w:rPr>
                <w:sz w:val="10"/>
                <w:szCs w:val="10"/>
                <w:color w:val="auto"/>
              </w:rPr>
            </w:pPr>
          </w:p>
        </w:tc>
        <w:tc>
          <w:tcPr>
            <w:tcW w:w="9900" w:type="dxa"/>
            <w:vAlign w:val="bottom"/>
            <w:tcBorders>
              <w:top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26">
              <w:r>
                <w:rPr>
                  <w:rFonts w:ascii="Times New Roman" w:cs="Times New Roman" w:eastAsia="Times New Roman" w:hAnsi="Times New Roman"/>
                  <w:sz w:val="13"/>
                  <w:szCs w:val="13"/>
                  <w:color w:val="0000FF"/>
                </w:rPr>
                <w:t>on Form 10-Q (Commission file no. 001-40470) filed with the SEC on May 5, 2022).</w:t>
              </w:r>
            </w:hyperlink>
          </w:p>
        </w:tc>
        <w:tc>
          <w:tcPr>
            <w:tcW w:w="20" w:type="dxa"/>
            <w:vAlign w:val="bottom"/>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71"/>
        </w:trPr>
        <w:tc>
          <w:tcPr>
            <w:tcW w:w="920" w:type="dxa"/>
            <w:vAlign w:val="bottom"/>
          </w:tcPr>
          <w:p>
            <w:pPr>
              <w:jc w:val="center"/>
              <w:ind w:right="449"/>
              <w:spacing w:after="0"/>
              <w:rPr>
                <w:sz w:val="20"/>
                <w:szCs w:val="20"/>
                <w:color w:val="auto"/>
              </w:rPr>
            </w:pPr>
            <w:r>
              <w:rPr>
                <w:rFonts w:ascii="Times New Roman" w:cs="Times New Roman" w:eastAsia="Times New Roman" w:hAnsi="Times New Roman"/>
                <w:sz w:val="14"/>
                <w:szCs w:val="14"/>
                <w:color w:val="auto"/>
                <w:w w:val="98"/>
              </w:rPr>
              <w:t>10.8+</w:t>
            </w:r>
          </w:p>
        </w:tc>
        <w:tc>
          <w:tcPr>
            <w:tcW w:w="9920" w:type="dxa"/>
            <w:vAlign w:val="bottom"/>
            <w:gridSpan w:val="16"/>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Form of Restricted Stock Unit Award Agreement for Non-Employee Directors (2021 Omnibus Incentive Compensation Plan) (incorporated by reference to Exhibit 10.12 to</w:t>
              </w:r>
            </w:hyperlink>
          </w:p>
        </w:tc>
      </w:tr>
      <w:tr>
        <w:trPr>
          <w:trHeight w:val="118"/>
        </w:trPr>
        <w:tc>
          <w:tcPr>
            <w:tcW w:w="920" w:type="dxa"/>
            <w:vAlign w:val="bottom"/>
          </w:tcPr>
          <w:p>
            <w:pPr>
              <w:spacing w:after="0"/>
              <w:rPr>
                <w:sz w:val="10"/>
                <w:szCs w:val="10"/>
                <w:color w:val="auto"/>
              </w:rPr>
            </w:pPr>
          </w:p>
        </w:tc>
        <w:tc>
          <w:tcPr>
            <w:tcW w:w="9760" w:type="dxa"/>
            <w:vAlign w:val="bottom"/>
            <w:tcBorders>
              <w:top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27">
              <w:r>
                <w:rPr>
                  <w:rFonts w:ascii="Times New Roman" w:cs="Times New Roman" w:eastAsia="Times New Roman" w:hAnsi="Times New Roman"/>
                  <w:sz w:val="13"/>
                  <w:szCs w:val="13"/>
                  <w:color w:val="0000FF"/>
                </w:rPr>
                <w:t>the Company’s Quarterly Report on Form 10-Q (Commission file no. 001-40470) filed with the SEC on November 2, 2021).</w:t>
              </w:r>
            </w:hyperlink>
          </w:p>
        </w:tc>
        <w:tc>
          <w:tcPr>
            <w:tcW w:w="160" w:type="dxa"/>
            <w:vAlign w:val="bottom"/>
            <w:gridSpan w:val="2"/>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171"/>
        </w:trPr>
        <w:tc>
          <w:tcPr>
            <w:tcW w:w="920" w:type="dxa"/>
            <w:vAlign w:val="bottom"/>
          </w:tcPr>
          <w:p>
            <w:pPr>
              <w:jc w:val="center"/>
              <w:ind w:right="449"/>
              <w:spacing w:after="0"/>
              <w:rPr>
                <w:sz w:val="20"/>
                <w:szCs w:val="20"/>
                <w:color w:val="auto"/>
              </w:rPr>
            </w:pPr>
            <w:r>
              <w:rPr>
                <w:rFonts w:ascii="Times New Roman" w:cs="Times New Roman" w:eastAsia="Times New Roman" w:hAnsi="Times New Roman"/>
                <w:sz w:val="14"/>
                <w:szCs w:val="14"/>
                <w:color w:val="auto"/>
                <w:w w:val="98"/>
              </w:rPr>
              <w:t>10.9+</w:t>
            </w:r>
          </w:p>
        </w:tc>
        <w:tc>
          <w:tcPr>
            <w:tcW w:w="9920" w:type="dxa"/>
            <w:vAlign w:val="bottom"/>
            <w:gridSpan w:val="16"/>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Form of Restricted Stock Unit Award Agreement (Service-Vesting) (2021 Omnibus Incentive Compensation Plan) (incorporated by reference to Exhibit 10.13 to the</w:t>
              </w:r>
            </w:hyperlink>
          </w:p>
        </w:tc>
      </w:tr>
      <w:tr>
        <w:trPr>
          <w:trHeight w:val="118"/>
        </w:trPr>
        <w:tc>
          <w:tcPr>
            <w:tcW w:w="920" w:type="dxa"/>
            <w:vAlign w:val="bottom"/>
          </w:tcPr>
          <w:p>
            <w:pPr>
              <w:spacing w:after="0"/>
              <w:rPr>
                <w:sz w:val="10"/>
                <w:szCs w:val="10"/>
                <w:color w:val="auto"/>
              </w:rPr>
            </w:pPr>
          </w:p>
        </w:tc>
        <w:tc>
          <w:tcPr>
            <w:tcW w:w="686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Company’s Quarterly Report on Form 10-Q (Commission file no. 001-40470) filed with the SEC on November 2, 2021).</w:t>
              </w:r>
            </w:hyperlink>
          </w:p>
        </w:tc>
        <w:tc>
          <w:tcPr>
            <w:tcW w:w="2460" w:type="dxa"/>
            <w:vAlign w:val="bottom"/>
            <w:tcBorders>
              <w:top w:val="single" w:sz="8" w:color="0000FF"/>
            </w:tcBorders>
            <w:gridSpan w:val="2"/>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gridSpan w:val="4"/>
          </w:tcPr>
          <w:p>
            <w:pPr>
              <w:spacing w:after="0"/>
              <w:rPr>
                <w:sz w:val="10"/>
                <w:szCs w:val="10"/>
                <w:color w:val="auto"/>
              </w:rPr>
            </w:pPr>
          </w:p>
        </w:tc>
      </w:tr>
      <w:tr>
        <w:trPr>
          <w:trHeight w:val="171"/>
        </w:trPr>
        <w:tc>
          <w:tcPr>
            <w:tcW w:w="920" w:type="dxa"/>
            <w:vAlign w:val="bottom"/>
          </w:tcPr>
          <w:p>
            <w:pPr>
              <w:jc w:val="center"/>
              <w:ind w:right="449"/>
              <w:spacing w:after="0"/>
              <w:rPr>
                <w:sz w:val="20"/>
                <w:szCs w:val="20"/>
                <w:color w:val="auto"/>
              </w:rPr>
            </w:pPr>
            <w:r>
              <w:rPr>
                <w:rFonts w:ascii="Times New Roman" w:cs="Times New Roman" w:eastAsia="Times New Roman" w:hAnsi="Times New Roman"/>
                <w:sz w:val="14"/>
                <w:szCs w:val="14"/>
                <w:color w:val="auto"/>
              </w:rPr>
              <w:t>10.10+</w:t>
            </w:r>
          </w:p>
        </w:tc>
        <w:tc>
          <w:tcPr>
            <w:tcW w:w="9920" w:type="dxa"/>
            <w:vAlign w:val="bottom"/>
            <w:gridSpan w:val="16"/>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Form of Performance Share Unit Award Agreement (2021 Omnibus Incentive Compensation Plan) (incorporated by reference to Exhibit 10.5 of the Company's Quarterly</w:t>
              </w:r>
            </w:hyperlink>
          </w:p>
        </w:tc>
      </w:tr>
      <w:tr>
        <w:trPr>
          <w:trHeight w:val="118"/>
        </w:trPr>
        <w:tc>
          <w:tcPr>
            <w:tcW w:w="920" w:type="dxa"/>
            <w:vAlign w:val="bottom"/>
          </w:tcPr>
          <w:p>
            <w:pPr>
              <w:spacing w:after="0"/>
              <w:rPr>
                <w:sz w:val="10"/>
                <w:szCs w:val="10"/>
                <w:color w:val="auto"/>
              </w:rPr>
            </w:pPr>
          </w:p>
        </w:tc>
        <w:tc>
          <w:tcPr>
            <w:tcW w:w="9620" w:type="dxa"/>
            <w:vAlign w:val="bottom"/>
            <w:tcBorders>
              <w:top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Report on Form 10-Q (Commission file no. 001-40470) filed with the SEC on May 5, 2022).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gridSpan w:val="4"/>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171"/>
        </w:trPr>
        <w:tc>
          <w:tcPr>
            <w:tcW w:w="920" w:type="dxa"/>
            <w:vAlign w:val="bottom"/>
          </w:tcPr>
          <w:p>
            <w:pPr>
              <w:jc w:val="center"/>
              <w:ind w:right="449"/>
              <w:spacing w:after="0"/>
              <w:rPr>
                <w:sz w:val="20"/>
                <w:szCs w:val="20"/>
                <w:color w:val="auto"/>
              </w:rPr>
            </w:pPr>
            <w:r>
              <w:rPr>
                <w:rFonts w:ascii="Times New Roman" w:cs="Times New Roman" w:eastAsia="Times New Roman" w:hAnsi="Times New Roman"/>
                <w:sz w:val="14"/>
                <w:szCs w:val="14"/>
                <w:color w:val="auto"/>
              </w:rPr>
              <w:t>10.11+</w:t>
            </w:r>
          </w:p>
        </w:tc>
        <w:tc>
          <w:tcPr>
            <w:tcW w:w="9920" w:type="dxa"/>
            <w:vAlign w:val="bottom"/>
            <w:gridSpan w:val="16"/>
          </w:tcPr>
          <w:p>
            <w:pPr>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GXO Logistics, Inc. Cash Long-Term Incentive Plan (incorporated by reference to Exhibit 10.7 of the Company’s Current Report on Form 8-K (Commission file no. 001-</w:t>
              </w:r>
            </w:hyperlink>
          </w:p>
        </w:tc>
      </w:tr>
      <w:tr>
        <w:trPr>
          <w:trHeight w:val="118"/>
        </w:trPr>
        <w:tc>
          <w:tcPr>
            <w:tcW w:w="920" w:type="dxa"/>
            <w:vAlign w:val="bottom"/>
          </w:tcPr>
          <w:p>
            <w:pPr>
              <w:spacing w:after="0"/>
              <w:rPr>
                <w:sz w:val="10"/>
                <w:szCs w:val="10"/>
                <w:color w:val="auto"/>
              </w:rPr>
            </w:pPr>
          </w:p>
        </w:tc>
        <w:tc>
          <w:tcPr>
            <w:tcW w:w="266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40470) filed with the SEC on August 2, 2021).</w:t>
              </w:r>
            </w:hyperlink>
          </w:p>
        </w:tc>
        <w:tc>
          <w:tcPr>
            <w:tcW w:w="7000" w:type="dxa"/>
            <w:vAlign w:val="bottom"/>
            <w:tcBorders>
              <w:top w:val="single" w:sz="8" w:color="0000FF"/>
            </w:tcBorders>
            <w:gridSpan w:val="11"/>
          </w:tcPr>
          <w:p>
            <w:pPr>
              <w:spacing w:after="0"/>
              <w:rPr>
                <w:sz w:val="10"/>
                <w:szCs w:val="10"/>
                <w:color w:val="auto"/>
              </w:rPr>
            </w:pPr>
          </w:p>
        </w:tc>
        <w:tc>
          <w:tcPr>
            <w:tcW w:w="260" w:type="dxa"/>
            <w:vAlign w:val="bottom"/>
            <w:gridSpan w:val="4"/>
          </w:tcPr>
          <w:p>
            <w:pPr>
              <w:spacing w:after="0"/>
              <w:rPr>
                <w:sz w:val="10"/>
                <w:szCs w:val="10"/>
                <w:color w:val="auto"/>
              </w:rPr>
            </w:pPr>
          </w:p>
        </w:tc>
      </w:tr>
      <w:tr>
        <w:trPr>
          <w:trHeight w:val="182"/>
        </w:trPr>
        <w:tc>
          <w:tcPr>
            <w:tcW w:w="920" w:type="dxa"/>
            <w:vAlign w:val="bottom"/>
          </w:tcPr>
          <w:p>
            <w:pPr>
              <w:jc w:val="center"/>
              <w:ind w:right="449"/>
              <w:spacing w:after="0"/>
              <w:rPr>
                <w:sz w:val="20"/>
                <w:szCs w:val="20"/>
                <w:color w:val="auto"/>
              </w:rPr>
            </w:pPr>
            <w:r>
              <w:rPr>
                <w:rFonts w:ascii="Times New Roman" w:cs="Times New Roman" w:eastAsia="Times New Roman" w:hAnsi="Times New Roman"/>
                <w:sz w:val="14"/>
                <w:szCs w:val="14"/>
                <w:color w:val="auto"/>
              </w:rPr>
              <w:t>10.12+</w:t>
            </w:r>
          </w:p>
        </w:tc>
        <w:tc>
          <w:tcPr>
            <w:tcW w:w="9920" w:type="dxa"/>
            <w:vAlign w:val="bottom"/>
            <w:gridSpan w:val="16"/>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Offer Letter between XPO Logistics Europe and Malcolm Wilson, dated as of May 14, 2021 (incorporated by reference to Exhibit 10.7 to the Company’s Registration</w:t>
              </w:r>
            </w:hyperlink>
          </w:p>
        </w:tc>
      </w:tr>
      <w:tr>
        <w:trPr>
          <w:trHeight w:val="139"/>
        </w:trPr>
        <w:tc>
          <w:tcPr>
            <w:tcW w:w="920" w:type="dxa"/>
            <w:vAlign w:val="bottom"/>
          </w:tcPr>
          <w:p>
            <w:pPr>
              <w:spacing w:after="0"/>
              <w:rPr>
                <w:sz w:val="12"/>
                <w:szCs w:val="12"/>
                <w:color w:val="auto"/>
              </w:rPr>
            </w:pPr>
          </w:p>
        </w:tc>
        <w:tc>
          <w:tcPr>
            <w:tcW w:w="5300" w:type="dxa"/>
            <w:vAlign w:val="bottom"/>
            <w:tcBorders>
              <w:top w:val="single" w:sz="8" w:color="0000FF"/>
              <w:bottom w:val="single" w:sz="8" w:color="0000FF"/>
            </w:tcBorders>
            <w:gridSpan w:val="4"/>
          </w:tcPr>
          <w:p>
            <w:pPr>
              <w:spacing w:after="0" w:line="139"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Statement on Form 10 (Commission file no. 001-40470) filed with the SEC on June 9, 2021).</w:t>
              </w:r>
            </w:hyperlink>
          </w:p>
        </w:tc>
        <w:tc>
          <w:tcPr>
            <w:tcW w:w="4100" w:type="dxa"/>
            <w:vAlign w:val="bottom"/>
            <w:tcBorders>
              <w:top w:val="single" w:sz="8" w:color="0000FF"/>
            </w:tcBorders>
            <w:gridSpan w:val="5"/>
          </w:tcPr>
          <w:p>
            <w:pPr>
              <w:spacing w:after="0"/>
              <w:rPr>
                <w:sz w:val="12"/>
                <w:szCs w:val="12"/>
                <w:color w:val="auto"/>
              </w:rPr>
            </w:pPr>
          </w:p>
        </w:tc>
        <w:tc>
          <w:tcPr>
            <w:tcW w:w="240" w:type="dxa"/>
            <w:vAlign w:val="bottom"/>
            <w:gridSpan w:val="2"/>
          </w:tcPr>
          <w:p>
            <w:pPr>
              <w:spacing w:after="0"/>
              <w:rPr>
                <w:sz w:val="12"/>
                <w:szCs w:val="12"/>
                <w:color w:val="auto"/>
              </w:rPr>
            </w:pPr>
          </w:p>
        </w:tc>
        <w:tc>
          <w:tcPr>
            <w:tcW w:w="280" w:type="dxa"/>
            <w:vAlign w:val="bottom"/>
            <w:gridSpan w:val="5"/>
          </w:tcPr>
          <w:p>
            <w:pPr>
              <w:spacing w:after="0"/>
              <w:rPr>
                <w:sz w:val="12"/>
                <w:szCs w:val="12"/>
                <w:color w:val="auto"/>
              </w:rPr>
            </w:pPr>
          </w:p>
        </w:tc>
      </w:tr>
      <w:tr>
        <w:trPr>
          <w:trHeight w:val="192"/>
        </w:trPr>
        <w:tc>
          <w:tcPr>
            <w:tcW w:w="920" w:type="dxa"/>
            <w:vAlign w:val="bottom"/>
          </w:tcPr>
          <w:p>
            <w:pPr>
              <w:jc w:val="center"/>
              <w:ind w:right="449"/>
              <w:spacing w:after="0"/>
              <w:rPr>
                <w:sz w:val="20"/>
                <w:szCs w:val="20"/>
                <w:color w:val="auto"/>
              </w:rPr>
            </w:pPr>
            <w:r>
              <w:rPr>
                <w:rFonts w:ascii="Times New Roman" w:cs="Times New Roman" w:eastAsia="Times New Roman" w:hAnsi="Times New Roman"/>
                <w:sz w:val="14"/>
                <w:szCs w:val="14"/>
                <w:color w:val="auto"/>
              </w:rPr>
              <w:t>10.13+</w:t>
            </w:r>
          </w:p>
        </w:tc>
        <w:tc>
          <w:tcPr>
            <w:tcW w:w="9920" w:type="dxa"/>
            <w:vAlign w:val="bottom"/>
            <w:gridSpan w:val="16"/>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Service Agreement between XPO Supply Chain UK Limited and Malcolm Wilson, dated as of May 14, 2021 (incorporated by reference to Exhibit 10.8 to the Company’s</w:t>
              </w:r>
            </w:hyperlink>
          </w:p>
        </w:tc>
      </w:tr>
      <w:tr>
        <w:trPr>
          <w:trHeight w:val="139"/>
        </w:trPr>
        <w:tc>
          <w:tcPr>
            <w:tcW w:w="920" w:type="dxa"/>
            <w:vAlign w:val="bottom"/>
          </w:tcPr>
          <w:p>
            <w:pPr>
              <w:spacing w:after="0"/>
              <w:rPr>
                <w:sz w:val="12"/>
                <w:szCs w:val="12"/>
                <w:color w:val="auto"/>
              </w:rPr>
            </w:pPr>
          </w:p>
        </w:tc>
        <w:tc>
          <w:tcPr>
            <w:tcW w:w="6020" w:type="dxa"/>
            <w:vAlign w:val="bottom"/>
            <w:tcBorders>
              <w:top w:val="single" w:sz="8" w:color="0000FF"/>
              <w:bottom w:val="single" w:sz="8" w:color="0000FF"/>
            </w:tcBorders>
            <w:gridSpan w:val="5"/>
          </w:tcPr>
          <w:p>
            <w:pPr>
              <w:spacing w:after="0" w:line="139"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Registration Statement on Form 10 (Commission file no. 001-40470) filed with the SEC on June 9, 2021).</w:t>
              </w:r>
            </w:hyperlink>
          </w:p>
        </w:tc>
        <w:tc>
          <w:tcPr>
            <w:tcW w:w="3620" w:type="dxa"/>
            <w:vAlign w:val="bottom"/>
            <w:tcBorders>
              <w:top w:val="single" w:sz="8" w:color="0000FF"/>
            </w:tcBorders>
            <w:gridSpan w:val="6"/>
          </w:tcPr>
          <w:p>
            <w:pPr>
              <w:spacing w:after="0"/>
              <w:rPr>
                <w:sz w:val="12"/>
                <w:szCs w:val="12"/>
                <w:color w:val="auto"/>
              </w:rPr>
            </w:pPr>
          </w:p>
        </w:tc>
        <w:tc>
          <w:tcPr>
            <w:tcW w:w="280" w:type="dxa"/>
            <w:vAlign w:val="bottom"/>
            <w:gridSpan w:val="5"/>
          </w:tcPr>
          <w:p>
            <w:pPr>
              <w:spacing w:after="0"/>
              <w:rPr>
                <w:sz w:val="12"/>
                <w:szCs w:val="12"/>
                <w:color w:val="auto"/>
              </w:rPr>
            </w:pPr>
          </w:p>
        </w:tc>
      </w:tr>
    </w:tbl>
    <w:p>
      <w:pPr>
        <w:spacing w:after="0" w:line="38" w:lineRule="exact"/>
        <w:rPr>
          <w:sz w:val="20"/>
          <w:szCs w:val="20"/>
          <w:color w:val="auto"/>
        </w:rPr>
      </w:pPr>
    </w:p>
    <w:p>
      <w:pPr>
        <w:sectPr>
          <w:pgSz w:w="11900" w:h="16838" w:orient="portrait"/>
          <w:cols w:equalWidth="0" w:num="1">
            <w:col w:w="10820"/>
          </w:cols>
          <w:pgMar w:left="720" w:top="1167" w:right="35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10.14+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10.16+</w:t>
      </w:r>
    </w:p>
    <w:p>
      <w:pPr>
        <w:spacing w:after="0" w:line="20" w:lineRule="exact"/>
        <w:rPr>
          <w:sz w:val="20"/>
          <w:szCs w:val="20"/>
          <w:color w:val="auto"/>
        </w:rPr>
      </w:pPr>
      <w:r>
        <w:rPr>
          <w:sz w:val="20"/>
          <w:szCs w:val="20"/>
          <w:color w:val="auto"/>
        </w:rPr>
        <w:br w:type="column"/>
      </w:r>
    </w:p>
    <w:p>
      <w:pPr>
        <w:ind w:right="120"/>
        <w:spacing w:after="0" w:line="271" w:lineRule="auto"/>
        <w:rPr>
          <w:rFonts w:ascii="Times New Roman" w:cs="Times New Roman" w:eastAsia="Times New Roman" w:hAnsi="Times New Roman"/>
          <w:sz w:val="14"/>
          <w:szCs w:val="14"/>
          <w:u w:val="single" w:color="auto"/>
          <w:color w:val="0000FF"/>
        </w:rPr>
      </w:pPr>
      <w:hyperlink r:id="rId133">
        <w:r>
          <w:rPr>
            <w:rFonts w:ascii="Times New Roman" w:cs="Times New Roman" w:eastAsia="Times New Roman" w:hAnsi="Times New Roman"/>
            <w:sz w:val="14"/>
            <w:szCs w:val="14"/>
            <w:u w:val="single" w:color="auto"/>
            <w:color w:val="0000FF"/>
          </w:rPr>
          <w:t>Offer Letter between XPO Logistics Europe and Maryclaire Hammond, dated as of May 14, 2021 (incorporated by reference to Exhibit 10.10 to the Company’s Registration</w:t>
        </w:r>
      </w:hyperlink>
      <w:r>
        <w:rPr>
          <w:rFonts w:ascii="Times New Roman" w:cs="Times New Roman" w:eastAsia="Times New Roman" w:hAnsi="Times New Roman"/>
          <w:sz w:val="14"/>
          <w:szCs w:val="14"/>
          <w:u w:val="single" w:color="auto"/>
          <w:color w:val="0000FF"/>
        </w:rPr>
        <w:t xml:space="preserve"> </w:t>
      </w:r>
      <w:hyperlink r:id="rId133">
        <w:r>
          <w:rPr>
            <w:rFonts w:ascii="Times New Roman" w:cs="Times New Roman" w:eastAsia="Times New Roman" w:hAnsi="Times New Roman"/>
            <w:sz w:val="14"/>
            <w:szCs w:val="14"/>
            <w:u w:val="single" w:color="auto"/>
            <w:color w:val="0000FF"/>
          </w:rPr>
          <w:t>Statement on Form 10 (Commission file no. 001-40470) filed with the SEC on June 9, 2021).</w:t>
        </w:r>
      </w:hyperlink>
    </w:p>
    <w:p>
      <w:pPr>
        <w:spacing w:after="0" w:line="8" w:lineRule="exact"/>
        <w:rPr>
          <w:sz w:val="20"/>
          <w:szCs w:val="20"/>
          <w:color w:val="auto"/>
        </w:rPr>
      </w:pPr>
    </w:p>
    <w:p>
      <w:pPr>
        <w:ind w:right="580"/>
        <w:spacing w:after="0" w:line="271" w:lineRule="auto"/>
        <w:rPr>
          <w:rFonts w:ascii="Times New Roman" w:cs="Times New Roman" w:eastAsia="Times New Roman" w:hAnsi="Times New Roman"/>
          <w:sz w:val="14"/>
          <w:szCs w:val="14"/>
          <w:u w:val="single" w:color="auto"/>
          <w:color w:val="0000FF"/>
        </w:rPr>
      </w:pPr>
      <w:hyperlink r:id="rId134">
        <w:r>
          <w:rPr>
            <w:rFonts w:ascii="Times New Roman" w:cs="Times New Roman" w:eastAsia="Times New Roman" w:hAnsi="Times New Roman"/>
            <w:sz w:val="14"/>
            <w:szCs w:val="14"/>
            <w:u w:val="single" w:color="auto"/>
            <w:color w:val="0000FF"/>
          </w:rPr>
          <w:t>Service Agreement between XPO Supply Chain UK Limited and Maryclaire Hammond, dated as of May 14, 2021 (incorporated by reference to Exhibit 10.11 to the</w:t>
        </w:r>
      </w:hyperlink>
      <w:r>
        <w:rPr>
          <w:rFonts w:ascii="Times New Roman" w:cs="Times New Roman" w:eastAsia="Times New Roman" w:hAnsi="Times New Roman"/>
          <w:sz w:val="14"/>
          <w:szCs w:val="14"/>
          <w:u w:val="single" w:color="auto"/>
          <w:color w:val="0000FF"/>
        </w:rPr>
        <w:t xml:space="preserve"> </w:t>
      </w:r>
      <w:hyperlink r:id="rId134">
        <w:r>
          <w:rPr>
            <w:rFonts w:ascii="Times New Roman" w:cs="Times New Roman" w:eastAsia="Times New Roman" w:hAnsi="Times New Roman"/>
            <w:sz w:val="14"/>
            <w:szCs w:val="14"/>
            <w:u w:val="single" w:color="auto"/>
            <w:color w:val="0000FF"/>
          </w:rPr>
          <w:t>Company’s Registration Statement on Form 10 (Commission file no. 001-40470) filed with the SEC on June 9, 2021).</w:t>
        </w:r>
      </w:hyperlink>
    </w:p>
    <w:p>
      <w:pPr>
        <w:spacing w:after="0" w:line="8" w:lineRule="exact"/>
        <w:rPr>
          <w:sz w:val="20"/>
          <w:szCs w:val="20"/>
          <w:color w:val="auto"/>
        </w:rPr>
      </w:pPr>
    </w:p>
    <w:p>
      <w:pPr>
        <w:ind w:right="240"/>
        <w:spacing w:after="0" w:line="268" w:lineRule="auto"/>
        <w:rPr>
          <w:rFonts w:ascii="Times New Roman" w:cs="Times New Roman" w:eastAsia="Times New Roman" w:hAnsi="Times New Roman"/>
          <w:sz w:val="14"/>
          <w:szCs w:val="14"/>
          <w:u w:val="single" w:color="auto"/>
          <w:color w:val="0000FF"/>
        </w:rPr>
      </w:pPr>
      <w:hyperlink r:id="rId135">
        <w:r>
          <w:rPr>
            <w:rFonts w:ascii="Times New Roman" w:cs="Times New Roman" w:eastAsia="Times New Roman" w:hAnsi="Times New Roman"/>
            <w:sz w:val="14"/>
            <w:szCs w:val="14"/>
            <w:u w:val="single" w:color="auto"/>
            <w:color w:val="0000FF"/>
          </w:rPr>
          <w:t>Pension Top Up Letter between XPO Logistics Europe and Maryclaire Hammond, dated as of May 14, 2021 (incorporated by reference to Exhibit 10.12 to the Company’s</w:t>
        </w:r>
      </w:hyperlink>
      <w:r>
        <w:rPr>
          <w:rFonts w:ascii="Times New Roman" w:cs="Times New Roman" w:eastAsia="Times New Roman" w:hAnsi="Times New Roman"/>
          <w:sz w:val="14"/>
          <w:szCs w:val="14"/>
          <w:u w:val="single" w:color="auto"/>
          <w:color w:val="0000FF"/>
        </w:rPr>
        <w:t xml:space="preserve"> </w:t>
      </w:r>
      <w:hyperlink r:id="rId135">
        <w:r>
          <w:rPr>
            <w:rFonts w:ascii="Times New Roman" w:cs="Times New Roman" w:eastAsia="Times New Roman" w:hAnsi="Times New Roman"/>
            <w:sz w:val="14"/>
            <w:szCs w:val="14"/>
            <w:u w:val="single" w:color="auto"/>
            <w:color w:val="0000FF"/>
          </w:rPr>
          <w:t>Amendment No. 3 to the Registration Statement on Form 10 (Commission file no. 001-40470) filed with the SEC on July 7, 2021).</w:t>
        </w:r>
      </w:hyperlink>
    </w:p>
    <w:p>
      <w:pPr>
        <w:spacing w:after="0" w:line="1" w:lineRule="exact"/>
        <w:rPr>
          <w:sz w:val="20"/>
          <w:szCs w:val="20"/>
          <w:color w:val="auto"/>
        </w:rPr>
      </w:pPr>
    </w:p>
    <w:p>
      <w:pPr>
        <w:sectPr>
          <w:pgSz w:w="11900" w:h="16838" w:orient="portrait"/>
          <w:cols w:equalWidth="0" w:num="2">
            <w:col w:w="400" w:space="520"/>
            <w:col w:w="9900"/>
          </w:cols>
          <w:pgMar w:left="720" w:top="1167"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92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96"/>
              </w:rPr>
              <w:t>10.17+</w:t>
            </w:r>
          </w:p>
        </w:tc>
        <w:tc>
          <w:tcPr>
            <w:tcW w:w="9880" w:type="dxa"/>
            <w:vAlign w:val="bottom"/>
            <w:gridSpan w:val="7"/>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Settlement Agreement, dated as of November 7, 2023, by and between GXO Logistics UK Limited and Maryclaire Hammond, (incorporated by reference to Exhibit 10.1 to</w:t>
              </w:r>
            </w:hyperlink>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9740" w:type="dxa"/>
            <w:vAlign w:val="bottom"/>
            <w:tcBorders>
              <w:top w:val="single" w:sz="8" w:color="0000FF"/>
            </w:tcBorders>
            <w:gridSpan w:val="5"/>
          </w:tcPr>
          <w:p>
            <w:pPr>
              <w:spacing w:after="0" w:line="139" w:lineRule="exact"/>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the Company’s Quarterly Report on Form 10-Q (Commission file no. 001-40470) filed with the SEC on November 8, 2023).</w:t>
              </w:r>
            </w:hyperlink>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jc w:val="right"/>
              <w:ind w:right="449"/>
              <w:spacing w:after="0"/>
              <w:rPr>
                <w:sz w:val="20"/>
                <w:szCs w:val="20"/>
                <w:color w:val="auto"/>
              </w:rPr>
            </w:pPr>
            <w:r>
              <w:rPr>
                <w:rFonts w:ascii="Times New Roman" w:cs="Times New Roman" w:eastAsia="Times New Roman" w:hAnsi="Times New Roman"/>
                <w:sz w:val="14"/>
                <w:szCs w:val="14"/>
                <w:color w:val="auto"/>
                <w:w w:val="96"/>
              </w:rPr>
              <w:t>10.18+</w:t>
            </w:r>
          </w:p>
        </w:tc>
        <w:tc>
          <w:tcPr>
            <w:tcW w:w="60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vMerge w:val="continue"/>
          </w:tcPr>
          <w:p>
            <w:pPr>
              <w:spacing w:after="0"/>
              <w:rPr>
                <w:sz w:val="16"/>
                <w:szCs w:val="16"/>
                <w:color w:val="auto"/>
              </w:rPr>
            </w:pPr>
          </w:p>
        </w:tc>
        <w:tc>
          <w:tcPr>
            <w:tcW w:w="9880" w:type="dxa"/>
            <w:vAlign w:val="bottom"/>
            <w:gridSpan w:val="7"/>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Offer Letter between XPO Logistics Europe and Karlis Kirsis, dated as of July 9, 2021 (incorporated by reference to Exhibit 10.16 to the Company’s Amendment No. 4 to the</w:t>
              </w:r>
            </w:hyperlink>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9860" w:type="dxa"/>
            <w:vAlign w:val="bottom"/>
            <w:tcBorders>
              <w:top w:val="single" w:sz="8" w:color="0000FF"/>
            </w:tcBorders>
            <w:gridSpan w:val="6"/>
          </w:tcPr>
          <w:p>
            <w:pPr>
              <w:spacing w:after="0" w:line="139"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Registration Statement on Form 10 (Commission file no. 001-40470) filed with the SEC on July 15, 2021)</w:t>
              </w:r>
              <w:r>
                <w:rPr>
                  <w:rFonts w:ascii="Times New Roman" w:cs="Times New Roman" w:eastAsia="Times New Roman" w:hAnsi="Times New Roman"/>
                  <w:sz w:val="14"/>
                  <w:szCs w:val="14"/>
                  <w:color w:val="000000"/>
                </w:rPr>
                <w:t>.</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jc w:val="right"/>
              <w:ind w:right="449"/>
              <w:spacing w:after="0"/>
              <w:rPr>
                <w:sz w:val="20"/>
                <w:szCs w:val="20"/>
                <w:color w:val="auto"/>
              </w:rPr>
            </w:pPr>
            <w:r>
              <w:rPr>
                <w:rFonts w:ascii="Times New Roman" w:cs="Times New Roman" w:eastAsia="Times New Roman" w:hAnsi="Times New Roman"/>
                <w:sz w:val="14"/>
                <w:szCs w:val="14"/>
                <w:color w:val="auto"/>
                <w:w w:val="96"/>
              </w:rPr>
              <w:t>10.19+</w:t>
            </w:r>
          </w:p>
        </w:tc>
        <w:tc>
          <w:tcPr>
            <w:tcW w:w="6040" w:type="dxa"/>
            <w:vAlign w:val="bottom"/>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vMerge w:val="continue"/>
          </w:tcPr>
          <w:p>
            <w:pPr>
              <w:spacing w:after="0"/>
              <w:rPr>
                <w:sz w:val="16"/>
                <w:szCs w:val="16"/>
                <w:color w:val="auto"/>
              </w:rPr>
            </w:pPr>
          </w:p>
        </w:tc>
        <w:tc>
          <w:tcPr>
            <w:tcW w:w="9880" w:type="dxa"/>
            <w:vAlign w:val="bottom"/>
            <w:gridSpan w:val="7"/>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Service Agreement between XPO Supply Chain UK Limited and Karlis Kirsis, dated as of July 9, 2021 (incorporated by reference to Exhibit 10.14 to the Company’s</w:t>
              </w:r>
            </w:hyperlink>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9380" w:type="dxa"/>
            <w:vAlign w:val="bottom"/>
            <w:tcBorders>
              <w:top w:val="single" w:sz="8" w:color="0000FF"/>
            </w:tcBorders>
            <w:gridSpan w:val="4"/>
          </w:tcPr>
          <w:p>
            <w:pPr>
              <w:spacing w:after="0" w:line="139" w:lineRule="exact"/>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Amendment No. 4 to the Registration Statement on Form 10 (Commission file no. 001-40470) filed with the SEC on July 15, 2021).</w:t>
              </w:r>
            </w:hyperlink>
          </w:p>
        </w:tc>
        <w:tc>
          <w:tcPr>
            <w:tcW w:w="5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sectPr>
          <w:pgSz w:w="11900" w:h="16838" w:orient="portrait"/>
          <w:cols w:equalWidth="0" w:num="1">
            <w:col w:w="10820"/>
          </w:cols>
          <w:pgMar w:left="720" w:top="1167"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10.20+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10.22+</w:t>
      </w:r>
    </w:p>
    <w:p>
      <w:pPr>
        <w:spacing w:after="0" w:line="20" w:lineRule="exact"/>
        <w:rPr>
          <w:sz w:val="20"/>
          <w:szCs w:val="20"/>
          <w:color w:val="auto"/>
        </w:rPr>
      </w:pPr>
      <w:r>
        <w:rPr>
          <w:sz w:val="20"/>
          <w:szCs w:val="20"/>
          <w:color w:val="auto"/>
        </w:rPr>
        <w:br w:type="column"/>
      </w:r>
    </w:p>
    <w:p>
      <w:pPr>
        <w:ind w:right="120"/>
        <w:spacing w:after="0" w:line="271" w:lineRule="auto"/>
        <w:rPr>
          <w:rFonts w:ascii="Times New Roman" w:cs="Times New Roman" w:eastAsia="Times New Roman" w:hAnsi="Times New Roman"/>
          <w:sz w:val="14"/>
          <w:szCs w:val="14"/>
          <w:u w:val="single" w:color="auto"/>
          <w:color w:val="0000FF"/>
        </w:rPr>
      </w:pPr>
      <w:hyperlink r:id="rId139">
        <w:r>
          <w:rPr>
            <w:rFonts w:ascii="Times New Roman" w:cs="Times New Roman" w:eastAsia="Times New Roman" w:hAnsi="Times New Roman"/>
            <w:sz w:val="14"/>
            <w:szCs w:val="14"/>
            <w:u w:val="single" w:color="auto"/>
            <w:color w:val="0000FF"/>
          </w:rPr>
          <w:t>Pension Top Up Letter between XPO Logistics Europe and Karlis Kirsis, dated as of July 9, 2021 (incorporated by reference to Exhibit 10.15 to the Company’s Amendment</w:t>
        </w:r>
      </w:hyperlink>
      <w:r>
        <w:rPr>
          <w:rFonts w:ascii="Times New Roman" w:cs="Times New Roman" w:eastAsia="Times New Roman" w:hAnsi="Times New Roman"/>
          <w:sz w:val="14"/>
          <w:szCs w:val="14"/>
          <w:u w:val="single" w:color="auto"/>
          <w:color w:val="0000FF"/>
        </w:rPr>
        <w:t xml:space="preserve"> </w:t>
      </w:r>
      <w:hyperlink r:id="rId139">
        <w:r>
          <w:rPr>
            <w:rFonts w:ascii="Times New Roman" w:cs="Times New Roman" w:eastAsia="Times New Roman" w:hAnsi="Times New Roman"/>
            <w:sz w:val="14"/>
            <w:szCs w:val="14"/>
            <w:u w:val="single" w:color="auto"/>
            <w:color w:val="0000FF"/>
          </w:rPr>
          <w:t>No. 4 to the Registration Statement on Form 10 (Commission file no. 001-40470) filed with the SEC on July 15, 2021).</w:t>
        </w:r>
      </w:hyperlink>
    </w:p>
    <w:p>
      <w:pPr>
        <w:spacing w:after="0" w:line="8" w:lineRule="exact"/>
        <w:rPr>
          <w:sz w:val="20"/>
          <w:szCs w:val="20"/>
          <w:color w:val="auto"/>
        </w:rPr>
      </w:pPr>
    </w:p>
    <w:p>
      <w:pPr>
        <w:ind w:right="160"/>
        <w:spacing w:after="0" w:line="268" w:lineRule="auto"/>
        <w:rPr>
          <w:rFonts w:ascii="Times New Roman" w:cs="Times New Roman" w:eastAsia="Times New Roman" w:hAnsi="Times New Roman"/>
          <w:sz w:val="14"/>
          <w:szCs w:val="14"/>
          <w:u w:val="single" w:color="auto"/>
          <w:color w:val="0000FF"/>
        </w:rPr>
      </w:pPr>
      <w:hyperlink r:id="rId140">
        <w:r>
          <w:rPr>
            <w:rFonts w:ascii="Times New Roman" w:cs="Times New Roman" w:eastAsia="Times New Roman" w:hAnsi="Times New Roman"/>
            <w:sz w:val="14"/>
            <w:szCs w:val="14"/>
            <w:u w:val="single" w:color="auto"/>
            <w:color w:val="0000FF"/>
          </w:rPr>
          <w:t>Offer Letter between XPO Logistics, Inc. and Baris Oran, dated as of April 20, 2021 (incorporated by reference to Exhibit 10.9 to the Company’s Registration Statement on</w:t>
        </w:r>
      </w:hyperlink>
      <w:r>
        <w:rPr>
          <w:rFonts w:ascii="Times New Roman" w:cs="Times New Roman" w:eastAsia="Times New Roman" w:hAnsi="Times New Roman"/>
          <w:sz w:val="14"/>
          <w:szCs w:val="14"/>
          <w:u w:val="single" w:color="auto"/>
          <w:color w:val="0000FF"/>
        </w:rPr>
        <w:t xml:space="preserve"> </w:t>
      </w:r>
      <w:hyperlink r:id="rId140">
        <w:r>
          <w:rPr>
            <w:rFonts w:ascii="Times New Roman" w:cs="Times New Roman" w:eastAsia="Times New Roman" w:hAnsi="Times New Roman"/>
            <w:sz w:val="14"/>
            <w:szCs w:val="14"/>
            <w:u w:val="single" w:color="auto"/>
            <w:color w:val="0000FF"/>
          </w:rPr>
          <w:t>Form 10 (Commission file no. 001-40470) filed with the SEC on June 9, 2021).</w:t>
        </w:r>
      </w:hyperlink>
    </w:p>
    <w:p>
      <w:pPr>
        <w:spacing w:after="0" w:line="1" w:lineRule="exact"/>
        <w:rPr>
          <w:sz w:val="20"/>
          <w:szCs w:val="20"/>
          <w:color w:val="auto"/>
        </w:rPr>
      </w:pPr>
    </w:p>
    <w:p>
      <w:pPr>
        <w:ind w:right="40"/>
        <w:spacing w:after="0" w:line="271" w:lineRule="auto"/>
        <w:rPr>
          <w:rFonts w:ascii="Times New Roman" w:cs="Times New Roman" w:eastAsia="Times New Roman" w:hAnsi="Times New Roman"/>
          <w:sz w:val="14"/>
          <w:szCs w:val="14"/>
          <w:u w:val="single" w:color="auto"/>
          <w:color w:val="0000FF"/>
        </w:rPr>
      </w:pPr>
      <w:hyperlink r:id="rId141">
        <w:r>
          <w:rPr>
            <w:rFonts w:ascii="Times New Roman" w:cs="Times New Roman" w:eastAsia="Times New Roman" w:hAnsi="Times New Roman"/>
            <w:sz w:val="14"/>
            <w:szCs w:val="14"/>
            <w:u w:val="single" w:color="auto"/>
            <w:color w:val="0000FF"/>
          </w:rPr>
          <w:t>Offer Letter between GXO Logistics, Inc. and Elizabeth Fogarty, dated as of October 22, 2021 (incorporated by reference to Exhibit 10.14 to the Company’s Quarterly Report</w:t>
        </w:r>
      </w:hyperlink>
      <w:r>
        <w:rPr>
          <w:rFonts w:ascii="Times New Roman" w:cs="Times New Roman" w:eastAsia="Times New Roman" w:hAnsi="Times New Roman"/>
          <w:sz w:val="14"/>
          <w:szCs w:val="14"/>
          <w:u w:val="single" w:color="auto"/>
          <w:color w:val="0000FF"/>
        </w:rPr>
        <w:t xml:space="preserve"> </w:t>
      </w:r>
      <w:hyperlink r:id="rId141">
        <w:r>
          <w:rPr>
            <w:rFonts w:ascii="Times New Roman" w:cs="Times New Roman" w:eastAsia="Times New Roman" w:hAnsi="Times New Roman"/>
            <w:sz w:val="14"/>
            <w:szCs w:val="14"/>
            <w:u w:val="single" w:color="auto"/>
            <w:color w:val="0000FF"/>
          </w:rPr>
          <w:t>on Form 10-Q (Commission file no. 001-40470) filed with the SEC on November 2, 2021).</w:t>
        </w:r>
      </w:hyperlink>
    </w:p>
    <w:p>
      <w:pPr>
        <w:spacing w:after="0" w:line="200" w:lineRule="exact"/>
        <w:rPr>
          <w:sz w:val="20"/>
          <w:szCs w:val="20"/>
          <w:color w:val="auto"/>
        </w:rPr>
      </w:pPr>
    </w:p>
    <w:p>
      <w:pPr>
        <w:sectPr>
          <w:pgSz w:w="11900" w:h="16838" w:orient="portrait"/>
          <w:cols w:equalWidth="0" w:num="2">
            <w:col w:w="400" w:space="520"/>
            <w:col w:w="9900"/>
          </w:cols>
          <w:pgMar w:left="720" w:top="116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20"/>
          </w:cols>
          <w:pgMar w:left="720" w:top="1167" w:right="35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161"/>
        </w:trPr>
        <w:tc>
          <w:tcPr>
            <w:tcW w:w="102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w w:val="99"/>
              </w:rPr>
              <w:t>10.23*+</w:t>
            </w:r>
          </w:p>
        </w:tc>
        <w:tc>
          <w:tcPr>
            <w:tcW w:w="58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Offer Letter between XPO Supply Chain UK Limited and Richard Cawston, dated as of July 14, 2021.</w:t>
            </w:r>
          </w:p>
        </w:tc>
        <w:tc>
          <w:tcPr>
            <w:tcW w:w="4160" w:type="dxa"/>
            <w:vAlign w:val="bottom"/>
            <w:gridSpan w:val="14"/>
          </w:tcPr>
          <w:p>
            <w:pPr>
              <w:spacing w:after="0"/>
              <w:rPr>
                <w:sz w:val="13"/>
                <w:szCs w:val="13"/>
                <w:color w:val="auto"/>
              </w:rPr>
            </w:pPr>
          </w:p>
        </w:tc>
      </w:tr>
      <w:tr>
        <w:trPr>
          <w:trHeight w:val="160"/>
        </w:trPr>
        <w:tc>
          <w:tcPr>
            <w:tcW w:w="102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w w:val="99"/>
              </w:rPr>
              <w:t>10.24*+</w:t>
            </w:r>
          </w:p>
        </w:tc>
        <w:tc>
          <w:tcPr>
            <w:tcW w:w="99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Service Agreement between XPO Supply Chain UK Limited and Richard Cawston, dated as of July 12, 2021.</w:t>
            </w: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10.25</w:t>
            </w:r>
          </w:p>
        </w:tc>
        <w:tc>
          <w:tcPr>
            <w:tcW w:w="9980" w:type="dxa"/>
            <w:vAlign w:val="bottom"/>
            <w:gridSpan w:val="24"/>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Credit Agreement, dated as of June 23, 2021, by and among GXO Logistics, Inc., the lenders and other parties from time to time party thereto, and Citibank, N.A., as</w:t>
              </w:r>
            </w:hyperlink>
          </w:p>
        </w:tc>
      </w:tr>
      <w:tr>
        <w:trPr>
          <w:trHeight w:val="118"/>
        </w:trPr>
        <w:tc>
          <w:tcPr>
            <w:tcW w:w="1020" w:type="dxa"/>
            <w:vAlign w:val="bottom"/>
          </w:tcPr>
          <w:p>
            <w:pPr>
              <w:spacing w:after="0"/>
              <w:rPr>
                <w:sz w:val="10"/>
                <w:szCs w:val="10"/>
                <w:color w:val="auto"/>
              </w:rPr>
            </w:pPr>
          </w:p>
        </w:tc>
        <w:tc>
          <w:tcPr>
            <w:tcW w:w="9360" w:type="dxa"/>
            <w:vAlign w:val="bottom"/>
            <w:tcBorders>
              <w:top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Administrative Agent and an Issuing Lender (incorporated by reference to Exhibit 10.13 to the Company’s Amendment No. 3 to the Registration Statement on Form</w:t>
              </w:r>
            </w:hyperlink>
          </w:p>
        </w:tc>
        <w:tc>
          <w:tcPr>
            <w:tcW w:w="220" w:type="dxa"/>
            <w:vAlign w:val="bottom"/>
            <w:gridSpan w:val="2"/>
          </w:tcPr>
          <w:p>
            <w:pPr>
              <w:jc w:val="right"/>
              <w:ind w:right="80"/>
              <w:spacing w:after="0" w:line="118" w:lineRule="exact"/>
              <w:rPr>
                <w:rFonts w:ascii="Times New Roman" w:cs="Times New Roman" w:eastAsia="Times New Roman" w:hAnsi="Times New Roman"/>
                <w:sz w:val="13"/>
                <w:szCs w:val="13"/>
                <w:color w:val="0000FF"/>
                <w:w w:val="91"/>
              </w:rPr>
            </w:pPr>
            <w:hyperlink r:id="rId143">
              <w:r>
                <w:rPr>
                  <w:rFonts w:ascii="Times New Roman" w:cs="Times New Roman" w:eastAsia="Times New Roman" w:hAnsi="Times New Roman"/>
                  <w:sz w:val="13"/>
                  <w:szCs w:val="13"/>
                  <w:color w:val="0000FF"/>
                  <w:w w:val="91"/>
                </w:rPr>
                <w:t>10</w:t>
              </w:r>
            </w:hyperlink>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9"/>
        </w:trPr>
        <w:tc>
          <w:tcPr>
            <w:tcW w:w="1020" w:type="dxa"/>
            <w:vAlign w:val="bottom"/>
          </w:tcPr>
          <w:p>
            <w:pPr>
              <w:spacing w:after="0"/>
              <w:rPr>
                <w:sz w:val="11"/>
                <w:szCs w:val="11"/>
                <w:color w:val="auto"/>
              </w:rPr>
            </w:pPr>
          </w:p>
        </w:tc>
        <w:tc>
          <w:tcPr>
            <w:tcW w:w="3980" w:type="dxa"/>
            <w:vAlign w:val="bottom"/>
            <w:tcBorders>
              <w:top w:val="single" w:sz="8" w:color="0000FF"/>
              <w:bottom w:val="single" w:sz="8" w:color="0000FF"/>
            </w:tcBorders>
            <w:gridSpan w:val="9"/>
          </w:tcPr>
          <w:p>
            <w:pPr>
              <w:spacing w:after="0" w:line="129" w:lineRule="exact"/>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(Commission file no. 001-40470) filed with the SEC on July 7, 2021).</w:t>
              </w:r>
            </w:hyperlink>
          </w:p>
        </w:tc>
        <w:tc>
          <w:tcPr>
            <w:tcW w:w="5520" w:type="dxa"/>
            <w:vAlign w:val="bottom"/>
            <w:tcBorders>
              <w:top w:val="single" w:sz="8" w:color="0000FF"/>
            </w:tcBorders>
            <w:gridSpan w:val="4"/>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10.26</w:t>
            </w:r>
          </w:p>
        </w:tc>
        <w:tc>
          <w:tcPr>
            <w:tcW w:w="9980" w:type="dxa"/>
            <w:vAlign w:val="bottom"/>
            <w:gridSpan w:val="24"/>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Amendment No. 1 to Credit Agreement, dated as of March 9, 2023, by and among GXO Logistics, Inc., the lenders and other parties from time to time party thereto, and</w:t>
              </w:r>
            </w:hyperlink>
          </w:p>
        </w:tc>
      </w:tr>
      <w:tr>
        <w:trPr>
          <w:trHeight w:val="118"/>
        </w:trPr>
        <w:tc>
          <w:tcPr>
            <w:tcW w:w="1020" w:type="dxa"/>
            <w:vAlign w:val="bottom"/>
          </w:tcPr>
          <w:p>
            <w:pPr>
              <w:spacing w:after="0"/>
              <w:rPr>
                <w:sz w:val="10"/>
                <w:szCs w:val="10"/>
                <w:color w:val="auto"/>
              </w:rPr>
            </w:pPr>
          </w:p>
        </w:tc>
        <w:tc>
          <w:tcPr>
            <w:tcW w:w="9580" w:type="dxa"/>
            <w:vAlign w:val="bottom"/>
            <w:tcBorders>
              <w:top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Citibank, N.A., as Administrative Agent (incorporated by reference to Exhibit 10.1 of the Company’s Current Report on Form 8-K (Commission file no. 001-40470) filed</w:t>
              </w:r>
            </w:hyperlink>
          </w:p>
        </w:tc>
        <w:tc>
          <w:tcPr>
            <w:tcW w:w="20" w:type="dxa"/>
            <w:vAlign w:val="bottom"/>
          </w:tcPr>
          <w:p>
            <w:pPr>
              <w:spacing w:after="0"/>
              <w:rPr>
                <w:sz w:val="10"/>
                <w:szCs w:val="10"/>
                <w:color w:val="auto"/>
              </w:rPr>
            </w:pPr>
          </w:p>
        </w:tc>
        <w:tc>
          <w:tcPr>
            <w:tcW w:w="380" w:type="dxa"/>
            <w:vAlign w:val="bottom"/>
            <w:gridSpan w:val="9"/>
          </w:tcPr>
          <w:p>
            <w:pPr>
              <w:ind w:left="60"/>
              <w:spacing w:after="0" w:line="118"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with</w:t>
              </w:r>
            </w:hyperlink>
          </w:p>
        </w:tc>
      </w:tr>
      <w:tr>
        <w:trPr>
          <w:trHeight w:val="129"/>
        </w:trPr>
        <w:tc>
          <w:tcPr>
            <w:tcW w:w="1020" w:type="dxa"/>
            <w:vAlign w:val="bottom"/>
          </w:tcPr>
          <w:p>
            <w:pPr>
              <w:spacing w:after="0"/>
              <w:rPr>
                <w:sz w:val="11"/>
                <w:szCs w:val="11"/>
                <w:color w:val="auto"/>
              </w:rPr>
            </w:pPr>
          </w:p>
        </w:tc>
        <w:tc>
          <w:tcPr>
            <w:tcW w:w="1680" w:type="dxa"/>
            <w:vAlign w:val="bottom"/>
            <w:tcBorders>
              <w:top w:val="single" w:sz="8" w:color="0000FF"/>
              <w:bottom w:val="single" w:sz="8" w:color="0000FF"/>
            </w:tcBorders>
            <w:gridSpan w:val="4"/>
          </w:tcPr>
          <w:p>
            <w:pPr>
              <w:spacing w:after="0" w:line="129" w:lineRule="exact"/>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the SEC on March 10, 2023).</w:t>
              </w:r>
            </w:hyperlink>
          </w:p>
        </w:tc>
        <w:tc>
          <w:tcPr>
            <w:tcW w:w="8260" w:type="dxa"/>
            <w:vAlign w:val="bottom"/>
            <w:tcBorders>
              <w:top w:val="single" w:sz="8" w:color="0000FF"/>
            </w:tcBorders>
            <w:gridSpan w:val="1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10.27</w:t>
            </w:r>
          </w:p>
        </w:tc>
        <w:tc>
          <w:tcPr>
            <w:tcW w:w="9980" w:type="dxa"/>
            <w:vAlign w:val="bottom"/>
            <w:gridSpan w:val="24"/>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Term Loan Credit Agreement, dated as of March 22, 2022, by and among GXO Logistics, Inc., the lenders and other parties from time to time party thereto, and Barclays</w:t>
              </w:r>
            </w:hyperlink>
          </w:p>
        </w:tc>
      </w:tr>
      <w:tr>
        <w:trPr>
          <w:trHeight w:val="118"/>
        </w:trPr>
        <w:tc>
          <w:tcPr>
            <w:tcW w:w="1020" w:type="dxa"/>
            <w:vAlign w:val="bottom"/>
          </w:tcPr>
          <w:p>
            <w:pPr>
              <w:spacing w:after="0"/>
              <w:rPr>
                <w:sz w:val="10"/>
                <w:szCs w:val="10"/>
                <w:color w:val="auto"/>
              </w:rPr>
            </w:pPr>
          </w:p>
        </w:tc>
        <w:tc>
          <w:tcPr>
            <w:tcW w:w="9600" w:type="dxa"/>
            <w:vAlign w:val="bottom"/>
            <w:tcBorders>
              <w:top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Bank plc, as Administrative Agent (incorporated by reference to Exhibit 10.1 of the Company’s Current Report on Form 8-K (Commission file no. 001-40470) filed with</w:t>
              </w:r>
            </w:hyperlink>
          </w:p>
        </w:tc>
        <w:tc>
          <w:tcPr>
            <w:tcW w:w="380" w:type="dxa"/>
            <w:vAlign w:val="bottom"/>
            <w:gridSpan w:val="9"/>
          </w:tcPr>
          <w:p>
            <w:pPr>
              <w:ind w:left="20"/>
              <w:spacing w:after="0" w:line="118" w:lineRule="exact"/>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the</w:t>
              </w:r>
            </w:hyperlink>
          </w:p>
        </w:tc>
      </w:tr>
      <w:tr>
        <w:trPr>
          <w:trHeight w:val="129"/>
        </w:trPr>
        <w:tc>
          <w:tcPr>
            <w:tcW w:w="1020" w:type="dxa"/>
            <w:vAlign w:val="bottom"/>
          </w:tcPr>
          <w:p>
            <w:pPr>
              <w:spacing w:after="0"/>
              <w:rPr>
                <w:sz w:val="11"/>
                <w:szCs w:val="11"/>
                <w:color w:val="auto"/>
              </w:rPr>
            </w:pPr>
          </w:p>
        </w:tc>
        <w:tc>
          <w:tcPr>
            <w:tcW w:w="1460" w:type="dxa"/>
            <w:vAlign w:val="bottom"/>
            <w:tcBorders>
              <w:top w:val="single" w:sz="8" w:color="0000FF"/>
              <w:bottom w:val="single" w:sz="8" w:color="0000FF"/>
            </w:tcBorders>
            <w:gridSpan w:val="2"/>
          </w:tcPr>
          <w:p>
            <w:pPr>
              <w:spacing w:after="0" w:line="129"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SEC on March 23, 2022).</w:t>
              </w:r>
            </w:hyperlink>
          </w:p>
        </w:tc>
        <w:tc>
          <w:tcPr>
            <w:tcW w:w="8340" w:type="dxa"/>
            <w:vAlign w:val="bottom"/>
            <w:tcBorders>
              <w:top w:val="single" w:sz="8" w:color="0000FF"/>
            </w:tcBorders>
            <w:gridSpan w:val="1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102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rPr>
              <w:t>10.28***</w:t>
            </w:r>
          </w:p>
        </w:tc>
        <w:tc>
          <w:tcPr>
            <w:tcW w:w="9980" w:type="dxa"/>
            <w:vAlign w:val="bottom"/>
            <w:gridSpan w:val="24"/>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Term Loan Credit Agreement, dated as of May 25, 2022, by and among the Company, the lenders and other parties from time to time party thereto, and Barclays Bank plc, as</w:t>
              </w:r>
            </w:hyperlink>
          </w:p>
        </w:tc>
      </w:tr>
      <w:tr>
        <w:trPr>
          <w:trHeight w:val="118"/>
        </w:trPr>
        <w:tc>
          <w:tcPr>
            <w:tcW w:w="1020" w:type="dxa"/>
            <w:vAlign w:val="bottom"/>
          </w:tcPr>
          <w:p>
            <w:pPr>
              <w:spacing w:after="0"/>
              <w:rPr>
                <w:sz w:val="10"/>
                <w:szCs w:val="10"/>
                <w:color w:val="auto"/>
              </w:rPr>
            </w:pPr>
          </w:p>
        </w:tc>
        <w:tc>
          <w:tcPr>
            <w:tcW w:w="9820" w:type="dxa"/>
            <w:vAlign w:val="bottom"/>
            <w:tcBorders>
              <w:top w:val="single" w:sz="8" w:color="0000FF"/>
              <w:bottom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Administrative Agent (incorporated by reference to Exhibit 10.1 of the Company’s Current Report on Form 8-K (Commission file no. 001-40470) filed with the SEC on May</w:t>
              </w:r>
            </w:hyperlink>
          </w:p>
        </w:tc>
        <w:tc>
          <w:tcPr>
            <w:tcW w:w="20" w:type="dxa"/>
            <w:vAlign w:val="bottom"/>
            <w:tcBorders>
              <w:bottom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129"/>
        </w:trPr>
        <w:tc>
          <w:tcPr>
            <w:tcW w:w="1020" w:type="dxa"/>
            <w:vAlign w:val="bottom"/>
          </w:tcPr>
          <w:p>
            <w:pPr>
              <w:spacing w:after="0"/>
              <w:rPr>
                <w:sz w:val="11"/>
                <w:szCs w:val="11"/>
                <w:color w:val="auto"/>
              </w:rPr>
            </w:pPr>
          </w:p>
        </w:tc>
        <w:tc>
          <w:tcPr>
            <w:tcW w:w="580" w:type="dxa"/>
            <w:vAlign w:val="bottom"/>
            <w:tcBorders>
              <w:bottom w:val="single" w:sz="8" w:color="0000FF"/>
            </w:tcBorders>
          </w:tcPr>
          <w:p>
            <w:pPr>
              <w:spacing w:after="0" w:line="129" w:lineRule="exact"/>
              <w:rPr>
                <w:rFonts w:ascii="Times New Roman" w:cs="Times New Roman" w:eastAsia="Times New Roman" w:hAnsi="Times New Roman"/>
                <w:sz w:val="14"/>
                <w:szCs w:val="14"/>
                <w:color w:val="0000FF"/>
                <w:w w:val="97"/>
              </w:rPr>
            </w:pPr>
            <w:hyperlink r:id="rId146">
              <w:r>
                <w:rPr>
                  <w:rFonts w:ascii="Times New Roman" w:cs="Times New Roman" w:eastAsia="Times New Roman" w:hAnsi="Times New Roman"/>
                  <w:sz w:val="14"/>
                  <w:szCs w:val="14"/>
                  <w:color w:val="0000FF"/>
                  <w:w w:val="97"/>
                </w:rPr>
                <w:t>26, 2022).</w:t>
              </w:r>
            </w:hyperlink>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21.1*</w:t>
            </w:r>
          </w:p>
        </w:tc>
        <w:tc>
          <w:tcPr>
            <w:tcW w:w="99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Subsidiaries of the registrant.</w:t>
            </w:r>
          </w:p>
        </w:tc>
      </w:tr>
      <w:tr>
        <w:trPr>
          <w:trHeight w:val="20"/>
        </w:trPr>
        <w:tc>
          <w:tcPr>
            <w:tcW w:w="1020" w:type="dxa"/>
            <w:vAlign w:val="bottom"/>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23.1*</w:t>
            </w:r>
          </w:p>
        </w:tc>
        <w:tc>
          <w:tcPr>
            <w:tcW w:w="34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Consent of Independent Registered Public Accounting Firm.</w:t>
            </w:r>
          </w:p>
        </w:tc>
        <w:tc>
          <w:tcPr>
            <w:tcW w:w="6540" w:type="dxa"/>
            <w:vAlign w:val="bottom"/>
            <w:gridSpan w:val="17"/>
          </w:tcPr>
          <w:p>
            <w:pPr>
              <w:spacing w:after="0"/>
              <w:rPr>
                <w:sz w:val="13"/>
                <w:szCs w:val="13"/>
                <w:color w:val="auto"/>
              </w:rPr>
            </w:pPr>
          </w:p>
        </w:tc>
      </w:tr>
      <w:tr>
        <w:trPr>
          <w:trHeight w:val="160"/>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31.1*</w:t>
            </w:r>
          </w:p>
        </w:tc>
        <w:tc>
          <w:tcPr>
            <w:tcW w:w="99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Certification of the Principal Executive Officer pursuant to Section 302 of the Sarbanes-Oxley Act of 2002, with respect to the registrant’s Annual Report on Form 10-K for</w:t>
            </w:r>
          </w:p>
        </w:tc>
      </w:tr>
      <w:tr>
        <w:trPr>
          <w:trHeight w:val="118"/>
        </w:trPr>
        <w:tc>
          <w:tcPr>
            <w:tcW w:w="1020" w:type="dxa"/>
            <w:vAlign w:val="bottom"/>
          </w:tcPr>
          <w:p>
            <w:pPr>
              <w:spacing w:after="0"/>
              <w:rPr>
                <w:sz w:val="10"/>
                <w:szCs w:val="10"/>
                <w:color w:val="auto"/>
              </w:rPr>
            </w:pPr>
          </w:p>
        </w:tc>
        <w:tc>
          <w:tcPr>
            <w:tcW w:w="2360" w:type="dxa"/>
            <w:vAlign w:val="bottom"/>
            <w:tcBorders>
              <w:top w:val="single" w:sz="8" w:color="0000FF"/>
              <w:bottom w:val="single" w:sz="8" w:color="0000FF"/>
            </w:tcBorders>
            <w:gridSpan w:val="6"/>
          </w:tcPr>
          <w:p>
            <w:pPr>
              <w:spacing w:after="0" w:line="118" w:lineRule="exact"/>
              <w:rPr>
                <w:sz w:val="20"/>
                <w:szCs w:val="20"/>
                <w:color w:val="auto"/>
              </w:rPr>
            </w:pPr>
            <w:r>
              <w:rPr>
                <w:rFonts w:ascii="Times New Roman" w:cs="Times New Roman" w:eastAsia="Times New Roman" w:hAnsi="Times New Roman"/>
                <w:sz w:val="13"/>
                <w:szCs w:val="13"/>
                <w:color w:val="0000FF"/>
              </w:rPr>
              <w:t>the fiscal year ended December 31, 2023.</w:t>
            </w:r>
          </w:p>
        </w:tc>
        <w:tc>
          <w:tcPr>
            <w:tcW w:w="738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31.2*</w:t>
            </w:r>
          </w:p>
        </w:tc>
        <w:tc>
          <w:tcPr>
            <w:tcW w:w="99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Certification of the Principal Financial Officer pursuant to Section 302 of the Sarbanes-Oxley Act of 2002, with respect to the registrant’s Annual Report on Form 10-K for the</w:t>
            </w:r>
          </w:p>
        </w:tc>
      </w:tr>
      <w:tr>
        <w:trPr>
          <w:trHeight w:val="118"/>
        </w:trPr>
        <w:tc>
          <w:tcPr>
            <w:tcW w:w="1020" w:type="dxa"/>
            <w:vAlign w:val="bottom"/>
          </w:tcPr>
          <w:p>
            <w:pPr>
              <w:spacing w:after="0"/>
              <w:rPr>
                <w:sz w:val="10"/>
                <w:szCs w:val="10"/>
                <w:color w:val="auto"/>
              </w:rPr>
            </w:pPr>
          </w:p>
        </w:tc>
        <w:tc>
          <w:tcPr>
            <w:tcW w:w="9920" w:type="dxa"/>
            <w:vAlign w:val="bottom"/>
            <w:tcBorders>
              <w:top w:val="single" w:sz="8" w:color="0000FF"/>
            </w:tcBorders>
            <w:gridSpan w:val="21"/>
          </w:tcPr>
          <w:p>
            <w:pPr>
              <w:spacing w:after="0" w:line="118" w:lineRule="exact"/>
              <w:rPr>
                <w:sz w:val="20"/>
                <w:szCs w:val="20"/>
                <w:color w:val="auto"/>
              </w:rPr>
            </w:pPr>
            <w:r>
              <w:rPr>
                <w:rFonts w:ascii="Times New Roman" w:cs="Times New Roman" w:eastAsia="Times New Roman" w:hAnsi="Times New Roman"/>
                <w:sz w:val="13"/>
                <w:szCs w:val="13"/>
                <w:color w:val="0000FF"/>
              </w:rPr>
              <w:t>fiscal year ended December 31, 2023.</w:t>
            </w: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020" w:type="dxa"/>
            <w:vAlign w:val="bottom"/>
          </w:tcPr>
          <w:p>
            <w:pPr>
              <w:spacing w:after="0" w:line="20" w:lineRule="exact"/>
              <w:rPr>
                <w:sz w:val="1"/>
                <w:szCs w:val="1"/>
                <w:color w:val="auto"/>
              </w:rPr>
            </w:pPr>
          </w:p>
        </w:tc>
        <w:tc>
          <w:tcPr>
            <w:tcW w:w="2140" w:type="dxa"/>
            <w:vAlign w:val="bottom"/>
            <w:gridSpan w:val="5"/>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240" w:type="dxa"/>
            <w:vAlign w:val="bottom"/>
            <w:gridSpan w:val="9"/>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102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w w:val="98"/>
              </w:rPr>
              <w:t>32.1**</w:t>
            </w:r>
          </w:p>
        </w:tc>
        <w:tc>
          <w:tcPr>
            <w:tcW w:w="99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Certification of the Principal Executive Officer Pursuant to Section 906 of the Sarbanes-Oxley Act of 2002, with respect to the registrant’s Annual Report on Form 10-K for</w:t>
            </w:r>
          </w:p>
        </w:tc>
      </w:tr>
      <w:tr>
        <w:trPr>
          <w:trHeight w:val="118"/>
        </w:trPr>
        <w:tc>
          <w:tcPr>
            <w:tcW w:w="1020" w:type="dxa"/>
            <w:vAlign w:val="bottom"/>
          </w:tcPr>
          <w:p>
            <w:pPr>
              <w:spacing w:after="0"/>
              <w:rPr>
                <w:sz w:val="10"/>
                <w:szCs w:val="10"/>
                <w:color w:val="auto"/>
              </w:rPr>
            </w:pPr>
          </w:p>
        </w:tc>
        <w:tc>
          <w:tcPr>
            <w:tcW w:w="2360" w:type="dxa"/>
            <w:vAlign w:val="bottom"/>
            <w:tcBorders>
              <w:top w:val="single" w:sz="8" w:color="0000FF"/>
              <w:bottom w:val="single" w:sz="8" w:color="0000FF"/>
            </w:tcBorders>
            <w:gridSpan w:val="6"/>
          </w:tcPr>
          <w:p>
            <w:pPr>
              <w:spacing w:after="0" w:line="118" w:lineRule="exact"/>
              <w:rPr>
                <w:sz w:val="20"/>
                <w:szCs w:val="20"/>
                <w:color w:val="auto"/>
              </w:rPr>
            </w:pPr>
            <w:r>
              <w:rPr>
                <w:rFonts w:ascii="Times New Roman" w:cs="Times New Roman" w:eastAsia="Times New Roman" w:hAnsi="Times New Roman"/>
                <w:sz w:val="13"/>
                <w:szCs w:val="13"/>
                <w:color w:val="0000FF"/>
              </w:rPr>
              <w:t>the fiscal year ended December 31, 2023.</w:t>
            </w:r>
          </w:p>
        </w:tc>
        <w:tc>
          <w:tcPr>
            <w:tcW w:w="7400" w:type="dxa"/>
            <w:vAlign w:val="bottom"/>
            <w:tcBorders>
              <w:top w:val="single" w:sz="8" w:color="0000FF"/>
            </w:tcBorders>
            <w:gridSpan w:val="11"/>
          </w:tcPr>
          <w:p>
            <w:pPr>
              <w:spacing w:after="0"/>
              <w:rPr>
                <w:sz w:val="10"/>
                <w:szCs w:val="10"/>
                <w:color w:val="auto"/>
              </w:rPr>
            </w:pPr>
          </w:p>
        </w:tc>
        <w:tc>
          <w:tcPr>
            <w:tcW w:w="20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102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w w:val="98"/>
              </w:rPr>
              <w:t>32.2**</w:t>
            </w:r>
          </w:p>
        </w:tc>
        <w:tc>
          <w:tcPr>
            <w:tcW w:w="99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Certification of the Principal Financial Officer Pursuant to Section 906 of the Sarbanes-Oxley Act of 2002, with respect to the registrant’s Annual Report on Form 10-K for the</w:t>
            </w:r>
          </w:p>
        </w:tc>
      </w:tr>
      <w:tr>
        <w:trPr>
          <w:trHeight w:val="118"/>
        </w:trPr>
        <w:tc>
          <w:tcPr>
            <w:tcW w:w="1020" w:type="dxa"/>
            <w:vAlign w:val="bottom"/>
          </w:tcPr>
          <w:p>
            <w:pPr>
              <w:spacing w:after="0"/>
              <w:rPr>
                <w:sz w:val="10"/>
                <w:szCs w:val="10"/>
                <w:color w:val="auto"/>
              </w:rPr>
            </w:pPr>
          </w:p>
        </w:tc>
        <w:tc>
          <w:tcPr>
            <w:tcW w:w="9960" w:type="dxa"/>
            <w:vAlign w:val="bottom"/>
            <w:tcBorders>
              <w:top w:val="single" w:sz="8" w:color="0000FF"/>
            </w:tcBorders>
            <w:gridSpan w:val="23"/>
          </w:tcPr>
          <w:p>
            <w:pPr>
              <w:spacing w:after="0" w:line="118" w:lineRule="exact"/>
              <w:rPr>
                <w:sz w:val="20"/>
                <w:szCs w:val="20"/>
                <w:color w:val="auto"/>
              </w:rPr>
            </w:pPr>
            <w:r>
              <w:rPr>
                <w:rFonts w:ascii="Times New Roman" w:cs="Times New Roman" w:eastAsia="Times New Roman" w:hAnsi="Times New Roman"/>
                <w:sz w:val="13"/>
                <w:szCs w:val="13"/>
                <w:color w:val="0000FF"/>
              </w:rPr>
              <w:t>fiscal year ended December 31, 2023.</w:t>
            </w:r>
          </w:p>
        </w:tc>
        <w:tc>
          <w:tcPr>
            <w:tcW w:w="20" w:type="dxa"/>
            <w:vAlign w:val="bottom"/>
          </w:tcPr>
          <w:p>
            <w:pPr>
              <w:spacing w:after="0"/>
              <w:rPr>
                <w:sz w:val="10"/>
                <w:szCs w:val="10"/>
                <w:color w:val="auto"/>
              </w:rPr>
            </w:pPr>
          </w:p>
        </w:tc>
      </w:tr>
      <w:tr>
        <w:trPr>
          <w:trHeight w:val="20"/>
        </w:trPr>
        <w:tc>
          <w:tcPr>
            <w:tcW w:w="1020" w:type="dxa"/>
            <w:vAlign w:val="bottom"/>
          </w:tcPr>
          <w:p>
            <w:pPr>
              <w:spacing w:after="0" w:line="20" w:lineRule="exact"/>
              <w:rPr>
                <w:sz w:val="1"/>
                <w:szCs w:val="1"/>
                <w:color w:val="auto"/>
              </w:rPr>
            </w:pPr>
          </w:p>
        </w:tc>
        <w:tc>
          <w:tcPr>
            <w:tcW w:w="2140" w:type="dxa"/>
            <w:vAlign w:val="bottom"/>
            <w:gridSpan w:val="5"/>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460" w:type="dxa"/>
            <w:vAlign w:val="bottom"/>
            <w:gridSpan w:val="16"/>
          </w:tcPr>
          <w:p>
            <w:pPr>
              <w:spacing w:after="0" w:line="20" w:lineRule="exact"/>
              <w:rPr>
                <w:sz w:val="1"/>
                <w:szCs w:val="1"/>
                <w:color w:val="auto"/>
              </w:rPr>
            </w:pPr>
          </w:p>
        </w:tc>
      </w:tr>
      <w:tr>
        <w:trPr>
          <w:trHeight w:val="171"/>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97.1*</w:t>
            </w:r>
          </w:p>
        </w:tc>
        <w:tc>
          <w:tcPr>
            <w:tcW w:w="99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GXO Logistics, Inc. Amended and Restated Clawback Policy.</w:t>
            </w:r>
          </w:p>
        </w:tc>
      </w:tr>
      <w:tr>
        <w:trPr>
          <w:trHeight w:val="188"/>
        </w:trPr>
        <w:tc>
          <w:tcPr>
            <w:tcW w:w="102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w w:val="99"/>
              </w:rPr>
              <w:t>101.INS*</w:t>
            </w:r>
          </w:p>
        </w:tc>
        <w:tc>
          <w:tcPr>
            <w:tcW w:w="35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6460" w:type="dxa"/>
            <w:vAlign w:val="bottom"/>
            <w:gridSpan w:val="16"/>
          </w:tcPr>
          <w:p>
            <w:pPr>
              <w:spacing w:after="0"/>
              <w:rPr>
                <w:sz w:val="16"/>
                <w:szCs w:val="16"/>
                <w:color w:val="auto"/>
              </w:rPr>
            </w:pPr>
          </w:p>
        </w:tc>
      </w:tr>
      <w:tr>
        <w:trPr>
          <w:trHeight w:val="180"/>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101.SCH*</w:t>
            </w:r>
          </w:p>
        </w:tc>
        <w:tc>
          <w:tcPr>
            <w:tcW w:w="998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Inline XBRL Taxonomy Extension Schema.</w:t>
            </w:r>
          </w:p>
        </w:tc>
      </w:tr>
      <w:tr>
        <w:trPr>
          <w:trHeight w:val="180"/>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101.CAL*</w:t>
            </w:r>
          </w:p>
        </w:tc>
        <w:tc>
          <w:tcPr>
            <w:tcW w:w="998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w:t>
            </w:r>
          </w:p>
        </w:tc>
      </w:tr>
      <w:tr>
        <w:trPr>
          <w:trHeight w:val="180"/>
        </w:trPr>
        <w:tc>
          <w:tcPr>
            <w:tcW w:w="102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rPr>
              <w:t>101.DEF*</w:t>
            </w:r>
          </w:p>
        </w:tc>
        <w:tc>
          <w:tcPr>
            <w:tcW w:w="998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w:t>
            </w:r>
          </w:p>
        </w:tc>
      </w:tr>
      <w:tr>
        <w:trPr>
          <w:trHeight w:val="180"/>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101.LAB*</w:t>
            </w:r>
          </w:p>
        </w:tc>
        <w:tc>
          <w:tcPr>
            <w:tcW w:w="998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w:t>
            </w:r>
          </w:p>
        </w:tc>
      </w:tr>
      <w:tr>
        <w:trPr>
          <w:trHeight w:val="180"/>
        </w:trPr>
        <w:tc>
          <w:tcPr>
            <w:tcW w:w="102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rPr>
              <w:t>101.PRE*</w:t>
            </w:r>
          </w:p>
        </w:tc>
        <w:tc>
          <w:tcPr>
            <w:tcW w:w="998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w:t>
            </w:r>
          </w:p>
        </w:tc>
      </w:tr>
      <w:tr>
        <w:trPr>
          <w:trHeight w:val="184"/>
        </w:trPr>
        <w:tc>
          <w:tcPr>
            <w:tcW w:w="10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w w:val="99"/>
              </w:rPr>
              <w:t>104*</w:t>
            </w:r>
          </w:p>
        </w:tc>
        <w:tc>
          <w:tcPr>
            <w:tcW w:w="998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bl>
    <w:p>
      <w:pPr>
        <w:spacing w:after="0" w:line="209" w:lineRule="exact"/>
        <w:rPr>
          <w:sz w:val="20"/>
          <w:szCs w:val="20"/>
          <w:color w:val="auto"/>
        </w:rPr>
      </w:pPr>
    </w:p>
    <w:p>
      <w:pPr>
        <w:ind w:left="1020" w:hanging="760"/>
        <w:spacing w:after="0"/>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3" w:lineRule="exact"/>
        <w:rPr>
          <w:sz w:val="20"/>
          <w:szCs w:val="20"/>
          <w:color w:val="auto"/>
        </w:rPr>
      </w:pPr>
    </w:p>
    <w:p>
      <w:pPr>
        <w:ind w:left="1020" w:hanging="796"/>
        <w:spacing w:after="0"/>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19" w:lineRule="exact"/>
        <w:rPr>
          <w:sz w:val="20"/>
          <w:szCs w:val="20"/>
          <w:color w:val="auto"/>
        </w:rPr>
      </w:pPr>
    </w:p>
    <w:p>
      <w:pPr>
        <w:ind w:left="1020" w:right="60" w:hanging="831"/>
        <w:spacing w:after="0" w:line="237" w:lineRule="auto"/>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 have been omitted pursuant to Item 601(a)(5) of Regulation S-K. The Company will furnish supplementally copies of omitted exhibits to the SEC or its staff upon its request.</w:t>
      </w:r>
    </w:p>
    <w:p>
      <w:pPr>
        <w:spacing w:after="0" w:line="7" w:lineRule="exact"/>
        <w:rPr>
          <w:sz w:val="20"/>
          <w:szCs w:val="20"/>
          <w:color w:val="auto"/>
        </w:rPr>
      </w:pPr>
    </w:p>
    <w:p>
      <w:pPr>
        <w:ind w:left="1020" w:hanging="765"/>
        <w:spacing w:after="0"/>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exhibit is a management contract or compensatory plan or arrangement.</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22" w:lineRule="exact"/>
        <w:rPr>
          <w:rFonts w:ascii="Times New Roman" w:cs="Times New Roman" w:eastAsia="Times New Roman" w:hAnsi="Times New Roman"/>
          <w:sz w:val="14"/>
          <w:szCs w:val="14"/>
          <w:color w:val="auto"/>
        </w:rPr>
      </w:pPr>
    </w:p>
    <w:p>
      <w:pPr>
        <w:ind w:left="5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40"/>
          </w:cols>
          <w:pgMar w:left="620" w:top="116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141" w:right="1440"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GXO Logistics, Inc.</w:t>
            </w:r>
          </w:p>
        </w:tc>
      </w:tr>
      <w:tr>
        <w:trPr>
          <w:trHeight w:val="393"/>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15, 2024</w:t>
            </w:r>
          </w:p>
        </w:tc>
        <w:tc>
          <w:tcPr>
            <w:tcW w:w="200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By:</w:t>
            </w:r>
          </w:p>
        </w:tc>
        <w:tc>
          <w:tcPr>
            <w:tcW w:w="6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Malcolm Wilson</w:t>
            </w:r>
          </w:p>
        </w:tc>
      </w:tr>
      <w:tr>
        <w:trPr>
          <w:trHeight w:val="167"/>
        </w:trPr>
        <w:tc>
          <w:tcPr>
            <w:tcW w:w="26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Malcolm Wilson</w:t>
            </w:r>
          </w:p>
        </w:tc>
      </w:tr>
      <w:tr>
        <w:trPr>
          <w:trHeight w:val="180"/>
        </w:trPr>
        <w:tc>
          <w:tcPr>
            <w:tcW w:w="26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84"/>
        </w:trPr>
        <w:tc>
          <w:tcPr>
            <w:tcW w:w="26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393"/>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15, 2024</w:t>
            </w:r>
          </w:p>
        </w:tc>
        <w:tc>
          <w:tcPr>
            <w:tcW w:w="200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By:</w:t>
            </w:r>
          </w:p>
        </w:tc>
        <w:tc>
          <w:tcPr>
            <w:tcW w:w="6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Baris Oran</w:t>
            </w:r>
          </w:p>
        </w:tc>
      </w:tr>
      <w:tr>
        <w:trPr>
          <w:trHeight w:val="167"/>
        </w:trPr>
        <w:tc>
          <w:tcPr>
            <w:tcW w:w="26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Baris Oran</w:t>
            </w:r>
          </w:p>
        </w:tc>
      </w:tr>
      <w:tr>
        <w:trPr>
          <w:trHeight w:val="180"/>
        </w:trPr>
        <w:tc>
          <w:tcPr>
            <w:tcW w:w="26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4"/>
        </w:trPr>
        <w:tc>
          <w:tcPr>
            <w:tcW w:w="26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on the dates indicated.</w:t>
      </w:r>
    </w:p>
    <w:p>
      <w:pPr>
        <w:sectPr>
          <w:pgSz w:w="11900" w:h="16838" w:orient="portrait"/>
          <w:cols w:equalWidth="0" w:num="1">
            <w:col w:w="11260"/>
          </w:cols>
          <w:pgMar w:left="300" w:top="1143" w:right="339" w:bottom="1440" w:gutter="0" w:footer="0" w:header="0"/>
        </w:sect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2340" w:type="dxa"/>
            <w:vAlign w:val="bottom"/>
            <w:gridSpan w:val="2"/>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380" w:type="dxa"/>
            <w:vAlign w:val="bottom"/>
          </w:tcPr>
          <w:p>
            <w:pPr>
              <w:spacing w:after="0"/>
              <w:rPr>
                <w:sz w:val="13"/>
                <w:szCs w:val="13"/>
                <w:color w:val="auto"/>
              </w:rPr>
            </w:pPr>
          </w:p>
        </w:tc>
        <w:tc>
          <w:tcPr>
            <w:tcW w:w="2180" w:type="dxa"/>
            <w:vAlign w:val="bottom"/>
            <w:gridSpan w:val="2"/>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40" w:type="dxa"/>
            <w:vAlign w:val="bottom"/>
            <w:gridSpan w:val="3"/>
          </w:tcPr>
          <w:p>
            <w:pPr>
              <w:jc w:val="center"/>
              <w:ind w:left="929"/>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1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04"/>
        </w:trPr>
        <w:tc>
          <w:tcPr>
            <w:tcW w:w="4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Malcolm Wilson</w:t>
            </w:r>
          </w:p>
        </w:tc>
        <w:tc>
          <w:tcPr>
            <w:tcW w:w="4560" w:type="dxa"/>
            <w:vAlign w:val="bottom"/>
            <w:gridSpan w:val="3"/>
          </w:tcPr>
          <w:p>
            <w:pPr>
              <w:jc w:val="center"/>
              <w:ind w:left="389"/>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2040" w:type="dxa"/>
            <w:vAlign w:val="bottom"/>
            <w:gridSpan w:val="3"/>
          </w:tcPr>
          <w:p>
            <w:pPr>
              <w:jc w:val="center"/>
              <w:ind w:left="929"/>
              <w:spacing w:after="0"/>
              <w:rPr>
                <w:sz w:val="20"/>
                <w:szCs w:val="20"/>
                <w:color w:val="auto"/>
              </w:rPr>
            </w:pPr>
            <w:r>
              <w:rPr>
                <w:rFonts w:ascii="Times New Roman" w:cs="Times New Roman" w:eastAsia="Times New Roman" w:hAnsi="Times New Roman"/>
                <w:sz w:val="14"/>
                <w:szCs w:val="14"/>
                <w:color w:val="auto"/>
              </w:rPr>
              <w:t>February 14, 2024</w:t>
            </w:r>
          </w:p>
        </w:tc>
      </w:tr>
      <w:tr>
        <w:trPr>
          <w:trHeight w:val="175"/>
        </w:trPr>
        <w:tc>
          <w:tcPr>
            <w:tcW w:w="4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9"/>
              </w:rPr>
              <w:t>Malcolm Wilson</w:t>
            </w:r>
          </w:p>
        </w:tc>
        <w:tc>
          <w:tcPr>
            <w:tcW w:w="4560" w:type="dxa"/>
            <w:vAlign w:val="bottom"/>
            <w:gridSpan w:val="3"/>
          </w:tcPr>
          <w:p>
            <w:pPr>
              <w:jc w:val="center"/>
              <w:ind w:left="409"/>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8"/>
        </w:trPr>
        <w:tc>
          <w:tcPr>
            <w:tcW w:w="40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/s/ Baris Oran</w:t>
            </w:r>
          </w:p>
        </w:tc>
        <w:tc>
          <w:tcPr>
            <w:tcW w:w="4560" w:type="dxa"/>
            <w:vAlign w:val="bottom"/>
            <w:gridSpan w:val="3"/>
          </w:tcPr>
          <w:p>
            <w:pPr>
              <w:jc w:val="center"/>
              <w:ind w:left="409"/>
              <w:spacing w:after="0"/>
              <w:rPr>
                <w:sz w:val="20"/>
                <w:szCs w:val="20"/>
                <w:color w:val="auto"/>
              </w:rPr>
            </w:pPr>
            <w:r>
              <w:rPr>
                <w:rFonts w:ascii="Times New Roman" w:cs="Times New Roman" w:eastAsia="Times New Roman" w:hAnsi="Times New Roman"/>
                <w:sz w:val="14"/>
                <w:szCs w:val="14"/>
                <w:color w:val="auto"/>
              </w:rPr>
              <w:t>Chief Financial Officer</w:t>
            </w:r>
          </w:p>
        </w:tc>
        <w:tc>
          <w:tcPr>
            <w:tcW w:w="2040" w:type="dxa"/>
            <w:vAlign w:val="bottom"/>
            <w:gridSpan w:val="3"/>
          </w:tcPr>
          <w:p>
            <w:pPr>
              <w:jc w:val="center"/>
              <w:ind w:left="929"/>
              <w:spacing w:after="0"/>
              <w:rPr>
                <w:sz w:val="20"/>
                <w:szCs w:val="20"/>
                <w:color w:val="auto"/>
              </w:rPr>
            </w:pPr>
            <w:r>
              <w:rPr>
                <w:rFonts w:ascii="Times New Roman" w:cs="Times New Roman" w:eastAsia="Times New Roman" w:hAnsi="Times New Roman"/>
                <w:sz w:val="14"/>
                <w:szCs w:val="14"/>
                <w:color w:val="auto"/>
              </w:rPr>
              <w:t>February 14, 2024</w:t>
            </w:r>
          </w:p>
        </w:tc>
      </w:tr>
      <w:tr>
        <w:trPr>
          <w:trHeight w:val="175"/>
        </w:trPr>
        <w:tc>
          <w:tcPr>
            <w:tcW w:w="4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Baris Oran</w:t>
            </w:r>
          </w:p>
        </w:tc>
        <w:tc>
          <w:tcPr>
            <w:tcW w:w="4560" w:type="dxa"/>
            <w:vAlign w:val="bottom"/>
            <w:gridSpan w:val="3"/>
          </w:tcPr>
          <w:p>
            <w:pPr>
              <w:jc w:val="center"/>
              <w:ind w:left="409"/>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8"/>
        </w:trPr>
        <w:tc>
          <w:tcPr>
            <w:tcW w:w="4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Paul Blanchett</w:t>
            </w:r>
          </w:p>
        </w:tc>
        <w:tc>
          <w:tcPr>
            <w:tcW w:w="4560" w:type="dxa"/>
            <w:vAlign w:val="bottom"/>
            <w:gridSpan w:val="3"/>
          </w:tcPr>
          <w:p>
            <w:pPr>
              <w:jc w:val="center"/>
              <w:ind w:left="409"/>
              <w:spacing w:after="0"/>
              <w:rPr>
                <w:sz w:val="20"/>
                <w:szCs w:val="20"/>
                <w:color w:val="auto"/>
              </w:rPr>
            </w:pPr>
            <w:r>
              <w:rPr>
                <w:rFonts w:ascii="Times New Roman" w:cs="Times New Roman" w:eastAsia="Times New Roman" w:hAnsi="Times New Roman"/>
                <w:sz w:val="14"/>
                <w:szCs w:val="14"/>
                <w:color w:val="auto"/>
              </w:rPr>
              <w:t>Chief Accounting Officer</w:t>
            </w:r>
          </w:p>
        </w:tc>
        <w:tc>
          <w:tcPr>
            <w:tcW w:w="2040" w:type="dxa"/>
            <w:vAlign w:val="bottom"/>
            <w:gridSpan w:val="3"/>
          </w:tcPr>
          <w:p>
            <w:pPr>
              <w:jc w:val="center"/>
              <w:ind w:left="929"/>
              <w:spacing w:after="0"/>
              <w:rPr>
                <w:sz w:val="20"/>
                <w:szCs w:val="20"/>
                <w:color w:val="auto"/>
              </w:rPr>
            </w:pPr>
            <w:r>
              <w:rPr>
                <w:rFonts w:ascii="Times New Roman" w:cs="Times New Roman" w:eastAsia="Times New Roman" w:hAnsi="Times New Roman"/>
                <w:sz w:val="14"/>
                <w:szCs w:val="14"/>
                <w:color w:val="auto"/>
              </w:rPr>
              <w:t>February 14, 2024</w:t>
            </w:r>
          </w:p>
        </w:tc>
      </w:tr>
      <w:tr>
        <w:trPr>
          <w:trHeight w:val="175"/>
        </w:trPr>
        <w:tc>
          <w:tcPr>
            <w:tcW w:w="4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9"/>
              </w:rPr>
              <w:t>Paul Blanchett</w:t>
            </w:r>
          </w:p>
        </w:tc>
        <w:tc>
          <w:tcPr>
            <w:tcW w:w="4560" w:type="dxa"/>
            <w:vAlign w:val="bottom"/>
            <w:gridSpan w:val="3"/>
          </w:tcPr>
          <w:p>
            <w:pPr>
              <w:jc w:val="center"/>
              <w:ind w:left="389"/>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8"/>
        </w:trPr>
        <w:tc>
          <w:tcPr>
            <w:tcW w:w="40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/s/ Brad Jacobs</w:t>
            </w:r>
          </w:p>
        </w:tc>
        <w:tc>
          <w:tcPr>
            <w:tcW w:w="4560" w:type="dxa"/>
            <w:vAlign w:val="bottom"/>
            <w:gridSpan w:val="3"/>
          </w:tcPr>
          <w:p>
            <w:pPr>
              <w:jc w:val="center"/>
              <w:ind w:left="409"/>
              <w:spacing w:after="0"/>
              <w:rPr>
                <w:sz w:val="20"/>
                <w:szCs w:val="20"/>
                <w:color w:val="auto"/>
              </w:rPr>
            </w:pPr>
            <w:r>
              <w:rPr>
                <w:rFonts w:ascii="Times New Roman" w:cs="Times New Roman" w:eastAsia="Times New Roman" w:hAnsi="Times New Roman"/>
                <w:sz w:val="14"/>
                <w:szCs w:val="14"/>
                <w:color w:val="auto"/>
              </w:rPr>
              <w:t>Director</w:t>
            </w:r>
          </w:p>
        </w:tc>
        <w:tc>
          <w:tcPr>
            <w:tcW w:w="2040" w:type="dxa"/>
            <w:vAlign w:val="bottom"/>
            <w:gridSpan w:val="3"/>
          </w:tcPr>
          <w:p>
            <w:pPr>
              <w:jc w:val="center"/>
              <w:ind w:left="929"/>
              <w:spacing w:after="0"/>
              <w:rPr>
                <w:sz w:val="20"/>
                <w:szCs w:val="20"/>
                <w:color w:val="auto"/>
              </w:rPr>
            </w:pPr>
            <w:r>
              <w:rPr>
                <w:rFonts w:ascii="Times New Roman" w:cs="Times New Roman" w:eastAsia="Times New Roman" w:hAnsi="Times New Roman"/>
                <w:sz w:val="14"/>
                <w:szCs w:val="14"/>
                <w:color w:val="auto"/>
              </w:rPr>
              <w:t>February 14, 2024</w:t>
            </w:r>
          </w:p>
        </w:tc>
      </w:tr>
      <w:tr>
        <w:trPr>
          <w:trHeight w:val="175"/>
        </w:trPr>
        <w:tc>
          <w:tcPr>
            <w:tcW w:w="40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Brad Jacobs</w:t>
            </w:r>
          </w:p>
        </w:tc>
        <w:tc>
          <w:tcPr>
            <w:tcW w:w="4560" w:type="dxa"/>
            <w:vAlign w:val="bottom"/>
            <w:gridSpan w:val="3"/>
          </w:tcPr>
          <w:p>
            <w:pPr>
              <w:jc w:val="center"/>
              <w:ind w:left="409"/>
              <w:spacing w:after="0"/>
              <w:rPr>
                <w:sz w:val="20"/>
                <w:szCs w:val="20"/>
                <w:color w:val="auto"/>
              </w:rPr>
            </w:pPr>
            <w:r>
              <w:rPr>
                <w:rFonts w:ascii="Times New Roman" w:cs="Times New Roman" w:eastAsia="Times New Roman" w:hAnsi="Times New Roman"/>
                <w:sz w:val="14"/>
                <w:szCs w:val="14"/>
                <w:color w:val="auto"/>
                <w:w w:val="99"/>
              </w:rPr>
              <w:t>(Chairman)</w:t>
            </w: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8"/>
        </w:trPr>
        <w:tc>
          <w:tcPr>
            <w:tcW w:w="4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Marlene Colucci</w:t>
            </w:r>
          </w:p>
        </w:tc>
        <w:tc>
          <w:tcPr>
            <w:tcW w:w="4560" w:type="dxa"/>
            <w:vAlign w:val="bottom"/>
            <w:gridSpan w:val="3"/>
          </w:tcPr>
          <w:p>
            <w:pPr>
              <w:jc w:val="center"/>
              <w:ind w:left="409"/>
              <w:spacing w:after="0"/>
              <w:rPr>
                <w:sz w:val="20"/>
                <w:szCs w:val="20"/>
                <w:color w:val="auto"/>
              </w:rPr>
            </w:pPr>
            <w:r>
              <w:rPr>
                <w:rFonts w:ascii="Times New Roman" w:cs="Times New Roman" w:eastAsia="Times New Roman" w:hAnsi="Times New Roman"/>
                <w:sz w:val="14"/>
                <w:szCs w:val="14"/>
                <w:color w:val="auto"/>
              </w:rPr>
              <w:t>Director</w:t>
            </w:r>
          </w:p>
        </w:tc>
        <w:tc>
          <w:tcPr>
            <w:tcW w:w="2040" w:type="dxa"/>
            <w:vAlign w:val="bottom"/>
            <w:gridSpan w:val="3"/>
          </w:tcPr>
          <w:p>
            <w:pPr>
              <w:jc w:val="center"/>
              <w:ind w:left="929"/>
              <w:spacing w:after="0"/>
              <w:rPr>
                <w:sz w:val="20"/>
                <w:szCs w:val="20"/>
                <w:color w:val="auto"/>
              </w:rPr>
            </w:pPr>
            <w:r>
              <w:rPr>
                <w:rFonts w:ascii="Times New Roman" w:cs="Times New Roman" w:eastAsia="Times New Roman" w:hAnsi="Times New Roman"/>
                <w:sz w:val="14"/>
                <w:szCs w:val="14"/>
                <w:color w:val="auto"/>
              </w:rPr>
              <w:t>February 14, 2024</w:t>
            </w:r>
          </w:p>
        </w:tc>
      </w:tr>
      <w:tr>
        <w:trPr>
          <w:trHeight w:val="175"/>
        </w:trPr>
        <w:tc>
          <w:tcPr>
            <w:tcW w:w="4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Marlene Colucci</w:t>
            </w:r>
          </w:p>
        </w:tc>
        <w:tc>
          <w:tcPr>
            <w:tcW w:w="4560" w:type="dxa"/>
            <w:vAlign w:val="bottom"/>
            <w:gridSpan w:val="3"/>
          </w:tcPr>
          <w:p>
            <w:pPr>
              <w:jc w:val="center"/>
              <w:ind w:left="389"/>
              <w:spacing w:after="0"/>
              <w:rPr>
                <w:sz w:val="20"/>
                <w:szCs w:val="20"/>
                <w:color w:val="auto"/>
              </w:rPr>
            </w:pPr>
            <w:r>
              <w:rPr>
                <w:rFonts w:ascii="Times New Roman" w:cs="Times New Roman" w:eastAsia="Times New Roman" w:hAnsi="Times New Roman"/>
                <w:sz w:val="14"/>
                <w:szCs w:val="14"/>
                <w:color w:val="auto"/>
                <w:w w:val="99"/>
              </w:rPr>
              <w:t>(Vice Chair)</w:t>
            </w: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8"/>
        </w:trPr>
        <w:tc>
          <w:tcPr>
            <w:tcW w:w="40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/s/ Oren Shaffer</w:t>
            </w:r>
          </w:p>
        </w:tc>
        <w:tc>
          <w:tcPr>
            <w:tcW w:w="4560" w:type="dxa"/>
            <w:vAlign w:val="bottom"/>
            <w:gridSpan w:val="3"/>
          </w:tcPr>
          <w:p>
            <w:pPr>
              <w:jc w:val="center"/>
              <w:ind w:left="409"/>
              <w:spacing w:after="0"/>
              <w:rPr>
                <w:sz w:val="20"/>
                <w:szCs w:val="20"/>
                <w:color w:val="auto"/>
              </w:rPr>
            </w:pPr>
            <w:r>
              <w:rPr>
                <w:rFonts w:ascii="Times New Roman" w:cs="Times New Roman" w:eastAsia="Times New Roman" w:hAnsi="Times New Roman"/>
                <w:sz w:val="14"/>
                <w:szCs w:val="14"/>
                <w:color w:val="auto"/>
              </w:rPr>
              <w:t>Director</w:t>
            </w:r>
          </w:p>
        </w:tc>
        <w:tc>
          <w:tcPr>
            <w:tcW w:w="2040" w:type="dxa"/>
            <w:vAlign w:val="bottom"/>
            <w:gridSpan w:val="3"/>
          </w:tcPr>
          <w:p>
            <w:pPr>
              <w:jc w:val="center"/>
              <w:ind w:left="929"/>
              <w:spacing w:after="0"/>
              <w:rPr>
                <w:sz w:val="20"/>
                <w:szCs w:val="20"/>
                <w:color w:val="auto"/>
              </w:rPr>
            </w:pPr>
            <w:r>
              <w:rPr>
                <w:rFonts w:ascii="Times New Roman" w:cs="Times New Roman" w:eastAsia="Times New Roman" w:hAnsi="Times New Roman"/>
                <w:sz w:val="14"/>
                <w:szCs w:val="14"/>
                <w:color w:val="auto"/>
              </w:rPr>
              <w:t>February 14, 2024</w:t>
            </w:r>
          </w:p>
        </w:tc>
      </w:tr>
      <w:tr>
        <w:trPr>
          <w:trHeight w:val="175"/>
        </w:trPr>
        <w:tc>
          <w:tcPr>
            <w:tcW w:w="4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Oren Shaffer</w:t>
            </w:r>
          </w:p>
        </w:tc>
        <w:tc>
          <w:tcPr>
            <w:tcW w:w="4560" w:type="dxa"/>
            <w:vAlign w:val="bottom"/>
            <w:gridSpan w:val="3"/>
          </w:tcPr>
          <w:p>
            <w:pPr>
              <w:jc w:val="center"/>
              <w:ind w:left="389"/>
              <w:spacing w:after="0"/>
              <w:rPr>
                <w:sz w:val="20"/>
                <w:szCs w:val="20"/>
                <w:color w:val="auto"/>
              </w:rPr>
            </w:pPr>
            <w:r>
              <w:rPr>
                <w:rFonts w:ascii="Times New Roman" w:cs="Times New Roman" w:eastAsia="Times New Roman" w:hAnsi="Times New Roman"/>
                <w:sz w:val="14"/>
                <w:szCs w:val="14"/>
                <w:color w:val="auto"/>
              </w:rPr>
              <w:t>(Lead Independent Director)</w:t>
            </w: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9"/>
        </w:trPr>
        <w:tc>
          <w:tcPr>
            <w:tcW w:w="4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Gena Ashe</w:t>
            </w:r>
          </w:p>
        </w:tc>
        <w:tc>
          <w:tcPr>
            <w:tcW w:w="4560" w:type="dxa"/>
            <w:vAlign w:val="bottom"/>
            <w:gridSpan w:val="3"/>
          </w:tcPr>
          <w:p>
            <w:pPr>
              <w:jc w:val="center"/>
              <w:ind w:left="409"/>
              <w:spacing w:after="0"/>
              <w:rPr>
                <w:sz w:val="20"/>
                <w:szCs w:val="20"/>
                <w:color w:val="auto"/>
              </w:rPr>
            </w:pPr>
            <w:r>
              <w:rPr>
                <w:rFonts w:ascii="Times New Roman" w:cs="Times New Roman" w:eastAsia="Times New Roman" w:hAnsi="Times New Roman"/>
                <w:sz w:val="14"/>
                <w:szCs w:val="14"/>
                <w:color w:val="auto"/>
              </w:rPr>
              <w:t>Director</w:t>
            </w:r>
          </w:p>
        </w:tc>
        <w:tc>
          <w:tcPr>
            <w:tcW w:w="2040" w:type="dxa"/>
            <w:vAlign w:val="bottom"/>
            <w:gridSpan w:val="3"/>
          </w:tcPr>
          <w:p>
            <w:pPr>
              <w:jc w:val="center"/>
              <w:ind w:left="929"/>
              <w:spacing w:after="0"/>
              <w:rPr>
                <w:sz w:val="20"/>
                <w:szCs w:val="20"/>
                <w:color w:val="auto"/>
              </w:rPr>
            </w:pPr>
            <w:r>
              <w:rPr>
                <w:rFonts w:ascii="Times New Roman" w:cs="Times New Roman" w:eastAsia="Times New Roman" w:hAnsi="Times New Roman"/>
                <w:sz w:val="14"/>
                <w:szCs w:val="14"/>
                <w:color w:val="auto"/>
              </w:rPr>
              <w:t>February 14, 2024</w:t>
            </w:r>
          </w:p>
        </w:tc>
      </w:tr>
      <w:tr>
        <w:trPr>
          <w:trHeight w:val="175"/>
        </w:trPr>
        <w:tc>
          <w:tcPr>
            <w:tcW w:w="4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Gena Ashe</w:t>
            </w:r>
          </w:p>
        </w:tc>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9"/>
        </w:trPr>
        <w:tc>
          <w:tcPr>
            <w:tcW w:w="4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Clare Chatfield</w:t>
            </w:r>
          </w:p>
        </w:tc>
        <w:tc>
          <w:tcPr>
            <w:tcW w:w="4560" w:type="dxa"/>
            <w:vAlign w:val="bottom"/>
            <w:gridSpan w:val="3"/>
          </w:tcPr>
          <w:p>
            <w:pPr>
              <w:jc w:val="center"/>
              <w:ind w:left="409"/>
              <w:spacing w:after="0"/>
              <w:rPr>
                <w:sz w:val="20"/>
                <w:szCs w:val="20"/>
                <w:color w:val="auto"/>
              </w:rPr>
            </w:pPr>
            <w:r>
              <w:rPr>
                <w:rFonts w:ascii="Times New Roman" w:cs="Times New Roman" w:eastAsia="Times New Roman" w:hAnsi="Times New Roman"/>
                <w:sz w:val="14"/>
                <w:szCs w:val="14"/>
                <w:color w:val="auto"/>
              </w:rPr>
              <w:t>Director</w:t>
            </w:r>
          </w:p>
        </w:tc>
        <w:tc>
          <w:tcPr>
            <w:tcW w:w="2040" w:type="dxa"/>
            <w:vAlign w:val="bottom"/>
            <w:gridSpan w:val="3"/>
          </w:tcPr>
          <w:p>
            <w:pPr>
              <w:jc w:val="center"/>
              <w:ind w:left="929"/>
              <w:spacing w:after="0"/>
              <w:rPr>
                <w:sz w:val="20"/>
                <w:szCs w:val="20"/>
                <w:color w:val="auto"/>
              </w:rPr>
            </w:pPr>
            <w:r>
              <w:rPr>
                <w:rFonts w:ascii="Times New Roman" w:cs="Times New Roman" w:eastAsia="Times New Roman" w:hAnsi="Times New Roman"/>
                <w:sz w:val="14"/>
                <w:szCs w:val="14"/>
                <w:color w:val="auto"/>
              </w:rPr>
              <w:t>February 14, 2024</w:t>
            </w:r>
          </w:p>
        </w:tc>
      </w:tr>
      <w:tr>
        <w:trPr>
          <w:trHeight w:val="175"/>
        </w:trPr>
        <w:tc>
          <w:tcPr>
            <w:tcW w:w="4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Clare Chatfield</w:t>
            </w:r>
          </w:p>
        </w:tc>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9"/>
        </w:trPr>
        <w:tc>
          <w:tcPr>
            <w:tcW w:w="40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/s/ Joli L. Gross</w:t>
            </w:r>
          </w:p>
        </w:tc>
        <w:tc>
          <w:tcPr>
            <w:tcW w:w="4560" w:type="dxa"/>
            <w:vAlign w:val="bottom"/>
            <w:gridSpan w:val="3"/>
          </w:tcPr>
          <w:p>
            <w:pPr>
              <w:jc w:val="center"/>
              <w:ind w:left="409"/>
              <w:spacing w:after="0"/>
              <w:rPr>
                <w:sz w:val="20"/>
                <w:szCs w:val="20"/>
                <w:color w:val="auto"/>
              </w:rPr>
            </w:pPr>
            <w:r>
              <w:rPr>
                <w:rFonts w:ascii="Times New Roman" w:cs="Times New Roman" w:eastAsia="Times New Roman" w:hAnsi="Times New Roman"/>
                <w:sz w:val="14"/>
                <w:szCs w:val="14"/>
                <w:color w:val="auto"/>
              </w:rPr>
              <w:t>Director</w:t>
            </w:r>
          </w:p>
        </w:tc>
        <w:tc>
          <w:tcPr>
            <w:tcW w:w="2040" w:type="dxa"/>
            <w:vAlign w:val="bottom"/>
            <w:gridSpan w:val="3"/>
          </w:tcPr>
          <w:p>
            <w:pPr>
              <w:jc w:val="center"/>
              <w:ind w:left="929"/>
              <w:spacing w:after="0"/>
              <w:rPr>
                <w:sz w:val="20"/>
                <w:szCs w:val="20"/>
                <w:color w:val="auto"/>
              </w:rPr>
            </w:pPr>
            <w:r>
              <w:rPr>
                <w:rFonts w:ascii="Times New Roman" w:cs="Times New Roman" w:eastAsia="Times New Roman" w:hAnsi="Times New Roman"/>
                <w:sz w:val="14"/>
                <w:szCs w:val="14"/>
                <w:color w:val="auto"/>
              </w:rPr>
              <w:t>February 14, 2024</w:t>
            </w:r>
          </w:p>
        </w:tc>
      </w:tr>
      <w:tr>
        <w:trPr>
          <w:trHeight w:val="175"/>
        </w:trPr>
        <w:tc>
          <w:tcPr>
            <w:tcW w:w="40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Joli L. Gross</w:t>
            </w:r>
          </w:p>
        </w:tc>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9"/>
        </w:trPr>
        <w:tc>
          <w:tcPr>
            <w:tcW w:w="40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/s/ Jason Papastavrou</w:t>
            </w:r>
          </w:p>
        </w:tc>
        <w:tc>
          <w:tcPr>
            <w:tcW w:w="4560" w:type="dxa"/>
            <w:vAlign w:val="bottom"/>
            <w:gridSpan w:val="3"/>
          </w:tcPr>
          <w:p>
            <w:pPr>
              <w:jc w:val="center"/>
              <w:ind w:left="409"/>
              <w:spacing w:after="0"/>
              <w:rPr>
                <w:sz w:val="20"/>
                <w:szCs w:val="20"/>
                <w:color w:val="auto"/>
              </w:rPr>
            </w:pPr>
            <w:r>
              <w:rPr>
                <w:rFonts w:ascii="Times New Roman" w:cs="Times New Roman" w:eastAsia="Times New Roman" w:hAnsi="Times New Roman"/>
                <w:sz w:val="14"/>
                <w:szCs w:val="14"/>
                <w:color w:val="auto"/>
              </w:rPr>
              <w:t>Director</w:t>
            </w:r>
          </w:p>
        </w:tc>
        <w:tc>
          <w:tcPr>
            <w:tcW w:w="2040" w:type="dxa"/>
            <w:vAlign w:val="bottom"/>
            <w:gridSpan w:val="3"/>
          </w:tcPr>
          <w:p>
            <w:pPr>
              <w:jc w:val="center"/>
              <w:ind w:left="929"/>
              <w:spacing w:after="0"/>
              <w:rPr>
                <w:sz w:val="20"/>
                <w:szCs w:val="20"/>
                <w:color w:val="auto"/>
              </w:rPr>
            </w:pPr>
            <w:r>
              <w:rPr>
                <w:rFonts w:ascii="Times New Roman" w:cs="Times New Roman" w:eastAsia="Times New Roman" w:hAnsi="Times New Roman"/>
                <w:sz w:val="14"/>
                <w:szCs w:val="14"/>
                <w:color w:val="auto"/>
              </w:rPr>
              <w:t>February 14, 2024</w:t>
            </w:r>
          </w:p>
        </w:tc>
      </w:tr>
      <w:tr>
        <w:trPr>
          <w:trHeight w:val="175"/>
        </w:trPr>
        <w:tc>
          <w:tcPr>
            <w:tcW w:w="40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Jason Papastavrou</w:t>
            </w:r>
          </w:p>
        </w:tc>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9"/>
        </w:trPr>
        <w:tc>
          <w:tcPr>
            <w:tcW w:w="4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Matthew J. Fassler</w:t>
            </w:r>
          </w:p>
        </w:tc>
        <w:tc>
          <w:tcPr>
            <w:tcW w:w="4560" w:type="dxa"/>
            <w:vAlign w:val="bottom"/>
            <w:gridSpan w:val="3"/>
          </w:tcPr>
          <w:p>
            <w:pPr>
              <w:jc w:val="center"/>
              <w:ind w:left="409"/>
              <w:spacing w:after="0"/>
              <w:rPr>
                <w:sz w:val="20"/>
                <w:szCs w:val="20"/>
                <w:color w:val="auto"/>
              </w:rPr>
            </w:pPr>
            <w:r>
              <w:rPr>
                <w:rFonts w:ascii="Times New Roman" w:cs="Times New Roman" w:eastAsia="Times New Roman" w:hAnsi="Times New Roman"/>
                <w:sz w:val="14"/>
                <w:szCs w:val="14"/>
                <w:color w:val="auto"/>
              </w:rPr>
              <w:t>Director</w:t>
            </w:r>
          </w:p>
        </w:tc>
        <w:tc>
          <w:tcPr>
            <w:tcW w:w="2040" w:type="dxa"/>
            <w:vAlign w:val="bottom"/>
            <w:gridSpan w:val="3"/>
          </w:tcPr>
          <w:p>
            <w:pPr>
              <w:jc w:val="center"/>
              <w:ind w:left="929"/>
              <w:spacing w:after="0"/>
              <w:rPr>
                <w:sz w:val="20"/>
                <w:szCs w:val="20"/>
                <w:color w:val="auto"/>
              </w:rPr>
            </w:pPr>
            <w:r>
              <w:rPr>
                <w:rFonts w:ascii="Times New Roman" w:cs="Times New Roman" w:eastAsia="Times New Roman" w:hAnsi="Times New Roman"/>
                <w:sz w:val="14"/>
                <w:szCs w:val="14"/>
                <w:color w:val="auto"/>
              </w:rPr>
              <w:t>February 14, 2024</w:t>
            </w:r>
          </w:p>
        </w:tc>
      </w:tr>
      <w:tr>
        <w:trPr>
          <w:trHeight w:val="175"/>
        </w:trPr>
        <w:tc>
          <w:tcPr>
            <w:tcW w:w="4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Matthew J. Fassler</w:t>
            </w:r>
          </w:p>
        </w:tc>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11260"/>
          </w:cols>
          <w:pgMar w:left="300" w:top="1143" w:right="339" w:bottom="1440" w:gutter="0" w:footer="0" w:header="0"/>
          <w:type w:val="continuous"/>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Subsidiaries of GXO Logistics, Inc.</w:t>
            </w:r>
          </w:p>
        </w:tc>
      </w:tr>
      <w:tr>
        <w:trPr>
          <w:trHeight w:val="583"/>
        </w:trPr>
        <w:tc>
          <w:tcPr>
            <w:tcW w:w="4540" w:type="dxa"/>
            <w:vAlign w:val="bottom"/>
            <w:tcBorders>
              <w:bottom w:val="single" w:sz="8" w:color="auto"/>
            </w:tcBorders>
          </w:tcPr>
          <w:p>
            <w:pPr>
              <w:ind w:left="3860"/>
              <w:spacing w:after="0"/>
              <w:rPr>
                <w:sz w:val="20"/>
                <w:szCs w:val="20"/>
                <w:color w:val="auto"/>
              </w:rPr>
            </w:pPr>
            <w:r>
              <w:rPr>
                <w:rFonts w:ascii="Times New Roman" w:cs="Times New Roman" w:eastAsia="Times New Roman" w:hAnsi="Times New Roman"/>
                <w:sz w:val="13"/>
                <w:szCs w:val="13"/>
                <w:b w:val="1"/>
                <w:bCs w:val="1"/>
                <w:color w:val="auto"/>
              </w:rPr>
              <w:t>Entity</w:t>
            </w:r>
          </w:p>
        </w:tc>
        <w:tc>
          <w:tcPr>
            <w:tcW w:w="2120" w:type="dxa"/>
            <w:vAlign w:val="bottom"/>
            <w:tcBorders>
              <w:top w:val="single" w:sz="8" w:color="auto"/>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3"/>
                <w:szCs w:val="13"/>
                <w:b w:val="1"/>
                <w:bCs w:val="1"/>
                <w:color w:val="auto"/>
              </w:rPr>
              <w:t>Location of Incorporation</w:t>
            </w:r>
          </w:p>
        </w:tc>
      </w:tr>
      <w:tr>
        <w:trPr>
          <w:trHeight w:val="158"/>
        </w:trPr>
        <w:tc>
          <w:tcPr>
            <w:tcW w:w="4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GXO Enterprise Services, LLC</w:t>
            </w:r>
          </w:p>
        </w:tc>
        <w:tc>
          <w:tcPr>
            <w:tcW w:w="2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Delaware</w:t>
            </w:r>
          </w:p>
        </w:tc>
      </w:tr>
      <w:tr>
        <w:trPr>
          <w:trHeight w:val="170"/>
        </w:trPr>
        <w:tc>
          <w:tcPr>
            <w:tcW w:w="4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GXO Logistics Europe SAS</w:t>
            </w: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France</w:t>
            </w:r>
          </w:p>
        </w:tc>
      </w:tr>
      <w:tr>
        <w:trPr>
          <w:trHeight w:val="170"/>
        </w:trPr>
        <w:tc>
          <w:tcPr>
            <w:tcW w:w="4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GXO Logistics Holdings UK Unlimited</w:t>
            </w: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United Kingdom</w:t>
            </w:r>
          </w:p>
        </w:tc>
      </w:tr>
      <w:tr>
        <w:trPr>
          <w:trHeight w:val="170"/>
        </w:trPr>
        <w:tc>
          <w:tcPr>
            <w:tcW w:w="454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GXO Logistics UK Limited</w:t>
            </w: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Scotland</w:t>
            </w:r>
          </w:p>
        </w:tc>
      </w:tr>
      <w:tr>
        <w:trPr>
          <w:trHeight w:val="170"/>
        </w:trPr>
        <w:tc>
          <w:tcPr>
            <w:tcW w:w="4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GXO Logistics Netherlands BV</w:t>
            </w: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Netherlands</w:t>
            </w:r>
          </w:p>
        </w:tc>
      </w:tr>
      <w:tr>
        <w:trPr>
          <w:trHeight w:val="170"/>
        </w:trPr>
        <w:tc>
          <w:tcPr>
            <w:tcW w:w="4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GXO Logistics Netherlands III BV</w:t>
            </w: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Netherlands</w:t>
            </w:r>
          </w:p>
        </w:tc>
      </w:tr>
      <w:tr>
        <w:trPr>
          <w:trHeight w:val="170"/>
        </w:trPr>
        <w:tc>
          <w:tcPr>
            <w:tcW w:w="4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GXO Logistics Spain SL</w:t>
            </w: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Spain</w:t>
            </w:r>
          </w:p>
        </w:tc>
      </w:tr>
      <w:tr>
        <w:trPr>
          <w:trHeight w:val="170"/>
        </w:trPr>
        <w:tc>
          <w:tcPr>
            <w:tcW w:w="4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GXO Logistics France SAS</w:t>
            </w: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France</w:t>
            </w:r>
          </w:p>
        </w:tc>
      </w:tr>
      <w:tr>
        <w:trPr>
          <w:trHeight w:val="170"/>
        </w:trPr>
        <w:tc>
          <w:tcPr>
            <w:tcW w:w="4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GXO Logistics Italy SPA</w:t>
            </w: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Italy</w:t>
            </w:r>
          </w:p>
        </w:tc>
      </w:tr>
      <w:tr>
        <w:trPr>
          <w:trHeight w:val="180"/>
        </w:trPr>
        <w:tc>
          <w:tcPr>
            <w:tcW w:w="4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GXO Logistics UK II Limited</w:t>
            </w:r>
          </w:p>
        </w:tc>
        <w:tc>
          <w:tcPr>
            <w:tcW w:w="2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United Kingdom</w:t>
            </w:r>
          </w:p>
        </w:tc>
      </w:tr>
      <w:tr>
        <w:trPr>
          <w:trHeight w:val="170"/>
        </w:trPr>
        <w:tc>
          <w:tcPr>
            <w:tcW w:w="4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Northern Commercials (Mirfield) Limited</w:t>
            </w: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United Kingdom</w:t>
            </w:r>
          </w:p>
        </w:tc>
      </w:tr>
      <w:tr>
        <w:trPr>
          <w:trHeight w:val="170"/>
        </w:trPr>
        <w:tc>
          <w:tcPr>
            <w:tcW w:w="4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GXO Logistics Finance, LLC</w:t>
            </w: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Delaware</w:t>
            </w:r>
          </w:p>
        </w:tc>
      </w:tr>
      <w:tr>
        <w:trPr>
          <w:trHeight w:val="170"/>
        </w:trPr>
        <w:tc>
          <w:tcPr>
            <w:tcW w:w="4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GXO Logistics Worldwide Holding Company, LLC</w:t>
            </w: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Delaware</w:t>
            </w:r>
          </w:p>
        </w:tc>
      </w:tr>
      <w:tr>
        <w:trPr>
          <w:trHeight w:val="170"/>
        </w:trPr>
        <w:tc>
          <w:tcPr>
            <w:tcW w:w="454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GXO Logistics Worldwide, LLC</w:t>
            </w: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Delaware</w:t>
            </w:r>
          </w:p>
        </w:tc>
      </w:tr>
      <w:tr>
        <w:trPr>
          <w:trHeight w:val="170"/>
        </w:trPr>
        <w:tc>
          <w:tcPr>
            <w:tcW w:w="4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GXO Logistics Holding Company</w:t>
            </w: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Delaware</w:t>
            </w:r>
          </w:p>
        </w:tc>
      </w:tr>
      <w:tr>
        <w:trPr>
          <w:trHeight w:val="170"/>
        </w:trPr>
        <w:tc>
          <w:tcPr>
            <w:tcW w:w="454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GXO Logistics Supply Chain, Inc.</w:t>
            </w: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North Carolina</w:t>
            </w:r>
          </w:p>
        </w:tc>
      </w:tr>
      <w:tr>
        <w:trPr>
          <w:trHeight w:val="170"/>
        </w:trPr>
        <w:tc>
          <w:tcPr>
            <w:tcW w:w="454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GXO Holdings II, Inc.</w:t>
            </w: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Delaware</w:t>
            </w:r>
          </w:p>
        </w:tc>
      </w:tr>
      <w:tr>
        <w:trPr>
          <w:trHeight w:val="170"/>
        </w:trPr>
        <w:tc>
          <w:tcPr>
            <w:tcW w:w="454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GXO Holdings III, Inc.</w:t>
            </w: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Delaware</w:t>
            </w:r>
          </w:p>
        </w:tc>
      </w:tr>
      <w:tr>
        <w:trPr>
          <w:trHeight w:val="170"/>
        </w:trPr>
        <w:tc>
          <w:tcPr>
            <w:tcW w:w="4540" w:type="dxa"/>
            <w:vAlign w:val="bottom"/>
          </w:tcPr>
          <w:p>
            <w:pPr>
              <w:ind w:left="1260"/>
              <w:spacing w:after="0"/>
              <w:rPr>
                <w:sz w:val="20"/>
                <w:szCs w:val="20"/>
                <w:color w:val="auto"/>
              </w:rPr>
            </w:pPr>
            <w:r>
              <w:rPr>
                <w:rFonts w:ascii="Times New Roman" w:cs="Times New Roman" w:eastAsia="Times New Roman" w:hAnsi="Times New Roman"/>
                <w:sz w:val="13"/>
                <w:szCs w:val="13"/>
                <w:color w:val="auto"/>
              </w:rPr>
              <w:t>GXO Warehouse Company, Inc.</w:t>
            </w: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Iowa</w:t>
            </w:r>
          </w:p>
        </w:tc>
      </w:tr>
    </w:tbl>
    <w:p>
      <w:pPr>
        <w:spacing w:after="0" w:line="297"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names of certain consolidated subsidiaries that do not constitute a significant subsidiary have been omitted. Entities directly owned by subsidiaries of GXO Logistics, Inc. are indented and listed below their immediate parent. Ownership is 100% unless otherwise indicated.</w:t>
      </w:r>
    </w:p>
    <w:p>
      <w:pPr>
        <w:sectPr>
          <w:pgSz w:w="11900" w:h="16838" w:orient="portrait"/>
          <w:cols w:equalWidth="0" w:num="1">
            <w:col w:w="11280"/>
          </w:cols>
          <w:pgMar w:left="300" w:top="1141" w:right="31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2"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statements (No. 333-259217) on Form S-3ASR, (No. 333-264901) on Form S-4, and (No. 333-258653) on Form S-8 of our report dated February 15, 2024, with respect to the consolidated financial statements of GXO Logistics, Inc. and the effectiveness of internal control over financial reporting.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Stamford, Connecticut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15, 2024</w:t>
      </w:r>
    </w:p>
    <w:p>
      <w:pPr>
        <w:sectPr>
          <w:pgSz w:w="11900" w:h="16838" w:orient="portrait"/>
          <w:cols w:equalWidth="0" w:num="1">
            <w:col w:w="11280"/>
          </w:cols>
          <w:pgMar w:left="300" w:top="1141" w:right="31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Malcolm Wilson, certify that:</w:t>
      </w:r>
    </w:p>
    <w:p>
      <w:pPr>
        <w:spacing w:after="0" w:line="116" w:lineRule="exact"/>
        <w:rPr>
          <w:sz w:val="20"/>
          <w:szCs w:val="20"/>
          <w:color w:val="auto"/>
        </w:rPr>
      </w:pPr>
    </w:p>
    <w:p>
      <w:pPr>
        <w:ind w:left="320" w:hanging="124"/>
        <w:spacing w:after="0"/>
        <w:tabs>
          <w:tab w:leader="none" w:pos="3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for the year ended December 31, 2023 of GXO Logistics, Inc.;</w:t>
      </w:r>
    </w:p>
    <w:p>
      <w:pPr>
        <w:spacing w:after="0" w:line="115" w:lineRule="exact"/>
        <w:rPr>
          <w:rFonts w:ascii="Times New Roman" w:cs="Times New Roman" w:eastAsia="Times New Roman" w:hAnsi="Times New Roman"/>
          <w:sz w:val="13"/>
          <w:szCs w:val="13"/>
          <w:color w:val="auto"/>
        </w:rPr>
      </w:pPr>
    </w:p>
    <w:p>
      <w:pPr>
        <w:ind w:left="320" w:right="240" w:hanging="124"/>
        <w:spacing w:after="0" w:line="298" w:lineRule="auto"/>
        <w:tabs>
          <w:tab w:leader="none" w:pos="3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Times New Roman" w:cs="Times New Roman" w:eastAsia="Times New Roman" w:hAnsi="Times New Roman"/>
          <w:sz w:val="13"/>
          <w:szCs w:val="13"/>
          <w:color w:val="auto"/>
        </w:rPr>
      </w:pPr>
    </w:p>
    <w:p>
      <w:pPr>
        <w:ind w:left="320" w:right="320" w:hanging="124"/>
        <w:spacing w:after="0" w:line="315" w:lineRule="auto"/>
        <w:tabs>
          <w:tab w:leader="none" w:pos="3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3"/>
          <w:szCs w:val="13"/>
          <w:color w:val="auto"/>
        </w:rPr>
      </w:pPr>
    </w:p>
    <w:p>
      <w:pPr>
        <w:ind w:left="320" w:right="140" w:hanging="124"/>
        <w:spacing w:after="0" w:line="315" w:lineRule="auto"/>
        <w:tabs>
          <w:tab w:leader="none" w:pos="3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3" w:lineRule="exact"/>
        <w:rPr>
          <w:rFonts w:ascii="Times New Roman" w:cs="Times New Roman" w:eastAsia="Times New Roman" w:hAnsi="Times New Roman"/>
          <w:sz w:val="13"/>
          <w:szCs w:val="13"/>
          <w:color w:val="auto"/>
        </w:rPr>
      </w:pPr>
    </w:p>
    <w:p>
      <w:pPr>
        <w:ind w:left="840" w:right="280" w:hanging="199"/>
        <w:spacing w:after="0" w:line="298" w:lineRule="auto"/>
        <w:tabs>
          <w:tab w:leader="none" w:pos="822"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3"/>
          <w:szCs w:val="13"/>
          <w:color w:val="auto"/>
        </w:rPr>
      </w:pPr>
    </w:p>
    <w:p>
      <w:pPr>
        <w:ind w:left="840" w:right="500" w:hanging="199"/>
        <w:spacing w:after="0" w:line="315" w:lineRule="auto"/>
        <w:tabs>
          <w:tab w:leader="none" w:pos="829"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Times New Roman" w:cs="Times New Roman" w:eastAsia="Times New Roman" w:hAnsi="Times New Roman"/>
          <w:sz w:val="13"/>
          <w:szCs w:val="13"/>
          <w:color w:val="auto"/>
        </w:rPr>
      </w:pPr>
    </w:p>
    <w:p>
      <w:pPr>
        <w:ind w:left="840" w:right="80" w:hanging="199"/>
        <w:spacing w:after="0" w:line="315" w:lineRule="auto"/>
        <w:tabs>
          <w:tab w:leader="none" w:pos="822"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3"/>
          <w:szCs w:val="13"/>
          <w:color w:val="auto"/>
        </w:rPr>
      </w:pPr>
    </w:p>
    <w:p>
      <w:pPr>
        <w:ind w:left="840" w:right="100" w:hanging="199"/>
        <w:spacing w:after="0" w:line="298" w:lineRule="auto"/>
        <w:tabs>
          <w:tab w:leader="none" w:pos="829"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3"/>
          <w:szCs w:val="13"/>
          <w:color w:val="auto"/>
        </w:rPr>
      </w:pPr>
    </w:p>
    <w:p>
      <w:pPr>
        <w:ind w:left="320" w:right="120" w:hanging="124"/>
        <w:spacing w:after="0" w:line="315" w:lineRule="auto"/>
        <w:tabs>
          <w:tab w:leader="none" w:pos="3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3"/>
          <w:szCs w:val="13"/>
          <w:color w:val="auto"/>
        </w:rPr>
      </w:pPr>
    </w:p>
    <w:p>
      <w:pPr>
        <w:ind w:left="840" w:right="220" w:hanging="199"/>
        <w:spacing w:after="0" w:line="315" w:lineRule="auto"/>
        <w:tabs>
          <w:tab w:leader="none" w:pos="822"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3"/>
          <w:szCs w:val="13"/>
          <w:color w:val="auto"/>
        </w:rPr>
      </w:pPr>
    </w:p>
    <w:p>
      <w:pPr>
        <w:ind w:left="820" w:hanging="179"/>
        <w:spacing w:after="0"/>
        <w:tabs>
          <w:tab w:leader="none" w:pos="820"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3"/>
          <w:szCs w:val="13"/>
          <w:color w:val="auto"/>
        </w:rPr>
        <w:t>/s/ Malcolm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4598035</wp:posOffset>
            </wp:positionH>
            <wp:positionV relativeFrom="paragraph">
              <wp:posOffset>19685</wp:posOffset>
            </wp:positionV>
            <wp:extent cx="256667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0">
                      <a:extLst>
                        <a:ext uri="{28A0092B-C50C-407E-A947-70E740481C1C}"/>
                      </a:extLst>
                    </a:blip>
                    <a:srcRect/>
                    <a:stretch>
                      <a:fillRect/>
                    </a:stretch>
                  </pic:blipFill>
                  <pic:spPr bwMode="auto">
                    <a:xfrm>
                      <a:off x="0" y="0"/>
                      <a:ext cx="2566670" cy="6985"/>
                    </a:xfrm>
                    <a:prstGeom prst="rect">
                      <a:avLst/>
                    </a:prstGeom>
                    <a:noFill/>
                  </pic:spPr>
                </pic:pic>
              </a:graphicData>
            </a:graphic>
          </wp:anchor>
        </w:drawing>
      </w:r>
    </w:p>
    <w:p>
      <w:pPr>
        <w:spacing w:after="0" w:line="32"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3"/>
          <w:szCs w:val="13"/>
          <w:color w:val="auto"/>
        </w:rPr>
        <w:t>Malcolm Wilson</w:t>
      </w:r>
    </w:p>
    <w:p>
      <w:pPr>
        <w:spacing w:after="0" w:line="4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3"/>
          <w:szCs w:val="13"/>
          <w:color w:val="auto"/>
        </w:rPr>
        <w:t>Chief Executive Officer</w:t>
      </w:r>
    </w:p>
    <w:p>
      <w:pPr>
        <w:spacing w:after="0" w:line="4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3"/>
          <w:szCs w:val="13"/>
          <w:color w:val="auto"/>
        </w:rPr>
        <w:t>(Principal Executive Officer)</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Date: February 15, 2024</w:t>
      </w:r>
    </w:p>
    <w:p>
      <w:pPr>
        <w:sectPr>
          <w:pgSz w:w="11900" w:h="16838" w:orient="portrait"/>
          <w:cols w:equalWidth="0" w:num="1">
            <w:col w:w="11280"/>
          </w:cols>
          <w:pgMar w:left="300" w:top="1156" w:right="31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Baris Oran, certify that:</w:t>
      </w:r>
    </w:p>
    <w:p>
      <w:pPr>
        <w:spacing w:after="0" w:line="116" w:lineRule="exact"/>
        <w:rPr>
          <w:sz w:val="20"/>
          <w:szCs w:val="20"/>
          <w:color w:val="auto"/>
        </w:rPr>
      </w:pPr>
    </w:p>
    <w:p>
      <w:pPr>
        <w:ind w:left="320" w:hanging="124"/>
        <w:spacing w:after="0"/>
        <w:tabs>
          <w:tab w:leader="none" w:pos="3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for the year ended December 31, 2023 of GXO Logistics, Inc.;</w:t>
      </w:r>
    </w:p>
    <w:p>
      <w:pPr>
        <w:spacing w:after="0" w:line="115" w:lineRule="exact"/>
        <w:rPr>
          <w:rFonts w:ascii="Times New Roman" w:cs="Times New Roman" w:eastAsia="Times New Roman" w:hAnsi="Times New Roman"/>
          <w:sz w:val="13"/>
          <w:szCs w:val="13"/>
          <w:color w:val="auto"/>
        </w:rPr>
      </w:pPr>
    </w:p>
    <w:p>
      <w:pPr>
        <w:ind w:left="320" w:right="240" w:hanging="124"/>
        <w:spacing w:after="0" w:line="298" w:lineRule="auto"/>
        <w:tabs>
          <w:tab w:leader="none" w:pos="3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Times New Roman" w:cs="Times New Roman" w:eastAsia="Times New Roman" w:hAnsi="Times New Roman"/>
          <w:sz w:val="13"/>
          <w:szCs w:val="13"/>
          <w:color w:val="auto"/>
        </w:rPr>
      </w:pPr>
    </w:p>
    <w:p>
      <w:pPr>
        <w:ind w:left="320" w:right="320" w:hanging="124"/>
        <w:spacing w:after="0" w:line="315" w:lineRule="auto"/>
        <w:tabs>
          <w:tab w:leader="none" w:pos="3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3"/>
          <w:szCs w:val="13"/>
          <w:color w:val="auto"/>
        </w:rPr>
      </w:pPr>
    </w:p>
    <w:p>
      <w:pPr>
        <w:ind w:left="320" w:right="140" w:hanging="124"/>
        <w:spacing w:after="0" w:line="315" w:lineRule="auto"/>
        <w:tabs>
          <w:tab w:leader="none" w:pos="3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3" w:lineRule="exact"/>
        <w:rPr>
          <w:rFonts w:ascii="Times New Roman" w:cs="Times New Roman" w:eastAsia="Times New Roman" w:hAnsi="Times New Roman"/>
          <w:sz w:val="13"/>
          <w:szCs w:val="13"/>
          <w:color w:val="auto"/>
        </w:rPr>
      </w:pPr>
    </w:p>
    <w:p>
      <w:pPr>
        <w:ind w:left="840" w:right="280" w:hanging="199"/>
        <w:spacing w:after="0" w:line="298" w:lineRule="auto"/>
        <w:tabs>
          <w:tab w:leader="none" w:pos="822"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3"/>
          <w:szCs w:val="13"/>
          <w:color w:val="auto"/>
        </w:rPr>
      </w:pPr>
    </w:p>
    <w:p>
      <w:pPr>
        <w:ind w:left="840" w:right="500" w:hanging="199"/>
        <w:spacing w:after="0" w:line="315" w:lineRule="auto"/>
        <w:tabs>
          <w:tab w:leader="none" w:pos="829"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Times New Roman" w:cs="Times New Roman" w:eastAsia="Times New Roman" w:hAnsi="Times New Roman"/>
          <w:sz w:val="13"/>
          <w:szCs w:val="13"/>
          <w:color w:val="auto"/>
        </w:rPr>
      </w:pPr>
    </w:p>
    <w:p>
      <w:pPr>
        <w:ind w:left="840" w:right="80" w:hanging="199"/>
        <w:spacing w:after="0" w:line="315" w:lineRule="auto"/>
        <w:tabs>
          <w:tab w:leader="none" w:pos="822"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3"/>
          <w:szCs w:val="13"/>
          <w:color w:val="auto"/>
        </w:rPr>
      </w:pPr>
    </w:p>
    <w:p>
      <w:pPr>
        <w:ind w:left="840" w:right="100" w:hanging="199"/>
        <w:spacing w:after="0" w:line="298" w:lineRule="auto"/>
        <w:tabs>
          <w:tab w:leader="none" w:pos="829"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3"/>
          <w:szCs w:val="13"/>
          <w:color w:val="auto"/>
        </w:rPr>
      </w:pPr>
    </w:p>
    <w:p>
      <w:pPr>
        <w:ind w:left="320" w:right="120" w:hanging="124"/>
        <w:spacing w:after="0" w:line="315" w:lineRule="auto"/>
        <w:tabs>
          <w:tab w:leader="none" w:pos="3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3"/>
          <w:szCs w:val="13"/>
          <w:color w:val="auto"/>
        </w:rPr>
      </w:pPr>
    </w:p>
    <w:p>
      <w:pPr>
        <w:ind w:left="840" w:right="220" w:hanging="199"/>
        <w:spacing w:after="0" w:line="315" w:lineRule="auto"/>
        <w:tabs>
          <w:tab w:leader="none" w:pos="822"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3"/>
          <w:szCs w:val="13"/>
          <w:color w:val="auto"/>
        </w:rPr>
      </w:pPr>
    </w:p>
    <w:p>
      <w:pPr>
        <w:ind w:left="820" w:hanging="179"/>
        <w:spacing w:after="0"/>
        <w:tabs>
          <w:tab w:leader="none" w:pos="820"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3"/>
          <w:szCs w:val="13"/>
          <w:color w:val="auto"/>
        </w:rPr>
        <w:t>/s/ Baris 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4598035</wp:posOffset>
            </wp:positionH>
            <wp:positionV relativeFrom="paragraph">
              <wp:posOffset>19685</wp:posOffset>
            </wp:positionV>
            <wp:extent cx="256667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1">
                      <a:extLst>
                        <a:ext uri="{28A0092B-C50C-407E-A947-70E740481C1C}"/>
                      </a:extLst>
                    </a:blip>
                    <a:srcRect/>
                    <a:stretch>
                      <a:fillRect/>
                    </a:stretch>
                  </pic:blipFill>
                  <pic:spPr bwMode="auto">
                    <a:xfrm>
                      <a:off x="0" y="0"/>
                      <a:ext cx="2566670" cy="6985"/>
                    </a:xfrm>
                    <a:prstGeom prst="rect">
                      <a:avLst/>
                    </a:prstGeom>
                    <a:noFill/>
                  </pic:spPr>
                </pic:pic>
              </a:graphicData>
            </a:graphic>
          </wp:anchor>
        </w:drawing>
      </w:r>
    </w:p>
    <w:p>
      <w:pPr>
        <w:spacing w:after="0" w:line="32"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3"/>
          <w:szCs w:val="13"/>
          <w:color w:val="auto"/>
        </w:rPr>
        <w:t>Baris Oran</w:t>
      </w:r>
    </w:p>
    <w:p>
      <w:pPr>
        <w:spacing w:after="0" w:line="4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4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3"/>
          <w:szCs w:val="13"/>
          <w:color w:val="auto"/>
        </w:rPr>
        <w:t>(Principal Financial Officer)</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Date: February 15, 2024</w:t>
      </w:r>
    </w:p>
    <w:p>
      <w:pPr>
        <w:sectPr>
          <w:pgSz w:w="11900" w:h="16838" w:orient="portrait"/>
          <w:cols w:equalWidth="0" w:num="1">
            <w:col w:w="11280"/>
          </w:cols>
          <w:pgMar w:left="300" w:top="1156" w:right="31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CHIEF EXECUTIVE OFFICER</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202" w:lineRule="exact"/>
        <w:rPr>
          <w:sz w:val="20"/>
          <w:szCs w:val="20"/>
          <w:color w:val="auto"/>
        </w:rPr>
      </w:pPr>
    </w:p>
    <w:p>
      <w:pPr>
        <w:jc w:val="both"/>
        <w:ind w:right="60" w:firstLine="350"/>
        <w:spacing w:after="0" w:line="306" w:lineRule="auto"/>
        <w:rPr>
          <w:sz w:val="20"/>
          <w:szCs w:val="20"/>
          <w:color w:val="auto"/>
        </w:rPr>
      </w:pPr>
      <w:r>
        <w:rPr>
          <w:rFonts w:ascii="Times New Roman" w:cs="Times New Roman" w:eastAsia="Times New Roman" w:hAnsi="Times New Roman"/>
          <w:sz w:val="14"/>
          <w:szCs w:val="14"/>
          <w:color w:val="auto"/>
        </w:rPr>
        <w:t>Solely for the purposes of complying with 18 U.S.C. Section 1350 as adopted pursuant to Section 906 of the Sarbanes-Oxley Act of 2002, I, the undersigned Chief Executive Officer of GXO Logistics, Inc. (the “Company”), hereby certify, based on my knowledge, that the Annual Report on Form 10-K of the Company for the year ended December 31, 2023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388"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color w:val="auto"/>
        </w:rPr>
        <w:t>/s/ Malcolm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4598035</wp:posOffset>
            </wp:positionH>
            <wp:positionV relativeFrom="paragraph">
              <wp:posOffset>28575</wp:posOffset>
            </wp:positionV>
            <wp:extent cx="256667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2">
                      <a:extLst>
                        <a:ext uri="{28A0092B-C50C-407E-A947-70E740481C1C}"/>
                      </a:extLst>
                    </a:blip>
                    <a:srcRect/>
                    <a:stretch>
                      <a:fillRect/>
                    </a:stretch>
                  </pic:blipFill>
                  <pic:spPr bwMode="auto">
                    <a:xfrm>
                      <a:off x="0" y="0"/>
                      <a:ext cx="2566670" cy="6985"/>
                    </a:xfrm>
                    <a:prstGeom prst="rect">
                      <a:avLst/>
                    </a:prstGeom>
                    <a:noFill/>
                  </pic:spPr>
                </pic:pic>
              </a:graphicData>
            </a:graphic>
          </wp:anchor>
        </w:drawing>
      </w:r>
    </w:p>
    <w:p>
      <w:pPr>
        <w:spacing w:after="0" w:line="42"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color w:val="auto"/>
        </w:rPr>
        <w:t>Malcolm Wilson</w:t>
      </w:r>
    </w:p>
    <w:p>
      <w:pPr>
        <w:spacing w:after="0" w:line="5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5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February 15, 2024</w:t>
      </w:r>
    </w:p>
    <w:p>
      <w:pPr>
        <w:sectPr>
          <w:pgSz w:w="11900" w:h="16838" w:orient="portrait"/>
          <w:cols w:equalWidth="0" w:num="1">
            <w:col w:w="11280"/>
          </w:cols>
          <w:pgMar w:left="300" w:top="1152" w:right="31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CHIEF FINANCIAL OFFICER</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202" w:lineRule="exact"/>
        <w:rPr>
          <w:sz w:val="20"/>
          <w:szCs w:val="20"/>
          <w:color w:val="auto"/>
        </w:rPr>
      </w:pPr>
    </w:p>
    <w:p>
      <w:pPr>
        <w:ind w:right="60" w:firstLine="350"/>
        <w:spacing w:after="0" w:line="306" w:lineRule="auto"/>
        <w:rPr>
          <w:sz w:val="20"/>
          <w:szCs w:val="20"/>
          <w:color w:val="auto"/>
        </w:rPr>
      </w:pPr>
      <w:r>
        <w:rPr>
          <w:rFonts w:ascii="Times New Roman" w:cs="Times New Roman" w:eastAsia="Times New Roman" w:hAnsi="Times New Roman"/>
          <w:sz w:val="14"/>
          <w:szCs w:val="14"/>
          <w:color w:val="auto"/>
        </w:rPr>
        <w:t>Solely for the purposes of complying with 18 U.S.C. Section 1350 as adopted pursuant to Section 906 of the Sarbanes-Oxley Act of 2002, I, the undersigned Chief Financial Officer of GXO Logistics, Inc. (the “Company”), hereby certify, based on my knowledge, that the Annual Report on Form 10-K of the Company for the year ended December 31, 2023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388"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color w:val="auto"/>
        </w:rPr>
        <w:t>/s/ Baris 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4598035</wp:posOffset>
            </wp:positionH>
            <wp:positionV relativeFrom="paragraph">
              <wp:posOffset>28575</wp:posOffset>
            </wp:positionV>
            <wp:extent cx="256667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3">
                      <a:extLst>
                        <a:ext uri="{28A0092B-C50C-407E-A947-70E740481C1C}"/>
                      </a:extLst>
                    </a:blip>
                    <a:srcRect/>
                    <a:stretch>
                      <a:fillRect/>
                    </a:stretch>
                  </pic:blipFill>
                  <pic:spPr bwMode="auto">
                    <a:xfrm>
                      <a:off x="0" y="0"/>
                      <a:ext cx="2566670" cy="6985"/>
                    </a:xfrm>
                    <a:prstGeom prst="rect">
                      <a:avLst/>
                    </a:prstGeom>
                    <a:noFill/>
                  </pic:spPr>
                </pic:pic>
              </a:graphicData>
            </a:graphic>
          </wp:anchor>
        </w:drawing>
      </w:r>
    </w:p>
    <w:p>
      <w:pPr>
        <w:spacing w:after="0" w:line="42"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color w:val="auto"/>
        </w:rPr>
        <w:t>Baris Oran</w:t>
      </w:r>
    </w:p>
    <w:p>
      <w:pPr>
        <w:spacing w:after="0" w:line="5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5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February 15, 2024</w:t>
      </w:r>
    </w:p>
    <w:p>
      <w:pPr>
        <w:sectPr>
          <w:pgSz w:w="11900" w:h="16838" w:orient="portrait"/>
          <w:cols w:equalWidth="0" w:num="1">
            <w:col w:w="11280"/>
          </w:cols>
          <w:pgMar w:left="300" w:top="1152" w:right="319" w:bottom="1440"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4"/>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24" Type="http://schemas.openxmlformats.org/officeDocument/2006/relationships/image" Target="media/image102.png"/><Relationship Id="rId142" Type="http://schemas.openxmlformats.org/officeDocument/2006/relationships/image" Target="media/image103.png"/><Relationship Id="rId147" Type="http://schemas.openxmlformats.org/officeDocument/2006/relationships/image" Target="media/image104.png"/><Relationship Id="rId148" Type="http://schemas.openxmlformats.org/officeDocument/2006/relationships/image" Target="media/image105.png"/><Relationship Id="rId149" Type="http://schemas.openxmlformats.org/officeDocument/2006/relationships/image" Target="media/image106.png"/><Relationship Id="rId150" Type="http://schemas.openxmlformats.org/officeDocument/2006/relationships/image" Target="media/image107.png"/><Relationship Id="rId151" Type="http://schemas.openxmlformats.org/officeDocument/2006/relationships/image" Target="media/image108.png"/><Relationship Id="rId152" Type="http://schemas.openxmlformats.org/officeDocument/2006/relationships/image" Target="media/image109.png"/><Relationship Id="rId153" Type="http://schemas.openxmlformats.org/officeDocument/2006/relationships/image" Target="media/image110.png"/><Relationship Id="rId154" Type="http://schemas.openxmlformats.org/officeDocument/2006/relationships/image" Target="media/image111.png"/><Relationship Id="rId155" Type="http://schemas.openxmlformats.org/officeDocument/2006/relationships/image" Target="media/image112.png"/><Relationship Id="rId156" Type="http://schemas.openxmlformats.org/officeDocument/2006/relationships/image" Target="media/image113.png"/><Relationship Id="rId157" Type="http://schemas.openxmlformats.org/officeDocument/2006/relationships/image" Target="media/image114.png"/><Relationship Id="rId158" Type="http://schemas.openxmlformats.org/officeDocument/2006/relationships/image" Target="media/image115.png"/><Relationship Id="rId159" Type="http://schemas.openxmlformats.org/officeDocument/2006/relationships/image" Target="media/image116.png"/><Relationship Id="rId160" Type="http://schemas.openxmlformats.org/officeDocument/2006/relationships/image" Target="media/image117.png"/><Relationship Id="rId161" Type="http://schemas.openxmlformats.org/officeDocument/2006/relationships/image" Target="media/image118.png"/><Relationship Id="rId162" Type="http://schemas.openxmlformats.org/officeDocument/2006/relationships/image" Target="media/image119.png"/><Relationship Id="rId163" Type="http://schemas.openxmlformats.org/officeDocument/2006/relationships/image" Target="media/image120.png"/><Relationship Id="rId164" Type="http://schemas.openxmlformats.org/officeDocument/2006/relationships/image" Target="media/image121.png"/><Relationship Id="rId165" Type="http://schemas.openxmlformats.org/officeDocument/2006/relationships/image" Target="media/image122.png"/><Relationship Id="rId166" Type="http://schemas.openxmlformats.org/officeDocument/2006/relationships/image" Target="media/image123.png"/><Relationship Id="rId167" Type="http://schemas.openxmlformats.org/officeDocument/2006/relationships/image" Target="media/image124.png"/><Relationship Id="rId168" Type="http://schemas.openxmlformats.org/officeDocument/2006/relationships/image" Target="media/image125.png"/><Relationship Id="rId169" Type="http://schemas.openxmlformats.org/officeDocument/2006/relationships/image" Target="media/image126.png"/><Relationship Id="rId170" Type="http://schemas.openxmlformats.org/officeDocument/2006/relationships/image" Target="media/image127.png"/><Relationship Id="rId171" Type="http://schemas.openxmlformats.org/officeDocument/2006/relationships/image" Target="media/image128.png"/><Relationship Id="rId172" Type="http://schemas.openxmlformats.org/officeDocument/2006/relationships/image" Target="media/image129.png"/><Relationship Id="rId173" Type="http://schemas.openxmlformats.org/officeDocument/2006/relationships/image" Target="media/image130.png"/><Relationship Id="rId174" Type="http://schemas.openxmlformats.org/officeDocument/2006/relationships/image" Target="media/image131.png"/><Relationship Id="rId175" Type="http://schemas.openxmlformats.org/officeDocument/2006/relationships/image" Target="media/image132.png"/><Relationship Id="rId176" Type="http://schemas.openxmlformats.org/officeDocument/2006/relationships/image" Target="media/image133.png"/><Relationship Id="rId177" Type="http://schemas.openxmlformats.org/officeDocument/2006/relationships/image" Target="media/image134.png"/><Relationship Id="rId178" Type="http://schemas.openxmlformats.org/officeDocument/2006/relationships/image" Target="media/image135.png"/><Relationship Id="rId179" Type="http://schemas.openxmlformats.org/officeDocument/2006/relationships/image" Target="media/image136.png"/><Relationship Id="rId180" Type="http://schemas.openxmlformats.org/officeDocument/2006/relationships/image" Target="media/image137.png"/><Relationship Id="rId181" Type="http://schemas.openxmlformats.org/officeDocument/2006/relationships/image" Target="media/image138.png"/><Relationship Id="rId182" Type="http://schemas.openxmlformats.org/officeDocument/2006/relationships/image" Target="media/image139.png"/><Relationship Id="rId183" Type="http://schemas.openxmlformats.org/officeDocument/2006/relationships/image" Target="media/image140.png"/><Relationship Id="rId184" Type="http://schemas.openxmlformats.org/officeDocument/2006/relationships/image" Target="media/image141.png"/><Relationship Id="rId185" Type="http://schemas.openxmlformats.org/officeDocument/2006/relationships/image" Target="media/image142.png"/><Relationship Id="rId186" Type="http://schemas.openxmlformats.org/officeDocument/2006/relationships/image" Target="media/image143.png"/><Relationship Id="rId187" Type="http://schemas.openxmlformats.org/officeDocument/2006/relationships/image" Target="media/image144.png"/><Relationship Id="rId188" Type="http://schemas.openxmlformats.org/officeDocument/2006/relationships/image" Target="media/image145.png"/><Relationship Id="rId189" Type="http://schemas.openxmlformats.org/officeDocument/2006/relationships/image" Target="media/image146.png"/><Relationship Id="rId190" Type="http://schemas.openxmlformats.org/officeDocument/2006/relationships/image" Target="media/image147.png"/><Relationship Id="rId33" Type="http://schemas.openxmlformats.org/officeDocument/2006/relationships/hyperlink" Target="https://www.sec.gov/Archives/edgar/data/1852244/000185224423000009/gxo-20221231.htm#i775aeff23f984c93a0f246393751a9fb_43" TargetMode="External"/><Relationship Id="rId110" Type="http://schemas.openxmlformats.org/officeDocument/2006/relationships/hyperlink" Target="https://www.sec.gov/Archives/edgar/data/0001852244/000162828021015181/exhibit21-form8xkgxoxpo.htm" TargetMode="External"/><Relationship Id="rId111" Type="http://schemas.openxmlformats.org/officeDocument/2006/relationships/hyperlink" Target="https://www.sec.gov/Archives/edgar/data/1852244/000110465922028661/tm227857d1_ex2-1.htm" TargetMode="External"/><Relationship Id="rId112" Type="http://schemas.openxmlformats.org/officeDocument/2006/relationships/hyperlink" Target="https://www.sec.gov/Archives/edgar/data/1852244/000110465922028661/tm227857d1_ex2-2.htm" TargetMode="External"/><Relationship Id="rId113" Type="http://schemas.openxmlformats.org/officeDocument/2006/relationships/hyperlink" Target="https://www.sec.gov/Archives/edgar/data/0001852244/000162828021015181/exhibit31-8xkgxo.htm" TargetMode="External"/><Relationship Id="rId114" Type="http://schemas.openxmlformats.org/officeDocument/2006/relationships/hyperlink" Target="https://www.sec.gov/Archives/edgar/data/0001852244/000162828021015181/exhibit32-8xkgxo.htm" TargetMode="External"/><Relationship Id="rId115" Type="http://schemas.openxmlformats.org/officeDocument/2006/relationships/hyperlink" Target="https://www.sec.gov/Archives/edgar/data/1852244/000162828021013619/exhibit41-form10a.htm" TargetMode="External"/><Relationship Id="rId116" Type="http://schemas.openxmlformats.org/officeDocument/2006/relationships/hyperlink" Target="https://www.sec.gov/Archives/edgar/data/1852244/000162828021013619/exhibit42-form10a.htm" TargetMode="External"/><Relationship Id="rId117" Type="http://schemas.openxmlformats.org/officeDocument/2006/relationships/hyperlink" Target="https://www.sec.gov/Archives/edgar/data/0001852244/000110465921122086/tm2127876d1_ex4-1.htm" TargetMode="External"/><Relationship Id="rId118" Type="http://schemas.openxmlformats.org/officeDocument/2006/relationships/hyperlink" Target="https://www.sec.gov/Archives/edgar/data/1852244/000185224422000010/descriptionofsecurities.htm" TargetMode="External"/><Relationship Id="rId119" Type="http://schemas.openxmlformats.org/officeDocument/2006/relationships/hyperlink" Target="https://www.sec.gov/Archives/edgar/data/0001852244/000162828021015181/exhibit102-form8xkgxoxpo.htm" TargetMode="External"/><Relationship Id="rId120" Type="http://schemas.openxmlformats.org/officeDocument/2006/relationships/hyperlink" Target="https://www.sec.gov/Archives/edgar/data/0001852244/000162828021015181/exhibit103-form8kgxoxpo.htm" TargetMode="External"/><Relationship Id="rId121" Type="http://schemas.openxmlformats.org/officeDocument/2006/relationships/hyperlink" Target="https://www.sec.gov/Archives/edgar/data/0001852244/000162828021015181/exhibit104-form8xkgxoxpo.htm" TargetMode="External"/><Relationship Id="rId122" Type="http://schemas.openxmlformats.org/officeDocument/2006/relationships/hyperlink" Target="https://www.sec.gov/Archives/edgar/data/0001852244/000162828021015181/exhibit105-form8xkgxo.htm" TargetMode="External"/><Relationship Id="rId123" Type="http://schemas.openxmlformats.org/officeDocument/2006/relationships/hyperlink" Target="https://www.sec.gov/Archives/edgar/data/0001852244/000162828021015181/exhibit106-form8xkgxo.htm" TargetMode="External"/><Relationship Id="rId125" Type="http://schemas.openxmlformats.org/officeDocument/2006/relationships/hyperlink" Target="https://www.sec.gov/Archives/edgar/data/0001852244/000162828021011851/exhibit102-form10.htm" TargetMode="External"/><Relationship Id="rId126" Type="http://schemas.openxmlformats.org/officeDocument/2006/relationships/hyperlink" Target="https://www.sec.gov/Archives/edgar/data/1852244/000185224422000020/gxoformrsuagreement.htm" TargetMode="External"/><Relationship Id="rId127" Type="http://schemas.openxmlformats.org/officeDocument/2006/relationships/hyperlink" Target="https://www.sec.gov/Archives/edgar/data/1852244/000185224421000007/gxo-formofdirectorrsuagree.htm" TargetMode="External"/><Relationship Id="rId128" Type="http://schemas.openxmlformats.org/officeDocument/2006/relationships/hyperlink" Target="https://www.sec.gov/Archives/edgar/data/1852244/000185224421000007/gxo-formofrsuagreement.htm" TargetMode="External"/><Relationship Id="rId129" Type="http://schemas.openxmlformats.org/officeDocument/2006/relationships/hyperlink" Target="https://www.sec.gov/Archives/edgar/data/1852244/000185224422000020/gxoformpsuagreement.htm" TargetMode="External"/><Relationship Id="rId130" Type="http://schemas.openxmlformats.org/officeDocument/2006/relationships/hyperlink" Target="https://www.sec.gov/Archives/edgar/data/0001852244/000162828021015181/exhibit107-form8xkgxo.htm" TargetMode="External"/><Relationship Id="rId131" Type="http://schemas.openxmlformats.org/officeDocument/2006/relationships/hyperlink" Target="https://www.sec.gov/Archives/edgar/data/0001852244/000162828021011851/exhibit107-form10.htm" TargetMode="External"/><Relationship Id="rId132" Type="http://schemas.openxmlformats.org/officeDocument/2006/relationships/hyperlink" Target="https://www.sec.gov/Archives/edgar/data/0001852244/000162828021011851/exhibit108-form10.htm" TargetMode="External"/><Relationship Id="rId133" Type="http://schemas.openxmlformats.org/officeDocument/2006/relationships/hyperlink" Target="https://www.sec.gov/Archives/edgar/data/0001852244/000162828021011851/exhibit1010-form10.htm" TargetMode="External"/><Relationship Id="rId134" Type="http://schemas.openxmlformats.org/officeDocument/2006/relationships/hyperlink" Target="https://www.sec.gov/Archives/edgar/data/0001852244/000162828021011851/exhibit1011-form10.htm" TargetMode="External"/><Relationship Id="rId135" Type="http://schemas.openxmlformats.org/officeDocument/2006/relationships/hyperlink" Target="https://www.sec.gov/Archives/edgar/data/0001852244/000162828021013619/exhibit1012-form10.htm" TargetMode="External"/><Relationship Id="rId136" Type="http://schemas.openxmlformats.org/officeDocument/2006/relationships/hyperlink" Target="https://www.sec.gov/Archives/edgar/data/1852244/000185224423000039/gxosettlementagreement-m.htm" TargetMode="External"/><Relationship Id="rId137" Type="http://schemas.openxmlformats.org/officeDocument/2006/relationships/hyperlink" Target="https://www.sec.gov/Archives/edgar/data/1852244/000162828021013885/exhibit1016-form10a2.htm" TargetMode="External"/><Relationship Id="rId138" Type="http://schemas.openxmlformats.org/officeDocument/2006/relationships/hyperlink" Target="https://www.sec.gov/Archives/edgar/data/1852244/000162828021013885/exhibit1014-form10a2.htm" TargetMode="External"/><Relationship Id="rId139" Type="http://schemas.openxmlformats.org/officeDocument/2006/relationships/hyperlink" Target="https://www.sec.gov/Archives/edgar/data/1852244/000162828021013885/exhibit1015-form10a2.htm" TargetMode="External"/><Relationship Id="rId140" Type="http://schemas.openxmlformats.org/officeDocument/2006/relationships/hyperlink" Target="https://www.sec.gov/Archives/edgar/data/0001852244/000162828021011851/exhibit109-form10.htm" TargetMode="External"/><Relationship Id="rId141" Type="http://schemas.openxmlformats.org/officeDocument/2006/relationships/hyperlink" Target="https://www.sec.gov/Archives/edgar/data/1852244/000185224421000007/offerletterbetweengxologis.htm" TargetMode="External"/><Relationship Id="rId143" Type="http://schemas.openxmlformats.org/officeDocument/2006/relationships/hyperlink" Target="https://www.sec.gov/Archives/edgar/data/1852244/000162828021013619/exhibit1013-form10a.htm" TargetMode="External"/><Relationship Id="rId144" Type="http://schemas.openxmlformats.org/officeDocument/2006/relationships/hyperlink" Target="https://www.sec.gov/Archives/edgar/data/1852244/000110465923031168/tm238603d1_ex10-1.htm" TargetMode="External"/><Relationship Id="rId145" Type="http://schemas.openxmlformats.org/officeDocument/2006/relationships/hyperlink" Target="https://www.sec.gov/Archives/edgar/data/1852244/000110465922036782/tm2210032d1_ex10-1.htm" TargetMode="External"/><Relationship Id="rId146" Type="http://schemas.openxmlformats.org/officeDocument/2006/relationships/hyperlink" Target="https://www.sec.gov/Archives/edgar/data/1852244/000110465922065355/tm2216926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2024-02-15T18:00:14Z</dcterms:created>
  <dcterms:modified xsi:type="dcterms:W3CDTF">2024-02-15T18:00:14Z</dcterms:modified>
</cp:coreProperties>
</file>